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style2.xml" ContentType="application/vnd.ms-office.chart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olors2.xml" ContentType="application/vnd.ms-office.chartcolorstyl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11" w:rsidRDefault="008A4D11">
      <w:pPr>
        <w:rPr>
          <w:b/>
          <w:sz w:val="28"/>
        </w:rPr>
      </w:pPr>
      <w:r>
        <w:rPr>
          <w:b/>
          <w:sz w:val="28"/>
        </w:rPr>
        <w:t>CARBON TARGETS</w:t>
      </w:r>
    </w:p>
    <w:p w:rsidR="005523D3" w:rsidRPr="001F02A1" w:rsidRDefault="00245FE8">
      <w:pPr>
        <w:rPr>
          <w:b/>
          <w:sz w:val="24"/>
          <w:u w:val="single"/>
        </w:rPr>
      </w:pPr>
      <w:bookmarkStart w:id="0" w:name="_GoBack"/>
      <w:bookmarkEnd w:id="0"/>
      <w:r w:rsidRPr="001F02A1">
        <w:rPr>
          <w:b/>
          <w:sz w:val="24"/>
          <w:u w:val="single"/>
        </w:rPr>
        <w:t>Executive Summary</w:t>
      </w:r>
    </w:p>
    <w:p w:rsidR="008A4D11" w:rsidRDefault="008A4D11">
      <w:r w:rsidRPr="008A4D11">
        <w:t xml:space="preserve">The purpose of this report is to initiate a discussion on </w:t>
      </w:r>
      <w:r w:rsidR="001F02A1">
        <w:t xml:space="preserve">the scope, baseline and form of new </w:t>
      </w:r>
      <w:r w:rsidRPr="008A4D11">
        <w:t>carbon targets</w:t>
      </w:r>
      <w:r w:rsidR="00EE0AD8">
        <w:t>,</w:t>
      </w:r>
      <w:r w:rsidR="00362298">
        <w:t xml:space="preserve"> which will be required for the Environmental Sustainability Strategy.</w:t>
      </w:r>
      <w:r w:rsidRPr="008A4D11">
        <w:t xml:space="preserve">  </w:t>
      </w:r>
      <w:r>
        <w:t>The current targets expired in 2015/2016.  The requirement to set new targets presents an opportunity to review the current baseline and scope of the targets to ensure these are set in line with best practice and in response to sector and national policy commitments.</w:t>
      </w:r>
    </w:p>
    <w:p w:rsidR="005523D3" w:rsidRDefault="008A4D11">
      <w:r>
        <w:t>Th</w:t>
      </w:r>
      <w:r w:rsidR="002F388E">
        <w:t>is</w:t>
      </w:r>
      <w:r>
        <w:t xml:space="preserve"> paper does</w:t>
      </w:r>
      <w:r w:rsidR="001F02A1">
        <w:t xml:space="preserve"> </w:t>
      </w:r>
      <w:r>
        <w:t>n</w:t>
      </w:r>
      <w:r w:rsidR="001F02A1">
        <w:t>o</w:t>
      </w:r>
      <w:r>
        <w:t xml:space="preserve">t recommend the scale of the targets </w:t>
      </w:r>
      <w:r w:rsidR="001F02A1">
        <w:t xml:space="preserve">to </w:t>
      </w:r>
      <w:r>
        <w:t>be set</w:t>
      </w:r>
      <w:r w:rsidR="002F388E">
        <w:t xml:space="preserve"> but does illustrate a couple of scenarios</w:t>
      </w:r>
      <w:r w:rsidR="00DB6166">
        <w:t xml:space="preserve"> and the subsequent reductions</w:t>
      </w:r>
      <w:r w:rsidR="001F02A1">
        <w:t>.  Once the scope</w:t>
      </w:r>
      <w:r w:rsidR="009A7673">
        <w:t xml:space="preserve">, </w:t>
      </w:r>
      <w:r w:rsidR="001F02A1">
        <w:t xml:space="preserve">baseline </w:t>
      </w:r>
      <w:r w:rsidR="009A7673">
        <w:t xml:space="preserve">and form </w:t>
      </w:r>
      <w:r w:rsidR="001F02A1">
        <w:t xml:space="preserve">have been </w:t>
      </w:r>
      <w:proofErr w:type="gramStart"/>
      <w:r w:rsidR="001F02A1">
        <w:t>agreed</w:t>
      </w:r>
      <w:proofErr w:type="gramEnd"/>
      <w:r w:rsidR="001F02A1">
        <w:t xml:space="preserve"> </w:t>
      </w:r>
      <w:r w:rsidR="002F07BF">
        <w:t xml:space="preserve">the </w:t>
      </w:r>
      <w:r w:rsidR="001F02A1">
        <w:t>ambitio</w:t>
      </w:r>
      <w:r w:rsidR="00362298">
        <w:t>n</w:t>
      </w:r>
      <w:r w:rsidR="001F02A1">
        <w:t xml:space="preserve"> and feasibility of new targets </w:t>
      </w:r>
      <w:r w:rsidR="00DB6166">
        <w:t xml:space="preserve">should </w:t>
      </w:r>
      <w:r w:rsidR="001F02A1">
        <w:t xml:space="preserve">be discussed. </w:t>
      </w:r>
    </w:p>
    <w:p w:rsidR="009A7673" w:rsidRPr="009A7673" w:rsidRDefault="009A7673">
      <w:pPr>
        <w:rPr>
          <w:b/>
          <w:u w:val="single"/>
        </w:rPr>
      </w:pPr>
      <w:r w:rsidRPr="009A7673">
        <w:rPr>
          <w:b/>
          <w:u w:val="single"/>
        </w:rPr>
        <w:t>Background</w:t>
      </w:r>
    </w:p>
    <w:p w:rsidR="009A7673" w:rsidRPr="00EE25CC" w:rsidRDefault="009A7673">
      <w:r w:rsidRPr="00EE25CC">
        <w:t xml:space="preserve">There are a considerable number of </w:t>
      </w:r>
      <w:r w:rsidR="002F388E" w:rsidRPr="00EE25CC">
        <w:t>drivers, which</w:t>
      </w:r>
      <w:r w:rsidRPr="00EE25CC">
        <w:t xml:space="preserve"> require carbon emissions to </w:t>
      </w:r>
      <w:r w:rsidR="00362298" w:rsidRPr="00EE25CC">
        <w:t xml:space="preserve">be </w:t>
      </w:r>
      <w:proofErr w:type="gramStart"/>
      <w:r w:rsidRPr="00EE25CC">
        <w:t>monitored</w:t>
      </w:r>
      <w:proofErr w:type="gramEnd"/>
      <w:r w:rsidRPr="00EE25CC">
        <w:t xml:space="preserve"> and managed.  Th</w:t>
      </w:r>
      <w:r w:rsidR="00362298" w:rsidRPr="00EE25CC">
        <w:t>ese</w:t>
      </w:r>
      <w:r w:rsidRPr="00EE25CC">
        <w:t xml:space="preserve"> include:</w:t>
      </w:r>
    </w:p>
    <w:p w:rsidR="009A7673" w:rsidRPr="00EE25CC" w:rsidRDefault="002F388E" w:rsidP="009A7673">
      <w:pPr>
        <w:pStyle w:val="ListParagraph"/>
        <w:numPr>
          <w:ilvl w:val="0"/>
          <w:numId w:val="9"/>
        </w:numPr>
        <w:rPr>
          <w:b/>
        </w:rPr>
      </w:pPr>
      <w:r w:rsidRPr="00EE25CC">
        <w:t xml:space="preserve">The </w:t>
      </w:r>
      <w:r w:rsidR="009A7673" w:rsidRPr="00EE25CC">
        <w:t>Scottish Climate Change Act places a duty on the public sector to mitigate carbon emissions.</w:t>
      </w:r>
    </w:p>
    <w:p w:rsidR="009A7673" w:rsidRPr="00EE25CC" w:rsidRDefault="009A7673" w:rsidP="009A7673">
      <w:pPr>
        <w:pStyle w:val="ListParagraph"/>
        <w:numPr>
          <w:ilvl w:val="0"/>
          <w:numId w:val="9"/>
        </w:numPr>
        <w:rPr>
          <w:b/>
        </w:rPr>
      </w:pPr>
      <w:r w:rsidRPr="00EE25CC">
        <w:t>The public sector is required to report annual</w:t>
      </w:r>
      <w:r w:rsidR="00362298" w:rsidRPr="00EE25CC">
        <w:t>ly</w:t>
      </w:r>
      <w:r w:rsidRPr="00EE25CC">
        <w:t xml:space="preserve"> on emissions to the Scottish Government.</w:t>
      </w:r>
    </w:p>
    <w:p w:rsidR="009A7673" w:rsidRPr="00EE25CC" w:rsidRDefault="009A7673" w:rsidP="009A7673">
      <w:pPr>
        <w:pStyle w:val="ListParagraph"/>
        <w:numPr>
          <w:ilvl w:val="0"/>
          <w:numId w:val="9"/>
        </w:numPr>
        <w:rPr>
          <w:b/>
        </w:rPr>
      </w:pPr>
      <w:r w:rsidRPr="00EE25CC">
        <w:t xml:space="preserve">The Scottish Government </w:t>
      </w:r>
      <w:r w:rsidR="002F388E" w:rsidRPr="00EE25CC">
        <w:t xml:space="preserve">(SG) </w:t>
      </w:r>
      <w:r w:rsidRPr="00EE25CC">
        <w:t xml:space="preserve">is in the process of setting a national target to reduce emissions by 66% from 1990 levels by 2032.  To achieve the planned emissions reduction pathway requires a reduction in service sector emissions (which includes Universities) by 94% by from 2017. </w:t>
      </w:r>
    </w:p>
    <w:p w:rsidR="002F07BF" w:rsidRPr="00EE25CC" w:rsidRDefault="009A7673" w:rsidP="009A7673">
      <w:pPr>
        <w:pStyle w:val="ListParagraph"/>
        <w:numPr>
          <w:ilvl w:val="0"/>
          <w:numId w:val="9"/>
        </w:numPr>
        <w:rPr>
          <w:b/>
        </w:rPr>
      </w:pPr>
      <w:r w:rsidRPr="00EE25CC">
        <w:t xml:space="preserve">The </w:t>
      </w:r>
      <w:r w:rsidR="002F07BF" w:rsidRPr="00EE25CC">
        <w:t xml:space="preserve">agreement reached in </w:t>
      </w:r>
      <w:r w:rsidRPr="00EE25CC">
        <w:t xml:space="preserve">Paris </w:t>
      </w:r>
      <w:r w:rsidR="002F07BF" w:rsidRPr="00EE25CC">
        <w:t xml:space="preserve">in 2016 by 195 countries to limit global warming to 2C.  </w:t>
      </w:r>
    </w:p>
    <w:p w:rsidR="009A7673" w:rsidRPr="00EE25CC" w:rsidRDefault="002F07BF" w:rsidP="002F07BF">
      <w:pPr>
        <w:rPr>
          <w:b/>
        </w:rPr>
      </w:pPr>
      <w:r w:rsidRPr="00EE25CC">
        <w:t xml:space="preserve">The University needs to demonstrate for </w:t>
      </w:r>
      <w:r w:rsidR="002F388E" w:rsidRPr="00EE25CC">
        <w:t>sound</w:t>
      </w:r>
      <w:r w:rsidRPr="00EE25CC">
        <w:t xml:space="preserve"> financial, risk management and reputational reasons that it is complying with the spirit of these drivers.</w:t>
      </w:r>
    </w:p>
    <w:p w:rsidR="00C408DD" w:rsidRPr="001F02A1" w:rsidRDefault="00C408DD">
      <w:pPr>
        <w:rPr>
          <w:b/>
          <w:sz w:val="24"/>
          <w:u w:val="single"/>
        </w:rPr>
      </w:pPr>
      <w:r w:rsidRPr="001F02A1">
        <w:rPr>
          <w:b/>
          <w:sz w:val="24"/>
          <w:u w:val="single"/>
        </w:rPr>
        <w:t>Progress</w:t>
      </w:r>
    </w:p>
    <w:p w:rsidR="00845446" w:rsidRDefault="00845446" w:rsidP="00845446">
      <w:pPr>
        <w:jc w:val="both"/>
      </w:pPr>
      <w:r w:rsidRPr="00DA6FCA">
        <w:t xml:space="preserve">The </w:t>
      </w:r>
      <w:r>
        <w:t xml:space="preserve">carbon emissions from Edinburgh Napier’s academic estate for </w:t>
      </w:r>
      <w:r w:rsidRPr="00DA6FCA">
        <w:t>201</w:t>
      </w:r>
      <w:r>
        <w:t>5</w:t>
      </w:r>
      <w:r w:rsidRPr="00DA6FCA">
        <w:t>/1</w:t>
      </w:r>
      <w:r>
        <w:t>6</w:t>
      </w:r>
      <w:r w:rsidRPr="00DA6FCA">
        <w:t xml:space="preserve"> </w:t>
      </w:r>
      <w:r>
        <w:t>was</w:t>
      </w:r>
      <w:r w:rsidRPr="00DA6FCA">
        <w:t xml:space="preserve"> equivalent to a reduction of </w:t>
      </w:r>
      <w:r>
        <w:t>42</w:t>
      </w:r>
      <w:r w:rsidRPr="00DA6FCA">
        <w:t>% compared to the baseline set in 2006/</w:t>
      </w:r>
      <w:r>
        <w:t>20</w:t>
      </w:r>
      <w:r w:rsidRPr="00DA6FCA">
        <w:t>07</w:t>
      </w:r>
      <w:r w:rsidR="001F02A1">
        <w:t xml:space="preserve"> (Chart 1)</w:t>
      </w:r>
      <w:r w:rsidRPr="00DA6FCA">
        <w:t>.</w:t>
      </w:r>
      <w:r>
        <w:t xml:space="preserve"> By the end of April 2017 emissions were down nearly 40% from 2006/2007.  Business travel emissions have been excluded from these calculations as robust data on travel is not available from 2006/07.  </w:t>
      </w:r>
    </w:p>
    <w:p w:rsidR="001D1BFB" w:rsidRDefault="001D1BFB" w:rsidP="001D1BFB">
      <w:pPr>
        <w:jc w:val="both"/>
      </w:pPr>
      <w:r w:rsidRPr="00DA6FCA">
        <w:t xml:space="preserve">The carbon </w:t>
      </w:r>
      <w:r w:rsidR="00845446">
        <w:t xml:space="preserve">emissions </w:t>
      </w:r>
      <w:r>
        <w:t xml:space="preserve">for 2015/16 </w:t>
      </w:r>
      <w:r w:rsidRPr="00DA6FCA">
        <w:t xml:space="preserve">was </w:t>
      </w:r>
      <w:r>
        <w:t xml:space="preserve">4814 </w:t>
      </w:r>
      <w:r w:rsidRPr="00DA6FCA">
        <w:t xml:space="preserve">tonnes of carbon dioxide equivalent </w:t>
      </w:r>
      <w:r>
        <w:t>(CO</w:t>
      </w:r>
      <w:r w:rsidRPr="00DA6FCA">
        <w:rPr>
          <w:vertAlign w:val="subscript"/>
        </w:rPr>
        <w:t>2</w:t>
      </w:r>
      <w:r>
        <w:t>e) emissions</w:t>
      </w:r>
      <w:r w:rsidRPr="00DA6FCA">
        <w:t xml:space="preserve">.  </w:t>
      </w:r>
      <w:r>
        <w:t>This comprises 4756 tonnes CO</w:t>
      </w:r>
      <w:r w:rsidRPr="00DA6FCA">
        <w:rPr>
          <w:vertAlign w:val="subscript"/>
        </w:rPr>
        <w:t>2</w:t>
      </w:r>
      <w:r>
        <w:t xml:space="preserve">e from utilities, 38 tonnes from fleet vehicles and 19 tonnes from waste.  </w:t>
      </w:r>
    </w:p>
    <w:p w:rsidR="001F02A1" w:rsidRDefault="001D1BFB" w:rsidP="001D1BFB">
      <w:pPr>
        <w:rPr>
          <w:noProof/>
          <w:lang w:eastAsia="en-GB"/>
        </w:rPr>
      </w:pPr>
      <w:r>
        <w:t xml:space="preserve">When business travel is </w:t>
      </w:r>
      <w:r w:rsidR="001F02A1">
        <w:t>included</w:t>
      </w:r>
      <w:r>
        <w:t xml:space="preserve"> in the scope of this calculation the Universities carbon foo</w:t>
      </w:r>
      <w:r w:rsidR="00410411">
        <w:t xml:space="preserve">tprint </w:t>
      </w:r>
      <w:r w:rsidR="00362298">
        <w:t xml:space="preserve">for 2015/16 </w:t>
      </w:r>
      <w:r w:rsidR="00410411">
        <w:t xml:space="preserve">increases by 3509 tonnes including 3434 tonnes from </w:t>
      </w:r>
      <w:r>
        <w:t>flights</w:t>
      </w:r>
      <w:r w:rsidR="00362298">
        <w:t>.</w:t>
      </w:r>
    </w:p>
    <w:p w:rsidR="001F02A1" w:rsidRDefault="001F02A1" w:rsidP="001D1BFB">
      <w:pPr>
        <w:rPr>
          <w:noProof/>
          <w:lang w:eastAsia="en-GB"/>
        </w:rPr>
      </w:pPr>
    </w:p>
    <w:p w:rsidR="001D1BFB" w:rsidRDefault="00F55DB1" w:rsidP="001D1BFB">
      <w:r>
        <w:rPr>
          <w:noProof/>
          <w:lang w:eastAsia="en-GB"/>
        </w:rPr>
        <w:lastRenderedPageBreak/>
        <w:drawing>
          <wp:inline distT="0" distB="0" distL="0" distR="0" wp14:anchorId="3A279831" wp14:editId="5D56241E">
            <wp:extent cx="4274820" cy="2590800"/>
            <wp:effectExtent l="0" t="0" r="1143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F07BF" w:rsidRPr="002F07BF" w:rsidRDefault="002F07BF" w:rsidP="001D1BFB">
      <w:pPr>
        <w:rPr>
          <w:b/>
        </w:rPr>
      </w:pPr>
      <w:r>
        <w:rPr>
          <w:b/>
        </w:rPr>
        <w:t>Table 1: Emission sources and percentage reductions</w:t>
      </w:r>
    </w:p>
    <w:tbl>
      <w:tblPr>
        <w:tblW w:w="7539" w:type="dxa"/>
        <w:tblInd w:w="-10" w:type="dxa"/>
        <w:tblLook w:val="04A0" w:firstRow="1" w:lastRow="0" w:firstColumn="1" w:lastColumn="0" w:noHBand="0" w:noVBand="1"/>
      </w:tblPr>
      <w:tblGrid>
        <w:gridCol w:w="1777"/>
        <w:gridCol w:w="1002"/>
        <w:gridCol w:w="1003"/>
        <w:gridCol w:w="222"/>
        <w:gridCol w:w="1903"/>
        <w:gridCol w:w="1640"/>
      </w:tblGrid>
      <w:tr w:rsidR="000C6197" w:rsidRPr="000C6197" w:rsidTr="001D6EFB">
        <w:trPr>
          <w:trHeight w:val="268"/>
        </w:trPr>
        <w:tc>
          <w:tcPr>
            <w:tcW w:w="177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0C6197" w:rsidRPr="000C6197" w:rsidRDefault="000C6197" w:rsidP="000C6197">
            <w:pPr>
              <w:spacing w:after="0" w:line="240" w:lineRule="auto"/>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Emissions Source</w:t>
            </w:r>
          </w:p>
        </w:tc>
        <w:tc>
          <w:tcPr>
            <w:tcW w:w="2005"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Tonnes CO</w:t>
            </w:r>
            <w:r w:rsidRPr="000C6197">
              <w:rPr>
                <w:rFonts w:ascii="Calibri" w:eastAsia="Times New Roman" w:hAnsi="Calibri" w:cs="Times New Roman"/>
                <w:b/>
                <w:bCs/>
                <w:color w:val="000000"/>
                <w:vertAlign w:val="subscript"/>
                <w:lang w:eastAsia="en-GB"/>
              </w:rPr>
              <w:t>2</w:t>
            </w:r>
            <w:r w:rsidRPr="000C6197">
              <w:rPr>
                <w:rFonts w:ascii="Calibri" w:eastAsia="Times New Roman" w:hAnsi="Calibri" w:cs="Times New Roman"/>
                <w:b/>
                <w:bCs/>
                <w:color w:val="000000"/>
                <w:lang w:eastAsia="en-GB"/>
              </w:rPr>
              <w:t>e</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p>
        </w:tc>
        <w:tc>
          <w:tcPr>
            <w:tcW w:w="190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 of carbon footprint 15/16</w:t>
            </w:r>
          </w:p>
        </w:tc>
        <w:tc>
          <w:tcPr>
            <w:tcW w:w="164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C6197" w:rsidRPr="000C6197" w:rsidRDefault="00784008" w:rsidP="000C619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 </w:t>
            </w:r>
            <w:r w:rsidR="000C6197" w:rsidRPr="000C6197">
              <w:rPr>
                <w:rFonts w:ascii="Calibri" w:eastAsia="Times New Roman" w:hAnsi="Calibri" w:cs="Times New Roman"/>
                <w:b/>
                <w:bCs/>
                <w:color w:val="000000"/>
                <w:lang w:eastAsia="en-GB"/>
              </w:rPr>
              <w:t>Change from 06/07 to 15/16</w:t>
            </w:r>
          </w:p>
        </w:tc>
      </w:tr>
      <w:tr w:rsidR="000C6197" w:rsidRPr="000C6197" w:rsidTr="001D6EFB">
        <w:trPr>
          <w:trHeight w:val="515"/>
        </w:trPr>
        <w:tc>
          <w:tcPr>
            <w:tcW w:w="1777" w:type="dxa"/>
            <w:vMerge/>
            <w:tcBorders>
              <w:top w:val="single" w:sz="8" w:space="0" w:color="auto"/>
              <w:left w:val="single" w:sz="8" w:space="0" w:color="auto"/>
              <w:bottom w:val="single" w:sz="8" w:space="0" w:color="000000"/>
              <w:right w:val="single" w:sz="8" w:space="0" w:color="auto"/>
            </w:tcBorders>
            <w:vAlign w:val="center"/>
            <w:hideMark/>
          </w:tcPr>
          <w:p w:rsidR="000C6197" w:rsidRPr="000C6197" w:rsidRDefault="000C6197" w:rsidP="000C6197">
            <w:pPr>
              <w:spacing w:after="0" w:line="240" w:lineRule="auto"/>
              <w:rPr>
                <w:rFonts w:ascii="Calibri" w:eastAsia="Times New Roman" w:hAnsi="Calibri" w:cs="Times New Roman"/>
                <w:b/>
                <w:bCs/>
                <w:color w:val="000000"/>
                <w:lang w:eastAsia="en-GB"/>
              </w:rPr>
            </w:pPr>
          </w:p>
        </w:tc>
        <w:tc>
          <w:tcPr>
            <w:tcW w:w="1002" w:type="dxa"/>
            <w:tcBorders>
              <w:top w:val="nil"/>
              <w:left w:val="nil"/>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2006/07</w:t>
            </w:r>
          </w:p>
        </w:tc>
        <w:tc>
          <w:tcPr>
            <w:tcW w:w="1002" w:type="dxa"/>
            <w:tcBorders>
              <w:top w:val="nil"/>
              <w:left w:val="nil"/>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2015/16</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p>
        </w:tc>
        <w:tc>
          <w:tcPr>
            <w:tcW w:w="1903" w:type="dxa"/>
            <w:vMerge/>
            <w:tcBorders>
              <w:top w:val="single" w:sz="8" w:space="0" w:color="auto"/>
              <w:left w:val="single" w:sz="8" w:space="0" w:color="auto"/>
              <w:bottom w:val="single" w:sz="8" w:space="0" w:color="000000"/>
              <w:right w:val="single" w:sz="8" w:space="0" w:color="auto"/>
            </w:tcBorders>
            <w:vAlign w:val="center"/>
            <w:hideMark/>
          </w:tcPr>
          <w:p w:rsidR="000C6197" w:rsidRPr="000C6197" w:rsidRDefault="000C6197" w:rsidP="000C6197">
            <w:pPr>
              <w:spacing w:after="0" w:line="240" w:lineRule="auto"/>
              <w:rPr>
                <w:rFonts w:ascii="Calibri" w:eastAsia="Times New Roman" w:hAnsi="Calibri" w:cs="Times New Roman"/>
                <w:b/>
                <w:bCs/>
                <w:color w:val="000000"/>
                <w:lang w:eastAsia="en-GB"/>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0C6197" w:rsidRPr="000C6197" w:rsidRDefault="000C6197" w:rsidP="000C6197">
            <w:pPr>
              <w:spacing w:after="0" w:line="240" w:lineRule="auto"/>
              <w:rPr>
                <w:rFonts w:ascii="Calibri" w:eastAsia="Times New Roman" w:hAnsi="Calibri" w:cs="Times New Roman"/>
                <w:b/>
                <w:bCs/>
                <w:color w:val="000000"/>
                <w:lang w:eastAsia="en-GB"/>
              </w:rPr>
            </w:pPr>
          </w:p>
        </w:tc>
      </w:tr>
      <w:tr w:rsidR="000C6197" w:rsidRPr="000C6197" w:rsidTr="001D6EFB">
        <w:trPr>
          <w:trHeight w:val="116"/>
        </w:trPr>
        <w:tc>
          <w:tcPr>
            <w:tcW w:w="1777" w:type="dxa"/>
            <w:tcBorders>
              <w:top w:val="nil"/>
              <w:left w:val="single" w:sz="8" w:space="0" w:color="auto"/>
              <w:bottom w:val="single" w:sz="8" w:space="0" w:color="auto"/>
              <w:right w:val="nil"/>
            </w:tcBorders>
            <w:shd w:val="clear" w:color="auto" w:fill="auto"/>
            <w:noWrap/>
            <w:vAlign w:val="center"/>
            <w:hideMark/>
          </w:tcPr>
          <w:p w:rsidR="000C6197" w:rsidRPr="001D6EFB" w:rsidRDefault="000C6197" w:rsidP="000C6197">
            <w:pPr>
              <w:spacing w:after="0" w:line="240" w:lineRule="auto"/>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002" w:type="dxa"/>
            <w:tcBorders>
              <w:top w:val="nil"/>
              <w:left w:val="nil"/>
              <w:bottom w:val="single" w:sz="8" w:space="0" w:color="auto"/>
              <w:right w:val="nil"/>
            </w:tcBorders>
            <w:shd w:val="clear" w:color="auto" w:fill="auto"/>
            <w:noWrap/>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002" w:type="dxa"/>
            <w:tcBorders>
              <w:top w:val="nil"/>
              <w:left w:val="nil"/>
              <w:bottom w:val="single" w:sz="8" w:space="0" w:color="auto"/>
              <w:right w:val="single" w:sz="8" w:space="0" w:color="auto"/>
            </w:tcBorders>
            <w:shd w:val="clear" w:color="auto" w:fill="auto"/>
            <w:noWrap/>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214" w:type="dxa"/>
            <w:tcBorders>
              <w:top w:val="nil"/>
              <w:left w:val="nil"/>
              <w:bottom w:val="nil"/>
              <w:right w:val="nil"/>
            </w:tcBorders>
            <w:shd w:val="clear" w:color="auto" w:fill="auto"/>
            <w:noWrap/>
            <w:vAlign w:val="bottom"/>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p>
        </w:tc>
        <w:tc>
          <w:tcPr>
            <w:tcW w:w="1903" w:type="dxa"/>
            <w:tcBorders>
              <w:top w:val="nil"/>
              <w:left w:val="single" w:sz="8" w:space="0" w:color="auto"/>
              <w:bottom w:val="single" w:sz="8" w:space="0" w:color="auto"/>
              <w:right w:val="nil"/>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640" w:type="dxa"/>
            <w:tcBorders>
              <w:top w:val="nil"/>
              <w:left w:val="nil"/>
              <w:bottom w:val="single" w:sz="8" w:space="0" w:color="auto"/>
              <w:right w:val="single" w:sz="8" w:space="0" w:color="auto"/>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r>
      <w:tr w:rsidR="000C6197" w:rsidRPr="000C6197" w:rsidTr="001D6EFB">
        <w:trPr>
          <w:trHeight w:val="268"/>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rsidR="000C6197" w:rsidRPr="000C6197" w:rsidRDefault="002B041D" w:rsidP="000C619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Fleet Vehicles</w:t>
            </w:r>
            <w:r w:rsidR="000C6197" w:rsidRPr="000C6197">
              <w:rPr>
                <w:rFonts w:ascii="Calibri" w:eastAsia="Times New Roman" w:hAnsi="Calibri" w:cs="Times New Roman"/>
                <w:color w:val="000000"/>
                <w:lang w:eastAsia="en-GB"/>
              </w:rPr>
              <w:t xml:space="preserve">  </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53</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38</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p>
        </w:tc>
        <w:tc>
          <w:tcPr>
            <w:tcW w:w="1903" w:type="dxa"/>
            <w:tcBorders>
              <w:top w:val="nil"/>
              <w:left w:val="single" w:sz="8" w:space="0" w:color="auto"/>
              <w:bottom w:val="single" w:sz="8" w:space="0" w:color="auto"/>
              <w:right w:val="single" w:sz="8" w:space="0" w:color="auto"/>
            </w:tcBorders>
            <w:shd w:val="clear" w:color="auto" w:fill="auto"/>
            <w:vAlign w:val="center"/>
            <w:hideMark/>
          </w:tcPr>
          <w:p w:rsidR="000C6197" w:rsidRPr="000C6197" w:rsidRDefault="000C6197" w:rsidP="001D6EFB">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0.</w:t>
            </w:r>
            <w:r w:rsidR="001D6EFB">
              <w:rPr>
                <w:rFonts w:ascii="Calibri" w:eastAsia="Times New Roman" w:hAnsi="Calibri" w:cs="Times New Roman"/>
                <w:color w:val="000000"/>
                <w:lang w:eastAsia="en-GB"/>
              </w:rPr>
              <w:t>8</w:t>
            </w:r>
          </w:p>
        </w:tc>
        <w:tc>
          <w:tcPr>
            <w:tcW w:w="1640"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-28</w:t>
            </w:r>
          </w:p>
        </w:tc>
      </w:tr>
      <w:tr w:rsidR="000C6197" w:rsidRPr="000C6197" w:rsidTr="001D6EFB">
        <w:trPr>
          <w:trHeight w:val="113"/>
        </w:trPr>
        <w:tc>
          <w:tcPr>
            <w:tcW w:w="1777" w:type="dxa"/>
            <w:tcBorders>
              <w:top w:val="nil"/>
              <w:left w:val="single" w:sz="8" w:space="0" w:color="auto"/>
              <w:bottom w:val="single" w:sz="8" w:space="0" w:color="auto"/>
              <w:right w:val="nil"/>
            </w:tcBorders>
            <w:shd w:val="clear" w:color="auto" w:fill="auto"/>
            <w:noWrap/>
            <w:vAlign w:val="center"/>
            <w:hideMark/>
          </w:tcPr>
          <w:p w:rsidR="000C6197" w:rsidRPr="001D6EFB" w:rsidRDefault="000C6197" w:rsidP="000C6197">
            <w:pPr>
              <w:spacing w:after="0" w:line="240" w:lineRule="auto"/>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002" w:type="dxa"/>
            <w:tcBorders>
              <w:top w:val="nil"/>
              <w:left w:val="nil"/>
              <w:bottom w:val="single" w:sz="8" w:space="0" w:color="auto"/>
              <w:right w:val="nil"/>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002" w:type="dxa"/>
            <w:tcBorders>
              <w:top w:val="nil"/>
              <w:left w:val="nil"/>
              <w:bottom w:val="single" w:sz="8" w:space="0" w:color="auto"/>
              <w:right w:val="single" w:sz="8" w:space="0" w:color="auto"/>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214" w:type="dxa"/>
            <w:tcBorders>
              <w:top w:val="nil"/>
              <w:left w:val="nil"/>
              <w:bottom w:val="nil"/>
              <w:right w:val="nil"/>
            </w:tcBorders>
            <w:shd w:val="clear" w:color="auto" w:fill="auto"/>
            <w:noWrap/>
            <w:vAlign w:val="bottom"/>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p>
        </w:tc>
        <w:tc>
          <w:tcPr>
            <w:tcW w:w="1903" w:type="dxa"/>
            <w:tcBorders>
              <w:top w:val="nil"/>
              <w:left w:val="single" w:sz="8" w:space="0" w:color="auto"/>
              <w:bottom w:val="single" w:sz="8" w:space="0" w:color="auto"/>
              <w:right w:val="nil"/>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640" w:type="dxa"/>
            <w:tcBorders>
              <w:top w:val="nil"/>
              <w:left w:val="nil"/>
              <w:bottom w:val="single" w:sz="8" w:space="0" w:color="auto"/>
              <w:right w:val="single" w:sz="8" w:space="0" w:color="auto"/>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r>
      <w:tr w:rsidR="000C6197" w:rsidRPr="000C6197" w:rsidTr="001D6EFB">
        <w:trPr>
          <w:trHeight w:val="268"/>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rsidR="000C6197" w:rsidRPr="000C6197" w:rsidRDefault="000C6197" w:rsidP="000C6197">
            <w:pPr>
              <w:spacing w:after="0" w:line="240" w:lineRule="auto"/>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Waste</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270</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19</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p>
        </w:tc>
        <w:tc>
          <w:tcPr>
            <w:tcW w:w="1903" w:type="dxa"/>
            <w:tcBorders>
              <w:top w:val="nil"/>
              <w:left w:val="single" w:sz="8" w:space="0" w:color="auto"/>
              <w:bottom w:val="single" w:sz="8" w:space="0" w:color="auto"/>
              <w:right w:val="single" w:sz="8" w:space="0" w:color="auto"/>
            </w:tcBorders>
            <w:shd w:val="clear" w:color="auto" w:fill="auto"/>
            <w:vAlign w:val="center"/>
            <w:hideMark/>
          </w:tcPr>
          <w:p w:rsidR="000C6197" w:rsidRPr="000C6197" w:rsidRDefault="001D6EFB" w:rsidP="001D6EF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w:t>
            </w:r>
          </w:p>
        </w:tc>
        <w:tc>
          <w:tcPr>
            <w:tcW w:w="1640"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-93</w:t>
            </w:r>
          </w:p>
        </w:tc>
      </w:tr>
      <w:tr w:rsidR="000C6197" w:rsidRPr="000C6197" w:rsidTr="001D6EFB">
        <w:trPr>
          <w:trHeight w:val="268"/>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rsidR="000C6197" w:rsidRPr="000C6197" w:rsidRDefault="000C6197" w:rsidP="000C6197">
            <w:pPr>
              <w:spacing w:after="0" w:line="240" w:lineRule="auto"/>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Fuel oil</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108</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784008" w:rsidP="000C619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r w:rsidR="000C6197" w:rsidRPr="000C6197">
              <w:rPr>
                <w:rFonts w:ascii="Calibri" w:eastAsia="Times New Roman" w:hAnsi="Calibri" w:cs="Times New Roman"/>
                <w:color w:val="000000"/>
                <w:lang w:eastAsia="en-GB"/>
              </w:rPr>
              <w:t> </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p>
        </w:tc>
        <w:tc>
          <w:tcPr>
            <w:tcW w:w="1903" w:type="dxa"/>
            <w:tcBorders>
              <w:top w:val="nil"/>
              <w:left w:val="single" w:sz="8" w:space="0" w:color="auto"/>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0.00</w:t>
            </w:r>
          </w:p>
        </w:tc>
        <w:tc>
          <w:tcPr>
            <w:tcW w:w="1640"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-100</w:t>
            </w:r>
          </w:p>
        </w:tc>
      </w:tr>
      <w:tr w:rsidR="000C6197" w:rsidRPr="000C6197" w:rsidTr="001D6EFB">
        <w:trPr>
          <w:trHeight w:val="49"/>
        </w:trPr>
        <w:tc>
          <w:tcPr>
            <w:tcW w:w="1777" w:type="dxa"/>
            <w:tcBorders>
              <w:top w:val="nil"/>
              <w:left w:val="single" w:sz="8" w:space="0" w:color="auto"/>
              <w:bottom w:val="single" w:sz="8" w:space="0" w:color="auto"/>
              <w:right w:val="nil"/>
            </w:tcBorders>
            <w:shd w:val="clear" w:color="auto" w:fill="auto"/>
            <w:noWrap/>
            <w:vAlign w:val="center"/>
            <w:hideMark/>
          </w:tcPr>
          <w:p w:rsidR="000C6197" w:rsidRPr="001D6EFB" w:rsidRDefault="000C6197" w:rsidP="000C6197">
            <w:pPr>
              <w:spacing w:after="0" w:line="240" w:lineRule="auto"/>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002" w:type="dxa"/>
            <w:tcBorders>
              <w:top w:val="nil"/>
              <w:left w:val="nil"/>
              <w:bottom w:val="single" w:sz="8" w:space="0" w:color="auto"/>
              <w:right w:val="nil"/>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002" w:type="dxa"/>
            <w:tcBorders>
              <w:top w:val="nil"/>
              <w:left w:val="nil"/>
              <w:bottom w:val="single" w:sz="8" w:space="0" w:color="auto"/>
              <w:right w:val="single" w:sz="8" w:space="0" w:color="auto"/>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214" w:type="dxa"/>
            <w:tcBorders>
              <w:top w:val="nil"/>
              <w:left w:val="nil"/>
              <w:bottom w:val="nil"/>
              <w:right w:val="nil"/>
            </w:tcBorders>
            <w:shd w:val="clear" w:color="auto" w:fill="auto"/>
            <w:noWrap/>
            <w:vAlign w:val="bottom"/>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p>
        </w:tc>
        <w:tc>
          <w:tcPr>
            <w:tcW w:w="1903" w:type="dxa"/>
            <w:tcBorders>
              <w:top w:val="nil"/>
              <w:left w:val="single" w:sz="8" w:space="0" w:color="auto"/>
              <w:bottom w:val="single" w:sz="8" w:space="0" w:color="auto"/>
              <w:right w:val="nil"/>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640" w:type="dxa"/>
            <w:tcBorders>
              <w:top w:val="nil"/>
              <w:left w:val="nil"/>
              <w:bottom w:val="single" w:sz="8" w:space="0" w:color="auto"/>
              <w:right w:val="single" w:sz="8" w:space="0" w:color="auto"/>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r>
      <w:tr w:rsidR="000C6197" w:rsidRPr="000C6197" w:rsidTr="001D6EFB">
        <w:trPr>
          <w:trHeight w:val="268"/>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rsidR="000C6197" w:rsidRPr="000C6197" w:rsidRDefault="000C6197" w:rsidP="000C6197">
            <w:pPr>
              <w:spacing w:after="0" w:line="240" w:lineRule="auto"/>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Electricity</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4,611</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3,106</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p>
        </w:tc>
        <w:tc>
          <w:tcPr>
            <w:tcW w:w="1903" w:type="dxa"/>
            <w:tcBorders>
              <w:top w:val="nil"/>
              <w:left w:val="single" w:sz="8" w:space="0" w:color="auto"/>
              <w:bottom w:val="single" w:sz="8" w:space="0" w:color="auto"/>
              <w:right w:val="single" w:sz="8" w:space="0" w:color="auto"/>
            </w:tcBorders>
            <w:shd w:val="clear" w:color="auto" w:fill="auto"/>
            <w:vAlign w:val="center"/>
            <w:hideMark/>
          </w:tcPr>
          <w:p w:rsidR="000C6197" w:rsidRPr="000C6197" w:rsidRDefault="000C6197" w:rsidP="001D6EFB">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64.5</w:t>
            </w:r>
          </w:p>
        </w:tc>
        <w:tc>
          <w:tcPr>
            <w:tcW w:w="1640"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-33</w:t>
            </w:r>
          </w:p>
        </w:tc>
      </w:tr>
      <w:tr w:rsidR="000C6197" w:rsidRPr="000C6197" w:rsidTr="001D6EFB">
        <w:trPr>
          <w:trHeight w:val="268"/>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rsidR="000C6197" w:rsidRPr="000C6197" w:rsidRDefault="000C6197" w:rsidP="000C6197">
            <w:pPr>
              <w:spacing w:after="0" w:line="240" w:lineRule="auto"/>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Gas</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3,311</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1,622</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p>
        </w:tc>
        <w:tc>
          <w:tcPr>
            <w:tcW w:w="1903" w:type="dxa"/>
            <w:tcBorders>
              <w:top w:val="nil"/>
              <w:left w:val="single" w:sz="8" w:space="0" w:color="auto"/>
              <w:bottom w:val="single" w:sz="8" w:space="0" w:color="auto"/>
              <w:right w:val="single" w:sz="8" w:space="0" w:color="auto"/>
            </w:tcBorders>
            <w:shd w:val="clear" w:color="auto" w:fill="auto"/>
            <w:vAlign w:val="center"/>
            <w:hideMark/>
          </w:tcPr>
          <w:p w:rsidR="000C6197" w:rsidRPr="000C6197" w:rsidRDefault="001D6EFB" w:rsidP="000C619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33.7</w:t>
            </w:r>
          </w:p>
        </w:tc>
        <w:tc>
          <w:tcPr>
            <w:tcW w:w="1640"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-51</w:t>
            </w:r>
          </w:p>
        </w:tc>
      </w:tr>
      <w:tr w:rsidR="000C6197" w:rsidRPr="000C6197" w:rsidTr="001D6EFB">
        <w:trPr>
          <w:trHeight w:val="268"/>
        </w:trPr>
        <w:tc>
          <w:tcPr>
            <w:tcW w:w="1777" w:type="dxa"/>
            <w:tcBorders>
              <w:top w:val="nil"/>
              <w:left w:val="single" w:sz="8" w:space="0" w:color="auto"/>
              <w:bottom w:val="single" w:sz="8" w:space="0" w:color="auto"/>
              <w:right w:val="single" w:sz="8" w:space="0" w:color="auto"/>
            </w:tcBorders>
            <w:shd w:val="clear" w:color="auto" w:fill="auto"/>
            <w:noWrap/>
            <w:vAlign w:val="center"/>
            <w:hideMark/>
          </w:tcPr>
          <w:p w:rsidR="000C6197" w:rsidRPr="000C6197" w:rsidRDefault="000C6197" w:rsidP="000C6197">
            <w:pPr>
              <w:spacing w:after="0" w:line="240" w:lineRule="auto"/>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Water</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59</w:t>
            </w:r>
          </w:p>
        </w:tc>
        <w:tc>
          <w:tcPr>
            <w:tcW w:w="1002"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29</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p>
        </w:tc>
        <w:tc>
          <w:tcPr>
            <w:tcW w:w="1903" w:type="dxa"/>
            <w:tcBorders>
              <w:top w:val="nil"/>
              <w:left w:val="single" w:sz="8" w:space="0" w:color="auto"/>
              <w:bottom w:val="single" w:sz="8" w:space="0" w:color="auto"/>
              <w:right w:val="single" w:sz="8" w:space="0" w:color="auto"/>
            </w:tcBorders>
            <w:shd w:val="clear" w:color="auto" w:fill="auto"/>
            <w:vAlign w:val="center"/>
            <w:hideMark/>
          </w:tcPr>
          <w:p w:rsidR="000C6197" w:rsidRPr="000C6197" w:rsidRDefault="001D6EFB" w:rsidP="000C619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w:t>
            </w:r>
          </w:p>
        </w:tc>
        <w:tc>
          <w:tcPr>
            <w:tcW w:w="1640" w:type="dxa"/>
            <w:tcBorders>
              <w:top w:val="nil"/>
              <w:left w:val="nil"/>
              <w:bottom w:val="single" w:sz="8" w:space="0" w:color="auto"/>
              <w:right w:val="single" w:sz="8" w:space="0" w:color="auto"/>
            </w:tcBorders>
            <w:shd w:val="clear" w:color="auto" w:fill="auto"/>
            <w:vAlign w:val="center"/>
            <w:hideMark/>
          </w:tcPr>
          <w:p w:rsidR="000C6197" w:rsidRPr="000C6197" w:rsidRDefault="000C6197" w:rsidP="000C6197">
            <w:pPr>
              <w:spacing w:after="0" w:line="240" w:lineRule="auto"/>
              <w:jc w:val="center"/>
              <w:rPr>
                <w:rFonts w:ascii="Calibri" w:eastAsia="Times New Roman" w:hAnsi="Calibri" w:cs="Times New Roman"/>
                <w:color w:val="000000"/>
                <w:lang w:eastAsia="en-GB"/>
              </w:rPr>
            </w:pPr>
            <w:r w:rsidRPr="000C6197">
              <w:rPr>
                <w:rFonts w:ascii="Calibri" w:eastAsia="Times New Roman" w:hAnsi="Calibri" w:cs="Times New Roman"/>
                <w:color w:val="000000"/>
                <w:lang w:eastAsia="en-GB"/>
              </w:rPr>
              <w:t>-51</w:t>
            </w:r>
          </w:p>
        </w:tc>
      </w:tr>
      <w:tr w:rsidR="000C6197" w:rsidRPr="000C6197" w:rsidTr="001D6EFB">
        <w:trPr>
          <w:trHeight w:val="268"/>
        </w:trPr>
        <w:tc>
          <w:tcPr>
            <w:tcW w:w="1777" w:type="dxa"/>
            <w:tcBorders>
              <w:top w:val="nil"/>
              <w:left w:val="single" w:sz="8" w:space="0" w:color="auto"/>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Total Utilities</w:t>
            </w:r>
          </w:p>
        </w:tc>
        <w:tc>
          <w:tcPr>
            <w:tcW w:w="1002" w:type="dxa"/>
            <w:tcBorders>
              <w:top w:val="nil"/>
              <w:left w:val="nil"/>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7,981</w:t>
            </w:r>
          </w:p>
        </w:tc>
        <w:tc>
          <w:tcPr>
            <w:tcW w:w="1002" w:type="dxa"/>
            <w:tcBorders>
              <w:top w:val="nil"/>
              <w:left w:val="nil"/>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4,756</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p>
        </w:tc>
        <w:tc>
          <w:tcPr>
            <w:tcW w:w="1903" w:type="dxa"/>
            <w:tcBorders>
              <w:top w:val="nil"/>
              <w:left w:val="single" w:sz="8" w:space="0" w:color="auto"/>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99</w:t>
            </w:r>
          </w:p>
        </w:tc>
        <w:tc>
          <w:tcPr>
            <w:tcW w:w="1640" w:type="dxa"/>
            <w:tcBorders>
              <w:top w:val="nil"/>
              <w:left w:val="nil"/>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-40</w:t>
            </w:r>
          </w:p>
        </w:tc>
      </w:tr>
      <w:tr w:rsidR="000C6197" w:rsidRPr="000C6197" w:rsidTr="001D6EFB">
        <w:trPr>
          <w:trHeight w:val="44"/>
        </w:trPr>
        <w:tc>
          <w:tcPr>
            <w:tcW w:w="1777" w:type="dxa"/>
            <w:tcBorders>
              <w:top w:val="nil"/>
              <w:left w:val="single" w:sz="8" w:space="0" w:color="auto"/>
              <w:bottom w:val="single" w:sz="8" w:space="0" w:color="auto"/>
              <w:right w:val="nil"/>
            </w:tcBorders>
            <w:shd w:val="clear" w:color="auto" w:fill="auto"/>
            <w:noWrap/>
            <w:vAlign w:val="center"/>
            <w:hideMark/>
          </w:tcPr>
          <w:p w:rsidR="000C6197" w:rsidRPr="001D6EFB" w:rsidRDefault="000C6197" w:rsidP="000C6197">
            <w:pPr>
              <w:spacing w:after="0" w:line="240" w:lineRule="auto"/>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002" w:type="dxa"/>
            <w:tcBorders>
              <w:top w:val="nil"/>
              <w:left w:val="nil"/>
              <w:bottom w:val="single" w:sz="8" w:space="0" w:color="auto"/>
              <w:right w:val="nil"/>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002" w:type="dxa"/>
            <w:tcBorders>
              <w:top w:val="nil"/>
              <w:left w:val="nil"/>
              <w:bottom w:val="single" w:sz="8" w:space="0" w:color="auto"/>
              <w:right w:val="single" w:sz="8" w:space="0" w:color="auto"/>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214" w:type="dxa"/>
            <w:tcBorders>
              <w:top w:val="nil"/>
              <w:left w:val="nil"/>
              <w:bottom w:val="nil"/>
              <w:right w:val="nil"/>
            </w:tcBorders>
            <w:shd w:val="clear" w:color="auto" w:fill="auto"/>
            <w:noWrap/>
            <w:vAlign w:val="bottom"/>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p>
        </w:tc>
        <w:tc>
          <w:tcPr>
            <w:tcW w:w="1903" w:type="dxa"/>
            <w:tcBorders>
              <w:top w:val="nil"/>
              <w:left w:val="single" w:sz="8" w:space="0" w:color="auto"/>
              <w:bottom w:val="single" w:sz="8" w:space="0" w:color="auto"/>
              <w:right w:val="single" w:sz="8" w:space="0" w:color="auto"/>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c>
          <w:tcPr>
            <w:tcW w:w="1640" w:type="dxa"/>
            <w:tcBorders>
              <w:top w:val="nil"/>
              <w:left w:val="nil"/>
              <w:bottom w:val="single" w:sz="8" w:space="0" w:color="auto"/>
              <w:right w:val="single" w:sz="8" w:space="0" w:color="auto"/>
            </w:tcBorders>
            <w:shd w:val="clear" w:color="auto" w:fill="auto"/>
            <w:vAlign w:val="center"/>
            <w:hideMark/>
          </w:tcPr>
          <w:p w:rsidR="000C6197" w:rsidRPr="001D6EFB" w:rsidRDefault="000C6197" w:rsidP="000C6197">
            <w:pPr>
              <w:spacing w:after="0" w:line="240" w:lineRule="auto"/>
              <w:jc w:val="center"/>
              <w:rPr>
                <w:rFonts w:ascii="Calibri" w:eastAsia="Times New Roman" w:hAnsi="Calibri" w:cs="Times New Roman"/>
                <w:color w:val="000000"/>
                <w:sz w:val="16"/>
                <w:szCs w:val="16"/>
                <w:lang w:eastAsia="en-GB"/>
              </w:rPr>
            </w:pPr>
            <w:r w:rsidRPr="001D6EFB">
              <w:rPr>
                <w:rFonts w:ascii="Calibri" w:eastAsia="Times New Roman" w:hAnsi="Calibri" w:cs="Times New Roman"/>
                <w:color w:val="000000"/>
                <w:sz w:val="16"/>
                <w:szCs w:val="16"/>
                <w:lang w:eastAsia="en-GB"/>
              </w:rPr>
              <w:t> </w:t>
            </w:r>
          </w:p>
        </w:tc>
      </w:tr>
      <w:tr w:rsidR="000C6197" w:rsidRPr="000C6197" w:rsidTr="001D6EFB">
        <w:trPr>
          <w:trHeight w:val="268"/>
        </w:trPr>
        <w:tc>
          <w:tcPr>
            <w:tcW w:w="1777" w:type="dxa"/>
            <w:tcBorders>
              <w:top w:val="nil"/>
              <w:left w:val="single" w:sz="8" w:space="0" w:color="auto"/>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Grand total</w:t>
            </w:r>
          </w:p>
        </w:tc>
        <w:tc>
          <w:tcPr>
            <w:tcW w:w="1002" w:type="dxa"/>
            <w:tcBorders>
              <w:top w:val="nil"/>
              <w:left w:val="nil"/>
              <w:bottom w:val="single" w:sz="8" w:space="0" w:color="auto"/>
              <w:right w:val="nil"/>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8412</w:t>
            </w:r>
          </w:p>
        </w:tc>
        <w:tc>
          <w:tcPr>
            <w:tcW w:w="1002" w:type="dxa"/>
            <w:tcBorders>
              <w:top w:val="nil"/>
              <w:left w:val="nil"/>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4814</w:t>
            </w:r>
          </w:p>
        </w:tc>
        <w:tc>
          <w:tcPr>
            <w:tcW w:w="214" w:type="dxa"/>
            <w:tcBorders>
              <w:top w:val="nil"/>
              <w:left w:val="nil"/>
              <w:bottom w:val="nil"/>
              <w:right w:val="nil"/>
            </w:tcBorders>
            <w:shd w:val="clear" w:color="auto" w:fill="auto"/>
            <w:noWrap/>
            <w:vAlign w:val="bottom"/>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p>
        </w:tc>
        <w:tc>
          <w:tcPr>
            <w:tcW w:w="1903" w:type="dxa"/>
            <w:tcBorders>
              <w:top w:val="nil"/>
              <w:left w:val="single" w:sz="8" w:space="0" w:color="auto"/>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100</w:t>
            </w:r>
          </w:p>
        </w:tc>
        <w:tc>
          <w:tcPr>
            <w:tcW w:w="1640" w:type="dxa"/>
            <w:tcBorders>
              <w:top w:val="nil"/>
              <w:left w:val="nil"/>
              <w:bottom w:val="single" w:sz="8" w:space="0" w:color="auto"/>
              <w:right w:val="single" w:sz="8" w:space="0" w:color="auto"/>
            </w:tcBorders>
            <w:shd w:val="clear" w:color="000000" w:fill="BFBFBF"/>
            <w:noWrap/>
            <w:vAlign w:val="center"/>
            <w:hideMark/>
          </w:tcPr>
          <w:p w:rsidR="000C6197" w:rsidRPr="000C6197" w:rsidRDefault="000C6197" w:rsidP="000C6197">
            <w:pPr>
              <w:spacing w:after="0" w:line="240" w:lineRule="auto"/>
              <w:jc w:val="center"/>
              <w:rPr>
                <w:rFonts w:ascii="Calibri" w:eastAsia="Times New Roman" w:hAnsi="Calibri" w:cs="Times New Roman"/>
                <w:b/>
                <w:bCs/>
                <w:color w:val="000000"/>
                <w:lang w:eastAsia="en-GB"/>
              </w:rPr>
            </w:pPr>
            <w:r w:rsidRPr="000C6197">
              <w:rPr>
                <w:rFonts w:ascii="Calibri" w:eastAsia="Times New Roman" w:hAnsi="Calibri" w:cs="Times New Roman"/>
                <w:b/>
                <w:bCs/>
                <w:color w:val="000000"/>
                <w:lang w:eastAsia="en-GB"/>
              </w:rPr>
              <w:t>-42.8</w:t>
            </w:r>
          </w:p>
        </w:tc>
      </w:tr>
    </w:tbl>
    <w:p w:rsidR="009A7673" w:rsidRDefault="009A7673">
      <w:pPr>
        <w:rPr>
          <w:b/>
          <w:sz w:val="28"/>
        </w:rPr>
      </w:pPr>
    </w:p>
    <w:p w:rsidR="00C408DD" w:rsidRPr="009A7673" w:rsidRDefault="00C408DD">
      <w:pPr>
        <w:rPr>
          <w:b/>
          <w:sz w:val="24"/>
          <w:u w:val="single"/>
        </w:rPr>
      </w:pPr>
      <w:r w:rsidRPr="009A7673">
        <w:rPr>
          <w:b/>
          <w:sz w:val="24"/>
          <w:u w:val="single"/>
        </w:rPr>
        <w:t xml:space="preserve">Options for </w:t>
      </w:r>
      <w:r w:rsidR="003906A4" w:rsidRPr="009A7673">
        <w:rPr>
          <w:b/>
          <w:sz w:val="24"/>
          <w:u w:val="single"/>
        </w:rPr>
        <w:t xml:space="preserve">scope, </w:t>
      </w:r>
      <w:r w:rsidRPr="009A7673">
        <w:rPr>
          <w:b/>
          <w:sz w:val="24"/>
          <w:u w:val="single"/>
        </w:rPr>
        <w:t>targets</w:t>
      </w:r>
      <w:r w:rsidR="003906A4" w:rsidRPr="009A7673">
        <w:rPr>
          <w:b/>
          <w:sz w:val="24"/>
          <w:u w:val="single"/>
        </w:rPr>
        <w:t xml:space="preserve"> and</w:t>
      </w:r>
      <w:r w:rsidRPr="009A7673">
        <w:rPr>
          <w:b/>
          <w:sz w:val="24"/>
          <w:u w:val="single"/>
        </w:rPr>
        <w:t xml:space="preserve"> KPIs</w:t>
      </w:r>
    </w:p>
    <w:p w:rsidR="000C6197" w:rsidRPr="00845446" w:rsidRDefault="000C6197">
      <w:r w:rsidRPr="00845446">
        <w:t>A target was set in 2011/2012 to reduce emissions by 35% by 2015/2016</w:t>
      </w:r>
      <w:r w:rsidR="00784008">
        <w:t xml:space="preserve"> (following an audit of the Carbon Management Plan led by the Carbon Trust)</w:t>
      </w:r>
      <w:r w:rsidRPr="00845446">
        <w:t>. Th</w:t>
      </w:r>
      <w:r w:rsidR="00845446">
        <w:t xml:space="preserve">e scope of emissions included in this </w:t>
      </w:r>
      <w:r w:rsidRPr="00845446">
        <w:t xml:space="preserve">target </w:t>
      </w:r>
      <w:r w:rsidR="00845446">
        <w:t xml:space="preserve">included those from </w:t>
      </w:r>
      <w:r w:rsidRPr="00845446">
        <w:t>electricity, gas and water consumed by academic buildings</w:t>
      </w:r>
      <w:r w:rsidR="00845446">
        <w:t>, business travel and waste.</w:t>
      </w:r>
    </w:p>
    <w:p w:rsidR="000C6197" w:rsidRDefault="000C6197" w:rsidP="000C6197">
      <w:r w:rsidRPr="00845446">
        <w:t xml:space="preserve">A range of options exist to modify the scope of the target or to set targets for different emissions </w:t>
      </w:r>
      <w:r w:rsidR="00A96A57">
        <w:t>sources</w:t>
      </w:r>
      <w:r w:rsidRPr="00845446">
        <w:t>.</w:t>
      </w:r>
      <w:r w:rsidR="003671CE" w:rsidRPr="00845446">
        <w:t xml:space="preserve">  Areas to be included in targets should have a good level of data quality or have the potential </w:t>
      </w:r>
      <w:r w:rsidR="003D694A">
        <w:t>for good quality data to be attained.</w:t>
      </w:r>
    </w:p>
    <w:p w:rsidR="002B041D" w:rsidRDefault="002B041D" w:rsidP="000C6197">
      <w:r>
        <w:t xml:space="preserve">Sources included in the 2015/2016 target </w:t>
      </w:r>
      <w:proofErr w:type="gramStart"/>
      <w:r>
        <w:t>are highlighted</w:t>
      </w:r>
      <w:proofErr w:type="gramEnd"/>
      <w:r>
        <w:t xml:space="preserve"> in bold.</w:t>
      </w:r>
    </w:p>
    <w:p w:rsidR="001924E9" w:rsidRDefault="001924E9" w:rsidP="000C6197"/>
    <w:p w:rsidR="001924E9" w:rsidRDefault="001924E9" w:rsidP="000C6197"/>
    <w:p w:rsidR="001924E9" w:rsidRDefault="001924E9" w:rsidP="000C6197"/>
    <w:p w:rsidR="001924E9" w:rsidRPr="00845446" w:rsidRDefault="001924E9" w:rsidP="000C6197"/>
    <w:p w:rsidR="003671CE" w:rsidRPr="003D694A" w:rsidRDefault="003D694A" w:rsidP="000C6197">
      <w:pPr>
        <w:rPr>
          <w:b/>
        </w:rPr>
      </w:pPr>
      <w:r w:rsidRPr="003D694A">
        <w:rPr>
          <w:b/>
        </w:rPr>
        <w:lastRenderedPageBreak/>
        <w:t xml:space="preserve">Table </w:t>
      </w:r>
      <w:r w:rsidR="00A96A57">
        <w:rPr>
          <w:b/>
        </w:rPr>
        <w:t>2</w:t>
      </w:r>
      <w:r w:rsidRPr="003D694A">
        <w:rPr>
          <w:b/>
        </w:rPr>
        <w:t>: Potential areas to include in scope</w:t>
      </w:r>
    </w:p>
    <w:tbl>
      <w:tblPr>
        <w:tblStyle w:val="TableGrid"/>
        <w:tblW w:w="9498" w:type="dxa"/>
        <w:tblInd w:w="-5" w:type="dxa"/>
        <w:tblLayout w:type="fixed"/>
        <w:tblLook w:val="04A0" w:firstRow="1" w:lastRow="0" w:firstColumn="1" w:lastColumn="0" w:noHBand="0" w:noVBand="1"/>
      </w:tblPr>
      <w:tblGrid>
        <w:gridCol w:w="1452"/>
        <w:gridCol w:w="938"/>
        <w:gridCol w:w="1154"/>
        <w:gridCol w:w="5954"/>
      </w:tblGrid>
      <w:tr w:rsidR="00E95BB0" w:rsidTr="00E95BB0">
        <w:trPr>
          <w:trHeight w:val="606"/>
        </w:trPr>
        <w:tc>
          <w:tcPr>
            <w:tcW w:w="1452" w:type="dxa"/>
          </w:tcPr>
          <w:p w:rsidR="00E95BB0" w:rsidRPr="00E95BB0" w:rsidRDefault="00E95BB0" w:rsidP="00720084">
            <w:pPr>
              <w:jc w:val="center"/>
              <w:rPr>
                <w:b/>
                <w:sz w:val="20"/>
                <w:szCs w:val="20"/>
              </w:rPr>
            </w:pPr>
            <w:r w:rsidRPr="00E95BB0">
              <w:rPr>
                <w:b/>
                <w:sz w:val="20"/>
                <w:szCs w:val="20"/>
              </w:rPr>
              <w:t>Source</w:t>
            </w:r>
          </w:p>
        </w:tc>
        <w:tc>
          <w:tcPr>
            <w:tcW w:w="938" w:type="dxa"/>
          </w:tcPr>
          <w:p w:rsidR="00E95BB0" w:rsidRPr="00E95BB0" w:rsidRDefault="00E95BB0" w:rsidP="00720084">
            <w:pPr>
              <w:jc w:val="center"/>
              <w:rPr>
                <w:b/>
                <w:sz w:val="20"/>
                <w:szCs w:val="20"/>
              </w:rPr>
            </w:pPr>
            <w:r w:rsidRPr="00E95BB0">
              <w:rPr>
                <w:b/>
                <w:sz w:val="20"/>
                <w:szCs w:val="20"/>
              </w:rPr>
              <w:t>Data Quality</w:t>
            </w:r>
          </w:p>
        </w:tc>
        <w:tc>
          <w:tcPr>
            <w:tcW w:w="1154" w:type="dxa"/>
          </w:tcPr>
          <w:p w:rsidR="00E95BB0" w:rsidRPr="00E95BB0" w:rsidRDefault="00E95BB0" w:rsidP="00AB2049">
            <w:pPr>
              <w:tabs>
                <w:tab w:val="center" w:pos="2772"/>
                <w:tab w:val="left" w:pos="3694"/>
              </w:tabs>
              <w:rPr>
                <w:b/>
                <w:sz w:val="20"/>
                <w:szCs w:val="20"/>
              </w:rPr>
            </w:pPr>
            <w:r>
              <w:rPr>
                <w:b/>
                <w:sz w:val="20"/>
                <w:szCs w:val="20"/>
              </w:rPr>
              <w:t>SG Reporting</w:t>
            </w:r>
            <w:r w:rsidRPr="00E95BB0">
              <w:rPr>
                <w:b/>
                <w:sz w:val="20"/>
                <w:szCs w:val="20"/>
              </w:rPr>
              <w:tab/>
            </w:r>
          </w:p>
        </w:tc>
        <w:tc>
          <w:tcPr>
            <w:tcW w:w="5954" w:type="dxa"/>
          </w:tcPr>
          <w:p w:rsidR="00E95BB0" w:rsidRPr="00E95BB0" w:rsidRDefault="00E95BB0" w:rsidP="00AB2049">
            <w:pPr>
              <w:tabs>
                <w:tab w:val="center" w:pos="2772"/>
                <w:tab w:val="left" w:pos="3694"/>
              </w:tabs>
              <w:rPr>
                <w:b/>
                <w:sz w:val="20"/>
                <w:szCs w:val="20"/>
              </w:rPr>
            </w:pPr>
            <w:r w:rsidRPr="00E95BB0">
              <w:rPr>
                <w:b/>
                <w:sz w:val="20"/>
                <w:szCs w:val="20"/>
              </w:rPr>
              <w:t>Comment</w:t>
            </w:r>
          </w:p>
        </w:tc>
      </w:tr>
      <w:tr w:rsidR="00E95BB0" w:rsidTr="00E95BB0">
        <w:tc>
          <w:tcPr>
            <w:tcW w:w="9498" w:type="dxa"/>
            <w:gridSpan w:val="4"/>
          </w:tcPr>
          <w:p w:rsidR="00E95BB0" w:rsidRPr="00CA14B9" w:rsidRDefault="00E95BB0" w:rsidP="00720084">
            <w:pPr>
              <w:jc w:val="center"/>
              <w:rPr>
                <w:b/>
              </w:rPr>
            </w:pPr>
            <w:r w:rsidRPr="00CA14B9">
              <w:rPr>
                <w:b/>
              </w:rPr>
              <w:t>Academic Buildings</w:t>
            </w:r>
            <w:r>
              <w:rPr>
                <w:b/>
              </w:rPr>
              <w:t xml:space="preserve"> &amp; Activities</w:t>
            </w:r>
          </w:p>
        </w:tc>
      </w:tr>
      <w:tr w:rsidR="00E95BB0" w:rsidTr="00E95BB0">
        <w:tc>
          <w:tcPr>
            <w:tcW w:w="1452" w:type="dxa"/>
          </w:tcPr>
          <w:p w:rsidR="00E95BB0" w:rsidRPr="002B041D" w:rsidRDefault="00E95BB0" w:rsidP="002B041D">
            <w:pPr>
              <w:ind w:left="360"/>
              <w:rPr>
                <w:b/>
                <w:sz w:val="20"/>
              </w:rPr>
            </w:pPr>
            <w:r w:rsidRPr="002B041D">
              <w:rPr>
                <w:b/>
                <w:sz w:val="20"/>
              </w:rPr>
              <w:t>Electricity</w:t>
            </w:r>
          </w:p>
        </w:tc>
        <w:tc>
          <w:tcPr>
            <w:tcW w:w="938" w:type="dxa"/>
          </w:tcPr>
          <w:p w:rsidR="00E95BB0" w:rsidRPr="003D694A" w:rsidRDefault="00E95BB0" w:rsidP="003671CE">
            <w:pPr>
              <w:rPr>
                <w:sz w:val="20"/>
              </w:rPr>
            </w:pPr>
            <w:r w:rsidRPr="003D694A">
              <w:rPr>
                <w:sz w:val="20"/>
              </w:rPr>
              <w:t>High</w:t>
            </w:r>
          </w:p>
        </w:tc>
        <w:tc>
          <w:tcPr>
            <w:tcW w:w="1154" w:type="dxa"/>
          </w:tcPr>
          <w:p w:rsidR="00E95BB0" w:rsidRPr="003D694A" w:rsidRDefault="00E95BB0" w:rsidP="003671CE">
            <w:pPr>
              <w:rPr>
                <w:sz w:val="20"/>
              </w:rPr>
            </w:pPr>
            <w:r>
              <w:rPr>
                <w:sz w:val="20"/>
              </w:rPr>
              <w:t>Yes</w:t>
            </w:r>
          </w:p>
        </w:tc>
        <w:tc>
          <w:tcPr>
            <w:tcW w:w="5954" w:type="dxa"/>
          </w:tcPr>
          <w:p w:rsidR="00E95BB0" w:rsidRPr="003D694A" w:rsidRDefault="00E95BB0" w:rsidP="003671CE">
            <w:pPr>
              <w:rPr>
                <w:sz w:val="20"/>
              </w:rPr>
            </w:pPr>
          </w:p>
        </w:tc>
      </w:tr>
      <w:tr w:rsidR="00E95BB0" w:rsidTr="00E95BB0">
        <w:tc>
          <w:tcPr>
            <w:tcW w:w="1452" w:type="dxa"/>
          </w:tcPr>
          <w:p w:rsidR="00E95BB0" w:rsidRPr="002B041D" w:rsidRDefault="00E95BB0" w:rsidP="002B041D">
            <w:pPr>
              <w:ind w:left="360"/>
              <w:rPr>
                <w:b/>
                <w:sz w:val="20"/>
              </w:rPr>
            </w:pPr>
            <w:r w:rsidRPr="002B041D">
              <w:rPr>
                <w:b/>
                <w:sz w:val="20"/>
              </w:rPr>
              <w:t>Gas</w:t>
            </w:r>
          </w:p>
        </w:tc>
        <w:tc>
          <w:tcPr>
            <w:tcW w:w="938" w:type="dxa"/>
          </w:tcPr>
          <w:p w:rsidR="00E95BB0" w:rsidRPr="003D694A" w:rsidRDefault="00E95BB0" w:rsidP="003671CE">
            <w:pPr>
              <w:rPr>
                <w:sz w:val="20"/>
              </w:rPr>
            </w:pPr>
            <w:r w:rsidRPr="003D694A">
              <w:rPr>
                <w:sz w:val="20"/>
              </w:rPr>
              <w:t>High</w:t>
            </w:r>
          </w:p>
        </w:tc>
        <w:tc>
          <w:tcPr>
            <w:tcW w:w="1154" w:type="dxa"/>
          </w:tcPr>
          <w:p w:rsidR="00E95BB0" w:rsidRPr="003D694A" w:rsidRDefault="00E95BB0" w:rsidP="003671CE">
            <w:pPr>
              <w:rPr>
                <w:sz w:val="20"/>
              </w:rPr>
            </w:pPr>
            <w:r>
              <w:rPr>
                <w:sz w:val="20"/>
              </w:rPr>
              <w:t>Yes</w:t>
            </w:r>
          </w:p>
        </w:tc>
        <w:tc>
          <w:tcPr>
            <w:tcW w:w="5954" w:type="dxa"/>
          </w:tcPr>
          <w:p w:rsidR="00E95BB0" w:rsidRPr="003D694A" w:rsidRDefault="00E95BB0" w:rsidP="003671CE">
            <w:pPr>
              <w:rPr>
                <w:sz w:val="20"/>
              </w:rPr>
            </w:pPr>
          </w:p>
        </w:tc>
      </w:tr>
      <w:tr w:rsidR="00E95BB0" w:rsidTr="00E95BB0">
        <w:tc>
          <w:tcPr>
            <w:tcW w:w="1452" w:type="dxa"/>
          </w:tcPr>
          <w:p w:rsidR="00E95BB0" w:rsidRPr="002B041D" w:rsidRDefault="00E95BB0" w:rsidP="002B041D">
            <w:pPr>
              <w:ind w:left="360"/>
              <w:rPr>
                <w:b/>
                <w:sz w:val="20"/>
              </w:rPr>
            </w:pPr>
            <w:r w:rsidRPr="002B041D">
              <w:rPr>
                <w:b/>
                <w:sz w:val="20"/>
              </w:rPr>
              <w:t>Water</w:t>
            </w:r>
          </w:p>
        </w:tc>
        <w:tc>
          <w:tcPr>
            <w:tcW w:w="938" w:type="dxa"/>
          </w:tcPr>
          <w:p w:rsidR="00E95BB0" w:rsidRPr="003D694A" w:rsidRDefault="00E95BB0" w:rsidP="003671CE">
            <w:pPr>
              <w:rPr>
                <w:sz w:val="20"/>
              </w:rPr>
            </w:pPr>
            <w:r w:rsidRPr="003D694A">
              <w:rPr>
                <w:sz w:val="20"/>
              </w:rPr>
              <w:t>High</w:t>
            </w:r>
          </w:p>
        </w:tc>
        <w:tc>
          <w:tcPr>
            <w:tcW w:w="1154" w:type="dxa"/>
          </w:tcPr>
          <w:p w:rsidR="00E95BB0" w:rsidRPr="003D694A" w:rsidRDefault="00E95BB0" w:rsidP="003671CE">
            <w:pPr>
              <w:rPr>
                <w:sz w:val="20"/>
              </w:rPr>
            </w:pPr>
            <w:r>
              <w:rPr>
                <w:sz w:val="20"/>
              </w:rPr>
              <w:t>Yes</w:t>
            </w:r>
          </w:p>
        </w:tc>
        <w:tc>
          <w:tcPr>
            <w:tcW w:w="5954" w:type="dxa"/>
          </w:tcPr>
          <w:p w:rsidR="00E95BB0" w:rsidRPr="003D694A" w:rsidRDefault="00E95BB0" w:rsidP="003671CE">
            <w:pPr>
              <w:rPr>
                <w:sz w:val="20"/>
              </w:rPr>
            </w:pPr>
          </w:p>
        </w:tc>
      </w:tr>
      <w:tr w:rsidR="00E95BB0" w:rsidTr="00E95BB0">
        <w:tc>
          <w:tcPr>
            <w:tcW w:w="1452" w:type="dxa"/>
          </w:tcPr>
          <w:p w:rsidR="00E95BB0" w:rsidRPr="002B041D" w:rsidRDefault="00E95BB0" w:rsidP="00E95BB0">
            <w:pPr>
              <w:ind w:left="360"/>
              <w:rPr>
                <w:sz w:val="20"/>
              </w:rPr>
            </w:pPr>
            <w:r w:rsidRPr="002B041D">
              <w:rPr>
                <w:sz w:val="20"/>
              </w:rPr>
              <w:t>F-Gas</w:t>
            </w:r>
            <w:r w:rsidR="00DA2DCA">
              <w:rPr>
                <w:sz w:val="20"/>
              </w:rPr>
              <w:t xml:space="preserve"> </w:t>
            </w:r>
          </w:p>
        </w:tc>
        <w:tc>
          <w:tcPr>
            <w:tcW w:w="938" w:type="dxa"/>
          </w:tcPr>
          <w:p w:rsidR="00E95BB0" w:rsidRPr="003D694A" w:rsidRDefault="00E95BB0" w:rsidP="00E95BB0">
            <w:pPr>
              <w:rPr>
                <w:sz w:val="20"/>
              </w:rPr>
            </w:pPr>
            <w:r>
              <w:rPr>
                <w:sz w:val="20"/>
              </w:rPr>
              <w:t>TBC</w:t>
            </w:r>
          </w:p>
        </w:tc>
        <w:tc>
          <w:tcPr>
            <w:tcW w:w="1154" w:type="dxa"/>
          </w:tcPr>
          <w:p w:rsidR="00E95BB0" w:rsidRPr="003D694A" w:rsidRDefault="00E95BB0" w:rsidP="00E95BB0">
            <w:pPr>
              <w:rPr>
                <w:sz w:val="20"/>
              </w:rPr>
            </w:pPr>
            <w:r>
              <w:rPr>
                <w:sz w:val="20"/>
              </w:rPr>
              <w:t>No</w:t>
            </w:r>
          </w:p>
        </w:tc>
        <w:tc>
          <w:tcPr>
            <w:tcW w:w="5954" w:type="dxa"/>
          </w:tcPr>
          <w:p w:rsidR="00E95BB0" w:rsidRPr="003D694A" w:rsidRDefault="00E95BB0" w:rsidP="00E95BB0">
            <w:pPr>
              <w:rPr>
                <w:sz w:val="20"/>
              </w:rPr>
            </w:pPr>
            <w:r w:rsidRPr="003D694A">
              <w:rPr>
                <w:sz w:val="20"/>
              </w:rPr>
              <w:t xml:space="preserve">Not included in current measure but a major source of national emissions.  Carefully management and monitoring is required by regulations. </w:t>
            </w:r>
          </w:p>
        </w:tc>
      </w:tr>
      <w:tr w:rsidR="00E95BB0" w:rsidTr="00E95BB0">
        <w:tc>
          <w:tcPr>
            <w:tcW w:w="1452" w:type="dxa"/>
          </w:tcPr>
          <w:p w:rsidR="00E95BB0" w:rsidRPr="002B041D" w:rsidRDefault="00E95BB0" w:rsidP="00E95BB0">
            <w:pPr>
              <w:ind w:left="360"/>
              <w:rPr>
                <w:b/>
                <w:sz w:val="20"/>
              </w:rPr>
            </w:pPr>
            <w:r w:rsidRPr="002B041D">
              <w:rPr>
                <w:b/>
                <w:sz w:val="20"/>
              </w:rPr>
              <w:t>Business travel</w:t>
            </w:r>
          </w:p>
        </w:tc>
        <w:tc>
          <w:tcPr>
            <w:tcW w:w="938" w:type="dxa"/>
          </w:tcPr>
          <w:p w:rsidR="00E95BB0" w:rsidRPr="003D694A" w:rsidRDefault="00E95BB0" w:rsidP="00E95BB0">
            <w:pPr>
              <w:rPr>
                <w:sz w:val="20"/>
              </w:rPr>
            </w:pPr>
            <w:r w:rsidRPr="003D694A">
              <w:rPr>
                <w:sz w:val="20"/>
              </w:rPr>
              <w:t>Medium</w:t>
            </w:r>
          </w:p>
        </w:tc>
        <w:tc>
          <w:tcPr>
            <w:tcW w:w="1154" w:type="dxa"/>
          </w:tcPr>
          <w:p w:rsidR="00E95BB0" w:rsidRPr="003D694A" w:rsidRDefault="00E95BB0" w:rsidP="00E95BB0">
            <w:pPr>
              <w:rPr>
                <w:sz w:val="20"/>
              </w:rPr>
            </w:pPr>
            <w:r>
              <w:rPr>
                <w:sz w:val="20"/>
              </w:rPr>
              <w:t>Yes</w:t>
            </w:r>
          </w:p>
        </w:tc>
        <w:tc>
          <w:tcPr>
            <w:tcW w:w="5954" w:type="dxa"/>
          </w:tcPr>
          <w:p w:rsidR="00E95BB0" w:rsidRPr="003D694A" w:rsidRDefault="00E95BB0" w:rsidP="00E95BB0">
            <w:pPr>
              <w:rPr>
                <w:sz w:val="20"/>
              </w:rPr>
            </w:pPr>
            <w:r w:rsidRPr="003D694A">
              <w:rPr>
                <w:sz w:val="20"/>
              </w:rPr>
              <w:t>Greatly improved from 2016/2017</w:t>
            </w:r>
          </w:p>
        </w:tc>
      </w:tr>
      <w:tr w:rsidR="00E95BB0" w:rsidTr="00E95BB0">
        <w:tc>
          <w:tcPr>
            <w:tcW w:w="1452" w:type="dxa"/>
          </w:tcPr>
          <w:p w:rsidR="00E95BB0" w:rsidRPr="002B041D" w:rsidRDefault="00E95BB0" w:rsidP="00E95BB0">
            <w:pPr>
              <w:ind w:left="360"/>
              <w:rPr>
                <w:b/>
                <w:sz w:val="20"/>
              </w:rPr>
            </w:pPr>
            <w:r w:rsidRPr="002B041D">
              <w:rPr>
                <w:b/>
                <w:sz w:val="20"/>
              </w:rPr>
              <w:t>Waste</w:t>
            </w:r>
          </w:p>
        </w:tc>
        <w:tc>
          <w:tcPr>
            <w:tcW w:w="938" w:type="dxa"/>
          </w:tcPr>
          <w:p w:rsidR="00E95BB0" w:rsidRPr="003D694A" w:rsidRDefault="00E95BB0" w:rsidP="00E95BB0">
            <w:pPr>
              <w:rPr>
                <w:sz w:val="20"/>
              </w:rPr>
            </w:pPr>
            <w:r w:rsidRPr="003D694A">
              <w:rPr>
                <w:sz w:val="20"/>
              </w:rPr>
              <w:t>Medium</w:t>
            </w:r>
          </w:p>
        </w:tc>
        <w:tc>
          <w:tcPr>
            <w:tcW w:w="1154" w:type="dxa"/>
          </w:tcPr>
          <w:p w:rsidR="00E95BB0" w:rsidRPr="003D694A" w:rsidRDefault="00E95BB0" w:rsidP="00E95BB0">
            <w:pPr>
              <w:rPr>
                <w:sz w:val="20"/>
              </w:rPr>
            </w:pPr>
            <w:r>
              <w:rPr>
                <w:sz w:val="20"/>
              </w:rPr>
              <w:t>Yes</w:t>
            </w:r>
          </w:p>
        </w:tc>
        <w:tc>
          <w:tcPr>
            <w:tcW w:w="5954" w:type="dxa"/>
          </w:tcPr>
          <w:p w:rsidR="00E95BB0" w:rsidRPr="003D694A" w:rsidRDefault="00E95BB0" w:rsidP="00E95BB0">
            <w:pPr>
              <w:rPr>
                <w:sz w:val="20"/>
              </w:rPr>
            </w:pPr>
            <w:r w:rsidRPr="003D694A">
              <w:rPr>
                <w:sz w:val="20"/>
              </w:rPr>
              <w:t>Greatly improved from 2016/2017</w:t>
            </w:r>
          </w:p>
        </w:tc>
      </w:tr>
      <w:tr w:rsidR="00E95BB0" w:rsidTr="00E95BB0">
        <w:tc>
          <w:tcPr>
            <w:tcW w:w="1452" w:type="dxa"/>
          </w:tcPr>
          <w:p w:rsidR="00E95BB0" w:rsidRPr="002B041D" w:rsidRDefault="00E95BB0" w:rsidP="00E95BB0">
            <w:pPr>
              <w:ind w:left="360"/>
              <w:rPr>
                <w:b/>
                <w:sz w:val="20"/>
              </w:rPr>
            </w:pPr>
            <w:r w:rsidRPr="002B041D">
              <w:rPr>
                <w:b/>
                <w:sz w:val="20"/>
              </w:rPr>
              <w:t>Fleet vehicles</w:t>
            </w:r>
          </w:p>
        </w:tc>
        <w:tc>
          <w:tcPr>
            <w:tcW w:w="938" w:type="dxa"/>
          </w:tcPr>
          <w:p w:rsidR="00E95BB0" w:rsidRPr="003D694A" w:rsidRDefault="00E95BB0" w:rsidP="00E95BB0">
            <w:pPr>
              <w:rPr>
                <w:sz w:val="20"/>
              </w:rPr>
            </w:pPr>
            <w:r w:rsidRPr="003D694A">
              <w:rPr>
                <w:sz w:val="20"/>
              </w:rPr>
              <w:t>High</w:t>
            </w:r>
          </w:p>
        </w:tc>
        <w:tc>
          <w:tcPr>
            <w:tcW w:w="1154" w:type="dxa"/>
          </w:tcPr>
          <w:p w:rsidR="00E95BB0" w:rsidRPr="003D694A" w:rsidRDefault="00E95BB0" w:rsidP="00E95BB0">
            <w:pPr>
              <w:rPr>
                <w:sz w:val="20"/>
              </w:rPr>
            </w:pPr>
            <w:r>
              <w:rPr>
                <w:sz w:val="20"/>
              </w:rPr>
              <w:t>Yes</w:t>
            </w:r>
          </w:p>
        </w:tc>
        <w:tc>
          <w:tcPr>
            <w:tcW w:w="5954" w:type="dxa"/>
          </w:tcPr>
          <w:p w:rsidR="00E95BB0" w:rsidRPr="003D694A" w:rsidRDefault="00E95BB0" w:rsidP="00E95BB0">
            <w:pPr>
              <w:rPr>
                <w:sz w:val="20"/>
              </w:rPr>
            </w:pPr>
          </w:p>
        </w:tc>
      </w:tr>
      <w:tr w:rsidR="00E95BB0" w:rsidTr="00E95BB0">
        <w:tc>
          <w:tcPr>
            <w:tcW w:w="9498" w:type="dxa"/>
            <w:gridSpan w:val="4"/>
          </w:tcPr>
          <w:p w:rsidR="00E95BB0" w:rsidRPr="002B041D" w:rsidRDefault="00E95BB0" w:rsidP="00E95BB0">
            <w:pPr>
              <w:ind w:left="360"/>
              <w:jc w:val="center"/>
              <w:rPr>
                <w:b/>
                <w:szCs w:val="20"/>
              </w:rPr>
            </w:pPr>
            <w:r w:rsidRPr="002B041D">
              <w:rPr>
                <w:b/>
                <w:szCs w:val="20"/>
              </w:rPr>
              <w:t>Residential Properties</w:t>
            </w:r>
          </w:p>
        </w:tc>
      </w:tr>
      <w:tr w:rsidR="00E95BB0" w:rsidTr="00E95BB0">
        <w:tc>
          <w:tcPr>
            <w:tcW w:w="1452" w:type="dxa"/>
          </w:tcPr>
          <w:p w:rsidR="00E95BB0" w:rsidRPr="002B041D" w:rsidRDefault="00E95BB0" w:rsidP="00E95BB0">
            <w:pPr>
              <w:ind w:left="360"/>
              <w:rPr>
                <w:sz w:val="20"/>
              </w:rPr>
            </w:pPr>
            <w:r w:rsidRPr="002B041D">
              <w:rPr>
                <w:sz w:val="20"/>
              </w:rPr>
              <w:t>Electricity</w:t>
            </w:r>
          </w:p>
        </w:tc>
        <w:tc>
          <w:tcPr>
            <w:tcW w:w="938" w:type="dxa"/>
          </w:tcPr>
          <w:p w:rsidR="00E95BB0" w:rsidRPr="003D694A" w:rsidRDefault="00E95BB0" w:rsidP="00E95BB0">
            <w:pPr>
              <w:rPr>
                <w:sz w:val="20"/>
              </w:rPr>
            </w:pPr>
            <w:r w:rsidRPr="003D694A">
              <w:rPr>
                <w:sz w:val="20"/>
              </w:rPr>
              <w:t>High</w:t>
            </w:r>
          </w:p>
        </w:tc>
        <w:tc>
          <w:tcPr>
            <w:tcW w:w="1154" w:type="dxa"/>
          </w:tcPr>
          <w:p w:rsidR="00E95BB0" w:rsidRPr="003D694A" w:rsidRDefault="00E95BB0" w:rsidP="00E95BB0">
            <w:pPr>
              <w:rPr>
                <w:sz w:val="20"/>
              </w:rPr>
            </w:pPr>
            <w:r>
              <w:rPr>
                <w:sz w:val="20"/>
              </w:rPr>
              <w:t>Yes</w:t>
            </w:r>
          </w:p>
        </w:tc>
        <w:tc>
          <w:tcPr>
            <w:tcW w:w="5954" w:type="dxa"/>
          </w:tcPr>
          <w:p w:rsidR="00E95BB0" w:rsidRPr="003D694A" w:rsidRDefault="00E95BB0" w:rsidP="00E95BB0">
            <w:pPr>
              <w:rPr>
                <w:sz w:val="20"/>
              </w:rPr>
            </w:pPr>
          </w:p>
        </w:tc>
      </w:tr>
      <w:tr w:rsidR="00E95BB0" w:rsidTr="00E95BB0">
        <w:tc>
          <w:tcPr>
            <w:tcW w:w="1452" w:type="dxa"/>
          </w:tcPr>
          <w:p w:rsidR="00E95BB0" w:rsidRPr="002B041D" w:rsidRDefault="00E95BB0" w:rsidP="00E95BB0">
            <w:pPr>
              <w:ind w:left="360"/>
              <w:rPr>
                <w:sz w:val="20"/>
              </w:rPr>
            </w:pPr>
            <w:r w:rsidRPr="002B041D">
              <w:rPr>
                <w:sz w:val="20"/>
              </w:rPr>
              <w:t>Gas</w:t>
            </w:r>
          </w:p>
        </w:tc>
        <w:tc>
          <w:tcPr>
            <w:tcW w:w="938" w:type="dxa"/>
          </w:tcPr>
          <w:p w:rsidR="00E95BB0" w:rsidRPr="003D694A" w:rsidRDefault="00E95BB0" w:rsidP="00E95BB0">
            <w:pPr>
              <w:rPr>
                <w:sz w:val="20"/>
              </w:rPr>
            </w:pPr>
            <w:r w:rsidRPr="003D694A">
              <w:rPr>
                <w:sz w:val="20"/>
              </w:rPr>
              <w:t>High</w:t>
            </w:r>
          </w:p>
        </w:tc>
        <w:tc>
          <w:tcPr>
            <w:tcW w:w="1154" w:type="dxa"/>
          </w:tcPr>
          <w:p w:rsidR="00E95BB0" w:rsidRPr="003D694A" w:rsidRDefault="00E95BB0" w:rsidP="00E95BB0">
            <w:pPr>
              <w:rPr>
                <w:sz w:val="20"/>
              </w:rPr>
            </w:pPr>
            <w:r>
              <w:rPr>
                <w:sz w:val="20"/>
              </w:rPr>
              <w:t>Yes</w:t>
            </w:r>
          </w:p>
        </w:tc>
        <w:tc>
          <w:tcPr>
            <w:tcW w:w="5954" w:type="dxa"/>
          </w:tcPr>
          <w:p w:rsidR="00E95BB0" w:rsidRPr="003D694A" w:rsidRDefault="00E95BB0" w:rsidP="00E95BB0">
            <w:pPr>
              <w:rPr>
                <w:sz w:val="20"/>
              </w:rPr>
            </w:pPr>
          </w:p>
        </w:tc>
      </w:tr>
      <w:tr w:rsidR="00E95BB0" w:rsidTr="00E95BB0">
        <w:tc>
          <w:tcPr>
            <w:tcW w:w="1452" w:type="dxa"/>
          </w:tcPr>
          <w:p w:rsidR="00E95BB0" w:rsidRPr="002B041D" w:rsidRDefault="00E95BB0" w:rsidP="00E95BB0">
            <w:pPr>
              <w:ind w:left="360"/>
              <w:rPr>
                <w:sz w:val="20"/>
              </w:rPr>
            </w:pPr>
            <w:r w:rsidRPr="002B041D">
              <w:rPr>
                <w:sz w:val="20"/>
              </w:rPr>
              <w:t>Water</w:t>
            </w:r>
          </w:p>
        </w:tc>
        <w:tc>
          <w:tcPr>
            <w:tcW w:w="938" w:type="dxa"/>
          </w:tcPr>
          <w:p w:rsidR="00E95BB0" w:rsidRPr="003D694A" w:rsidRDefault="00E95BB0" w:rsidP="00E95BB0">
            <w:pPr>
              <w:rPr>
                <w:sz w:val="20"/>
              </w:rPr>
            </w:pPr>
            <w:r>
              <w:rPr>
                <w:sz w:val="20"/>
              </w:rPr>
              <w:t>Low</w:t>
            </w:r>
          </w:p>
        </w:tc>
        <w:tc>
          <w:tcPr>
            <w:tcW w:w="1154" w:type="dxa"/>
          </w:tcPr>
          <w:p w:rsidR="00E95BB0" w:rsidRPr="003D694A" w:rsidRDefault="00E95BB0" w:rsidP="00E95BB0">
            <w:pPr>
              <w:rPr>
                <w:sz w:val="20"/>
              </w:rPr>
            </w:pPr>
            <w:r>
              <w:rPr>
                <w:sz w:val="20"/>
              </w:rPr>
              <w:t>No</w:t>
            </w:r>
          </w:p>
        </w:tc>
        <w:tc>
          <w:tcPr>
            <w:tcW w:w="5954" w:type="dxa"/>
          </w:tcPr>
          <w:p w:rsidR="00E95BB0" w:rsidRPr="003D694A" w:rsidRDefault="00E95BB0" w:rsidP="00E95BB0">
            <w:pPr>
              <w:rPr>
                <w:sz w:val="20"/>
              </w:rPr>
            </w:pPr>
            <w:r>
              <w:rPr>
                <w:sz w:val="20"/>
              </w:rPr>
              <w:t>Meters not installed at all properties</w:t>
            </w:r>
          </w:p>
        </w:tc>
      </w:tr>
      <w:tr w:rsidR="00E95BB0" w:rsidTr="00E95BB0">
        <w:tc>
          <w:tcPr>
            <w:tcW w:w="1452" w:type="dxa"/>
          </w:tcPr>
          <w:p w:rsidR="00E95BB0" w:rsidRPr="002B041D" w:rsidRDefault="00E95BB0" w:rsidP="00E95BB0">
            <w:pPr>
              <w:ind w:left="360"/>
              <w:rPr>
                <w:sz w:val="20"/>
              </w:rPr>
            </w:pPr>
            <w:r w:rsidRPr="002B041D">
              <w:rPr>
                <w:sz w:val="20"/>
              </w:rPr>
              <w:t>F-Gas</w:t>
            </w:r>
          </w:p>
        </w:tc>
        <w:tc>
          <w:tcPr>
            <w:tcW w:w="938" w:type="dxa"/>
          </w:tcPr>
          <w:p w:rsidR="00E95BB0" w:rsidRPr="003D694A" w:rsidRDefault="00E95BB0" w:rsidP="00E95BB0">
            <w:pPr>
              <w:rPr>
                <w:sz w:val="20"/>
              </w:rPr>
            </w:pPr>
            <w:r>
              <w:rPr>
                <w:sz w:val="20"/>
              </w:rPr>
              <w:t>TBC</w:t>
            </w:r>
          </w:p>
        </w:tc>
        <w:tc>
          <w:tcPr>
            <w:tcW w:w="1154" w:type="dxa"/>
          </w:tcPr>
          <w:p w:rsidR="00E95BB0" w:rsidRPr="003D694A" w:rsidRDefault="00E95BB0" w:rsidP="00E95BB0">
            <w:pPr>
              <w:rPr>
                <w:sz w:val="20"/>
              </w:rPr>
            </w:pPr>
            <w:r>
              <w:rPr>
                <w:sz w:val="20"/>
              </w:rPr>
              <w:t>No</w:t>
            </w:r>
          </w:p>
        </w:tc>
        <w:tc>
          <w:tcPr>
            <w:tcW w:w="5954" w:type="dxa"/>
          </w:tcPr>
          <w:p w:rsidR="00E95BB0" w:rsidRPr="003D694A" w:rsidRDefault="00E95BB0" w:rsidP="00E95BB0">
            <w:pPr>
              <w:rPr>
                <w:sz w:val="20"/>
              </w:rPr>
            </w:pPr>
            <w:r w:rsidRPr="003D694A">
              <w:rPr>
                <w:sz w:val="20"/>
              </w:rPr>
              <w:t xml:space="preserve">Not included in current measure but a major source of national emissions.  Carefully management and monitoring is required by regulations. </w:t>
            </w:r>
          </w:p>
        </w:tc>
      </w:tr>
      <w:tr w:rsidR="00E95BB0" w:rsidTr="00E95BB0">
        <w:tc>
          <w:tcPr>
            <w:tcW w:w="1452" w:type="dxa"/>
          </w:tcPr>
          <w:p w:rsidR="00E95BB0" w:rsidRPr="002B041D" w:rsidRDefault="00E95BB0" w:rsidP="00E95BB0">
            <w:pPr>
              <w:ind w:left="360"/>
              <w:rPr>
                <w:sz w:val="20"/>
              </w:rPr>
            </w:pPr>
            <w:r w:rsidRPr="002B041D">
              <w:rPr>
                <w:sz w:val="20"/>
              </w:rPr>
              <w:t>Waste</w:t>
            </w:r>
          </w:p>
        </w:tc>
        <w:tc>
          <w:tcPr>
            <w:tcW w:w="938" w:type="dxa"/>
          </w:tcPr>
          <w:p w:rsidR="00E95BB0" w:rsidRPr="003D694A" w:rsidRDefault="00784008" w:rsidP="00E95BB0">
            <w:pPr>
              <w:rPr>
                <w:sz w:val="20"/>
              </w:rPr>
            </w:pPr>
            <w:r>
              <w:rPr>
                <w:sz w:val="20"/>
              </w:rPr>
              <w:t>Low</w:t>
            </w:r>
          </w:p>
        </w:tc>
        <w:tc>
          <w:tcPr>
            <w:tcW w:w="1154" w:type="dxa"/>
          </w:tcPr>
          <w:p w:rsidR="00E95BB0" w:rsidRPr="003D694A" w:rsidRDefault="00E95BB0" w:rsidP="00E95BB0">
            <w:pPr>
              <w:rPr>
                <w:sz w:val="20"/>
              </w:rPr>
            </w:pPr>
            <w:r>
              <w:rPr>
                <w:sz w:val="20"/>
              </w:rPr>
              <w:t>Yes</w:t>
            </w:r>
          </w:p>
        </w:tc>
        <w:tc>
          <w:tcPr>
            <w:tcW w:w="5954" w:type="dxa"/>
          </w:tcPr>
          <w:p w:rsidR="00E95BB0" w:rsidRPr="003D694A" w:rsidRDefault="00784008" w:rsidP="00E95BB0">
            <w:pPr>
              <w:rPr>
                <w:sz w:val="20"/>
              </w:rPr>
            </w:pPr>
            <w:r>
              <w:rPr>
                <w:sz w:val="20"/>
              </w:rPr>
              <w:t>The City of Edinburgh Council are unable to provide actual waste figures.  Average and estimated weights per resident are used but potential to be highly inaccurate.</w:t>
            </w:r>
          </w:p>
        </w:tc>
      </w:tr>
    </w:tbl>
    <w:p w:rsidR="00BD42CF" w:rsidRDefault="00BD42CF" w:rsidP="009414E7">
      <w:pPr>
        <w:rPr>
          <w:b/>
          <w:sz w:val="24"/>
        </w:rPr>
      </w:pPr>
    </w:p>
    <w:p w:rsidR="00BD42CF" w:rsidRPr="00EE25CC" w:rsidRDefault="00BD42CF" w:rsidP="009414E7">
      <w:pPr>
        <w:rPr>
          <w:b/>
          <w:u w:val="single"/>
        </w:rPr>
      </w:pPr>
      <w:r w:rsidRPr="00EE25CC">
        <w:rPr>
          <w:b/>
          <w:u w:val="single"/>
        </w:rPr>
        <w:t>Scope</w:t>
      </w:r>
    </w:p>
    <w:p w:rsidR="00DA2DCA" w:rsidRPr="00EE25CC" w:rsidRDefault="00DA2DCA" w:rsidP="009414E7">
      <w:r w:rsidRPr="00EE25CC">
        <w:t>SG</w:t>
      </w:r>
      <w:r w:rsidR="002F388E" w:rsidRPr="00EE25CC">
        <w:t>’s</w:t>
      </w:r>
      <w:r w:rsidRPr="00EE25CC">
        <w:t xml:space="preserve"> mandatory </w:t>
      </w:r>
      <w:r w:rsidR="00BB6F39" w:rsidRPr="00EE25CC">
        <w:t xml:space="preserve">Climate Change </w:t>
      </w:r>
      <w:r w:rsidR="00E95BB0" w:rsidRPr="00EE25CC">
        <w:t>report</w:t>
      </w:r>
      <w:r w:rsidR="00BB6F39" w:rsidRPr="00EE25CC">
        <w:t>ing</w:t>
      </w:r>
      <w:r w:rsidR="00E95BB0" w:rsidRPr="00EE25CC">
        <w:t xml:space="preserve"> require</w:t>
      </w:r>
      <w:r w:rsidR="00BB6F39" w:rsidRPr="00EE25CC">
        <w:t>s</w:t>
      </w:r>
      <w:r w:rsidR="00E95BB0" w:rsidRPr="00EE25CC">
        <w:t xml:space="preserve"> that </w:t>
      </w:r>
      <w:r w:rsidR="00BB6F39" w:rsidRPr="00EE25CC">
        <w:t xml:space="preserve">the all sources identified in Table </w:t>
      </w:r>
      <w:r w:rsidR="002F07BF" w:rsidRPr="00EE25CC">
        <w:t>2</w:t>
      </w:r>
      <w:r w:rsidR="00BB6F39" w:rsidRPr="00EE25CC">
        <w:t xml:space="preserve"> with the exception of F-Gas and water at residences </w:t>
      </w:r>
      <w:proofErr w:type="gramStart"/>
      <w:r w:rsidR="002F07BF" w:rsidRPr="00EE25CC">
        <w:t>are</w:t>
      </w:r>
      <w:r w:rsidR="00BB6F39" w:rsidRPr="00EE25CC">
        <w:t xml:space="preserve"> reported</w:t>
      </w:r>
      <w:proofErr w:type="gramEnd"/>
      <w:r w:rsidR="00BB6F39" w:rsidRPr="00EE25CC">
        <w:t xml:space="preserve">.  </w:t>
      </w:r>
      <w:r w:rsidRPr="00EE25CC">
        <w:t xml:space="preserve">Best practice would suggestion that F-Gas (refrigerant gases) emissions </w:t>
      </w:r>
      <w:proofErr w:type="gramStart"/>
      <w:r w:rsidRPr="00EE25CC">
        <w:t>are also monitored and reported</w:t>
      </w:r>
      <w:proofErr w:type="gramEnd"/>
      <w:r w:rsidRPr="00EE25CC">
        <w:t xml:space="preserve">.  Water is such a minor component of ENU’s carbon footprint that it will not have any real impact whether residential water </w:t>
      </w:r>
      <w:proofErr w:type="gramStart"/>
      <w:r w:rsidRPr="00EE25CC">
        <w:t>is monitored and included</w:t>
      </w:r>
      <w:proofErr w:type="gramEnd"/>
      <w:r w:rsidRPr="00EE25CC">
        <w:t xml:space="preserve">. However, from a wider resource use perspective it </w:t>
      </w:r>
      <w:r w:rsidR="006250FC" w:rsidRPr="00EE25CC">
        <w:t xml:space="preserve">is </w:t>
      </w:r>
      <w:r w:rsidRPr="00EE25CC">
        <w:t>goo</w:t>
      </w:r>
      <w:r w:rsidR="00A96A57" w:rsidRPr="00EE25CC">
        <w:t xml:space="preserve">d practice to monitor </w:t>
      </w:r>
      <w:r w:rsidR="009A7673" w:rsidRPr="00EE25CC">
        <w:t xml:space="preserve">and manage </w:t>
      </w:r>
      <w:r w:rsidR="00A96A57" w:rsidRPr="00EE25CC">
        <w:t>water use. T</w:t>
      </w:r>
      <w:r w:rsidRPr="00EE25CC">
        <w:t xml:space="preserve">his would require additional meters to </w:t>
      </w:r>
      <w:proofErr w:type="gramStart"/>
      <w:r w:rsidRPr="00EE25CC">
        <w:t>be installed</w:t>
      </w:r>
      <w:proofErr w:type="gramEnd"/>
      <w:r w:rsidRPr="00EE25CC">
        <w:t xml:space="preserve"> at a number of residences.</w:t>
      </w:r>
    </w:p>
    <w:p w:rsidR="002F07BF" w:rsidRPr="00EE25CC" w:rsidRDefault="008802B3" w:rsidP="009414E7">
      <w:r w:rsidRPr="00EE25CC">
        <w:t xml:space="preserve">Charts </w:t>
      </w:r>
      <w:r w:rsidR="002F07BF" w:rsidRPr="00EE25CC">
        <w:t>2</w:t>
      </w:r>
      <w:r w:rsidRPr="00EE25CC">
        <w:t xml:space="preserve"> and 3 illustrates </w:t>
      </w:r>
      <w:r w:rsidR="007B346F" w:rsidRPr="00EE25CC">
        <w:t>where data is currently available by</w:t>
      </w:r>
      <w:r w:rsidR="001924E9" w:rsidRPr="00EE25CC">
        <w:t xml:space="preserve"> two different groupings </w:t>
      </w:r>
      <w:r w:rsidRPr="00EE25CC">
        <w:t xml:space="preserve">the predicted emissions for </w:t>
      </w:r>
      <w:r w:rsidR="00C6110B" w:rsidRPr="00EE25CC">
        <w:t>201</w:t>
      </w:r>
      <w:r w:rsidR="00A21AF1" w:rsidRPr="00EE25CC">
        <w:t>6</w:t>
      </w:r>
      <w:r w:rsidR="00C6110B" w:rsidRPr="00EE25CC">
        <w:t>/201</w:t>
      </w:r>
      <w:r w:rsidR="00A21AF1" w:rsidRPr="00EE25CC">
        <w:t>7</w:t>
      </w:r>
      <w:r w:rsidR="00C6110B" w:rsidRPr="00EE25CC">
        <w:t xml:space="preserve"> </w:t>
      </w:r>
      <w:r w:rsidR="002F07BF" w:rsidRPr="00EE25CC">
        <w:t>from all sources</w:t>
      </w:r>
      <w:r w:rsidRPr="00EE25CC">
        <w:t xml:space="preserve"> as listed in table 2.  </w:t>
      </w:r>
    </w:p>
    <w:p w:rsidR="00A21AF1" w:rsidRDefault="008802B3" w:rsidP="009414E7">
      <w:pPr>
        <w:rPr>
          <w:b/>
          <w:sz w:val="24"/>
        </w:rPr>
      </w:pPr>
      <w:r>
        <w:rPr>
          <w:noProof/>
          <w:lang w:eastAsia="en-GB"/>
        </w:rPr>
        <w:drawing>
          <wp:inline distT="0" distB="0" distL="0" distR="0" wp14:anchorId="53AB2F96" wp14:editId="5C6AFAD2">
            <wp:extent cx="2540000" cy="2311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en-GB"/>
        </w:rPr>
        <w:drawing>
          <wp:inline distT="0" distB="0" distL="0" distR="0" wp14:anchorId="753C870F" wp14:editId="0F2531C5">
            <wp:extent cx="2546350" cy="2317750"/>
            <wp:effectExtent l="0" t="0" r="63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2DCA" w:rsidRPr="00EE25CC" w:rsidRDefault="001D6EFB" w:rsidP="009414E7">
      <w:pPr>
        <w:rPr>
          <w:b/>
          <w:u w:val="single"/>
        </w:rPr>
      </w:pPr>
      <w:r w:rsidRPr="00EE25CC">
        <w:rPr>
          <w:b/>
          <w:u w:val="single"/>
        </w:rPr>
        <w:lastRenderedPageBreak/>
        <w:t xml:space="preserve">Type </w:t>
      </w:r>
      <w:r w:rsidR="001F02A1" w:rsidRPr="00EE25CC">
        <w:rPr>
          <w:b/>
          <w:u w:val="single"/>
        </w:rPr>
        <w:t>of targets and timescale</w:t>
      </w:r>
    </w:p>
    <w:p w:rsidR="00DA2DCA" w:rsidRPr="00EE25CC" w:rsidRDefault="006250FC" w:rsidP="009414E7">
      <w:r w:rsidRPr="00EE25CC">
        <w:t xml:space="preserve">A range of options exist for new targets however best practice would </w:t>
      </w:r>
      <w:r w:rsidR="00AE7423" w:rsidRPr="00EE25CC">
        <w:t xml:space="preserve">is </w:t>
      </w:r>
      <w:r w:rsidRPr="00EE25CC">
        <w:t xml:space="preserve">to set an </w:t>
      </w:r>
      <w:r w:rsidR="00FA3A32" w:rsidRPr="00EE25CC">
        <w:t xml:space="preserve">absolute target </w:t>
      </w:r>
      <w:r w:rsidRPr="00EE25CC">
        <w:t xml:space="preserve">with a scope of all the emissions sources identified in table </w:t>
      </w:r>
      <w:r w:rsidR="00C11906" w:rsidRPr="00EE25CC">
        <w:t>2</w:t>
      </w:r>
      <w:r w:rsidR="006B64A5" w:rsidRPr="00EE25CC">
        <w:t xml:space="preserve"> in</w:t>
      </w:r>
      <w:r w:rsidR="00A96A57" w:rsidRPr="00EE25CC">
        <w:t xml:space="preserve"> </w:t>
      </w:r>
      <w:r w:rsidR="006B64A5" w:rsidRPr="00EE25CC">
        <w:t xml:space="preserve">line with the </w:t>
      </w:r>
      <w:r w:rsidR="00C11906" w:rsidRPr="00EE25CC">
        <w:t>SG</w:t>
      </w:r>
      <w:r w:rsidR="006B64A5" w:rsidRPr="00EE25CC">
        <w:t xml:space="preserve"> aspirations</w:t>
      </w:r>
      <w:r w:rsidRPr="00EE25CC">
        <w:t xml:space="preserve">.  </w:t>
      </w:r>
      <w:r w:rsidR="00C11906" w:rsidRPr="00EE25CC">
        <w:t xml:space="preserve">Absolute targets remain best practice and this approach </w:t>
      </w:r>
      <w:proofErr w:type="gramStart"/>
      <w:r w:rsidR="00C11906" w:rsidRPr="00EE25CC">
        <w:t>should be retained</w:t>
      </w:r>
      <w:proofErr w:type="gramEnd"/>
      <w:r w:rsidR="00C11906" w:rsidRPr="00EE25CC">
        <w:t xml:space="preserve">.  </w:t>
      </w:r>
      <w:r w:rsidR="00FA3A32" w:rsidRPr="00EE25CC">
        <w:t xml:space="preserve">KPIs </w:t>
      </w:r>
      <w:proofErr w:type="gramStart"/>
      <w:r w:rsidR="006B64A5" w:rsidRPr="00EE25CC">
        <w:t>could be developed</w:t>
      </w:r>
      <w:proofErr w:type="gramEnd"/>
      <w:r w:rsidR="006B64A5" w:rsidRPr="00EE25CC">
        <w:t xml:space="preserve"> along</w:t>
      </w:r>
      <w:r w:rsidRPr="00EE25CC">
        <w:t xml:space="preserve">side the target </w:t>
      </w:r>
      <w:r w:rsidR="00FA3A32" w:rsidRPr="00EE25CC">
        <w:t>to help explain progress</w:t>
      </w:r>
      <w:r w:rsidRPr="00EE25CC">
        <w:t xml:space="preserve">.  </w:t>
      </w:r>
    </w:p>
    <w:p w:rsidR="00C11906" w:rsidRPr="00EE25CC" w:rsidRDefault="00C11906" w:rsidP="009414E7">
      <w:r w:rsidRPr="00EE25CC">
        <w:t xml:space="preserve">The SG is developing a programme </w:t>
      </w:r>
      <w:proofErr w:type="gramStart"/>
      <w:r w:rsidRPr="00EE25CC">
        <w:t>to further reduce</w:t>
      </w:r>
      <w:proofErr w:type="gramEnd"/>
      <w:r w:rsidRPr="00EE25CC">
        <w:t xml:space="preserve"> emissions from 2017 with a requirement for service sector emissions to be reduced by 94% from this year.  It therefore makes sense to </w:t>
      </w:r>
      <w:r w:rsidR="007B346F" w:rsidRPr="00EE25CC">
        <w:t>align with this approach.</w:t>
      </w:r>
    </w:p>
    <w:p w:rsidR="00AB3A30" w:rsidRPr="00EE25CC" w:rsidRDefault="00AB3A30" w:rsidP="00AB3A30">
      <w:r w:rsidRPr="00EE25CC">
        <w:t xml:space="preserve">It is suggested that </w:t>
      </w:r>
      <w:r w:rsidR="007B346F" w:rsidRPr="00EE25CC">
        <w:t xml:space="preserve">a target is agreed for 2025 with a </w:t>
      </w:r>
      <w:proofErr w:type="gramStart"/>
      <w:r w:rsidR="007B346F" w:rsidRPr="00EE25CC">
        <w:t>three year</w:t>
      </w:r>
      <w:proofErr w:type="gramEnd"/>
      <w:r w:rsidR="007B346F" w:rsidRPr="00EE25CC">
        <w:t xml:space="preserve"> rolling target to ensure we remain on course.  The first target should be set for 2020.</w:t>
      </w:r>
    </w:p>
    <w:p w:rsidR="00955011" w:rsidRPr="00EE25CC" w:rsidRDefault="00955011" w:rsidP="00AB3A30"/>
    <w:p w:rsidR="006B64A5" w:rsidRPr="00EE25CC" w:rsidRDefault="000777F8" w:rsidP="009414E7">
      <w:pPr>
        <w:rPr>
          <w:b/>
          <w:u w:val="single"/>
        </w:rPr>
      </w:pPr>
      <w:r w:rsidRPr="00EE25CC">
        <w:rPr>
          <w:b/>
          <w:u w:val="single"/>
        </w:rPr>
        <w:t xml:space="preserve">Target </w:t>
      </w:r>
      <w:r w:rsidR="006B64A5" w:rsidRPr="00EE25CC">
        <w:rPr>
          <w:b/>
          <w:u w:val="single"/>
        </w:rPr>
        <w:t>Options</w:t>
      </w:r>
    </w:p>
    <w:p w:rsidR="000777F8" w:rsidRPr="00EE25CC" w:rsidRDefault="000777F8" w:rsidP="000777F8">
      <w:pPr>
        <w:rPr>
          <w:b/>
        </w:rPr>
      </w:pPr>
      <w:r w:rsidRPr="00EE25CC">
        <w:rPr>
          <w:b/>
        </w:rPr>
        <w:t>Option 1:  Separate targets for academic and residential estate baseline 2006/07</w:t>
      </w:r>
    </w:p>
    <w:p w:rsidR="000777F8" w:rsidRPr="00EE25CC" w:rsidRDefault="000777F8" w:rsidP="000777F8">
      <w:pPr>
        <w:pStyle w:val="ListParagraph"/>
        <w:numPr>
          <w:ilvl w:val="0"/>
          <w:numId w:val="7"/>
        </w:numPr>
        <w:rPr>
          <w:b/>
        </w:rPr>
      </w:pPr>
      <w:r w:rsidRPr="00EE25CC">
        <w:t>Academic estate and activities - Retain an absolut</w:t>
      </w:r>
      <w:r w:rsidR="00322B38" w:rsidRPr="00EE25CC">
        <w:t>e target with the current scope</w:t>
      </w:r>
      <w:r w:rsidRPr="00EE25CC">
        <w:t xml:space="preserve"> and a baseline of 2006/07</w:t>
      </w:r>
      <w:r w:rsidR="00AB3A30" w:rsidRPr="00EE25CC">
        <w:t>.  R</w:t>
      </w:r>
      <w:r w:rsidRPr="00EE25CC">
        <w:t xml:space="preserve">ecognising that travel and waste emissions for the baseline year will need to </w:t>
      </w:r>
      <w:proofErr w:type="gramStart"/>
      <w:r w:rsidRPr="00EE25CC">
        <w:t>be estimated</w:t>
      </w:r>
      <w:proofErr w:type="gramEnd"/>
      <w:r w:rsidRPr="00EE25CC">
        <w:t>.</w:t>
      </w:r>
    </w:p>
    <w:p w:rsidR="000777F8" w:rsidRPr="00EE25CC" w:rsidRDefault="00954C10" w:rsidP="000777F8">
      <w:pPr>
        <w:pStyle w:val="ListParagraph"/>
        <w:numPr>
          <w:ilvl w:val="0"/>
          <w:numId w:val="7"/>
        </w:numPr>
        <w:rPr>
          <w:b/>
        </w:rPr>
      </w:pPr>
      <w:r w:rsidRPr="00EE25CC">
        <w:t xml:space="preserve">Residential - Set </w:t>
      </w:r>
      <w:r w:rsidR="000777F8" w:rsidRPr="00EE25CC">
        <w:t xml:space="preserve">an absolute target with </w:t>
      </w:r>
      <w:r w:rsidR="00322B38" w:rsidRPr="00EE25CC">
        <w:t xml:space="preserve">a </w:t>
      </w:r>
      <w:r w:rsidR="000777F8" w:rsidRPr="00EE25CC">
        <w:t xml:space="preserve">scope </w:t>
      </w:r>
      <w:r w:rsidR="00322B38" w:rsidRPr="00EE25CC">
        <w:t>of electricity, gas, water and waste with</w:t>
      </w:r>
      <w:r w:rsidR="000777F8" w:rsidRPr="00EE25CC">
        <w:t xml:space="preserve"> </w:t>
      </w:r>
      <w:r w:rsidR="00955011" w:rsidRPr="00EE25CC">
        <w:t xml:space="preserve">a </w:t>
      </w:r>
      <w:r w:rsidR="000777F8" w:rsidRPr="00EE25CC">
        <w:t>baseline of 2006/07</w:t>
      </w:r>
      <w:r w:rsidR="00AB3A30" w:rsidRPr="00EE25CC">
        <w:t>.  Re</w:t>
      </w:r>
      <w:r w:rsidR="000777F8" w:rsidRPr="00EE25CC">
        <w:t xml:space="preserve">cognising that </w:t>
      </w:r>
      <w:r w:rsidR="00322B38" w:rsidRPr="00EE25CC">
        <w:t xml:space="preserve">water and waste will </w:t>
      </w:r>
      <w:r w:rsidR="000777F8" w:rsidRPr="00EE25CC">
        <w:t xml:space="preserve">need to </w:t>
      </w:r>
      <w:proofErr w:type="gramStart"/>
      <w:r w:rsidR="000777F8" w:rsidRPr="00EE25CC">
        <w:t>be</w:t>
      </w:r>
      <w:r w:rsidR="00AB3A30" w:rsidRPr="00EE25CC">
        <w:t xml:space="preserve"> </w:t>
      </w:r>
      <w:r w:rsidR="000777F8" w:rsidRPr="00EE25CC">
        <w:t>estimated</w:t>
      </w:r>
      <w:proofErr w:type="gramEnd"/>
      <w:r w:rsidR="000777F8" w:rsidRPr="00EE25CC">
        <w:t>.</w:t>
      </w:r>
    </w:p>
    <w:p w:rsidR="000777F8" w:rsidRPr="00EE25CC" w:rsidRDefault="000777F8" w:rsidP="00E95ADF">
      <w:pPr>
        <w:rPr>
          <w:b/>
        </w:rPr>
      </w:pPr>
      <w:r w:rsidRPr="00EE25CC">
        <w:rPr>
          <w:b/>
        </w:rPr>
        <w:t>Option 2:</w:t>
      </w:r>
      <w:r w:rsidR="00E95ADF" w:rsidRPr="00EE25CC">
        <w:rPr>
          <w:b/>
        </w:rPr>
        <w:t xml:space="preserve">  </w:t>
      </w:r>
      <w:r w:rsidRPr="00EE25CC">
        <w:t xml:space="preserve"> </w:t>
      </w:r>
      <w:r w:rsidR="00322B38" w:rsidRPr="00EE25CC">
        <w:rPr>
          <w:b/>
        </w:rPr>
        <w:t>Overall absolute target</w:t>
      </w:r>
      <w:r w:rsidR="00AB3A30" w:rsidRPr="00EE25CC">
        <w:rPr>
          <w:b/>
        </w:rPr>
        <w:t xml:space="preserve"> with a baseline of 2016/2017</w:t>
      </w:r>
    </w:p>
    <w:p w:rsidR="00AB3A30" w:rsidRPr="00EE25CC" w:rsidRDefault="00AB3A30" w:rsidP="00AB3A30">
      <w:pPr>
        <w:pStyle w:val="ListParagraph"/>
        <w:numPr>
          <w:ilvl w:val="0"/>
          <w:numId w:val="8"/>
        </w:numPr>
        <w:rPr>
          <w:b/>
        </w:rPr>
      </w:pPr>
      <w:r w:rsidRPr="00EE25CC">
        <w:t xml:space="preserve">Set an overall absolute target with the scope including all items as listed in table 1 with a 2016/2017 baseline.  This baseline would be required to ensure that good quality data </w:t>
      </w:r>
      <w:r w:rsidR="007B346F" w:rsidRPr="00EE25CC">
        <w:t>is available</w:t>
      </w:r>
      <w:r w:rsidRPr="00EE25CC">
        <w:t xml:space="preserve"> to measure the majority of sources.</w:t>
      </w:r>
    </w:p>
    <w:p w:rsidR="001924E9" w:rsidRPr="00EE25CC" w:rsidRDefault="001924E9" w:rsidP="001924E9">
      <w:pPr>
        <w:pStyle w:val="ListParagraph"/>
        <w:rPr>
          <w:b/>
        </w:rPr>
      </w:pPr>
    </w:p>
    <w:p w:rsidR="00AB3A30" w:rsidRPr="00EE25CC" w:rsidRDefault="00AB3A30" w:rsidP="00AB3A30">
      <w:pPr>
        <w:rPr>
          <w:b/>
        </w:rPr>
      </w:pPr>
      <w:r w:rsidRPr="00EE25CC">
        <w:rPr>
          <w:b/>
        </w:rPr>
        <w:t xml:space="preserve">Option 3:  </w:t>
      </w:r>
      <w:r w:rsidRPr="00EE25CC">
        <w:t xml:space="preserve"> </w:t>
      </w:r>
      <w:r w:rsidRPr="00EE25CC">
        <w:rPr>
          <w:b/>
        </w:rPr>
        <w:t>Separate absolute target</w:t>
      </w:r>
      <w:r w:rsidR="00A82DF7" w:rsidRPr="00EE25CC">
        <w:rPr>
          <w:b/>
        </w:rPr>
        <w:t>s</w:t>
      </w:r>
      <w:r w:rsidRPr="00EE25CC">
        <w:rPr>
          <w:b/>
        </w:rPr>
        <w:t xml:space="preserve"> with a baseline of 2016/2017</w:t>
      </w:r>
    </w:p>
    <w:p w:rsidR="00A82DF7" w:rsidRPr="00EE25CC" w:rsidRDefault="00AB3A30" w:rsidP="00AB3A30">
      <w:pPr>
        <w:pStyle w:val="ListParagraph"/>
        <w:numPr>
          <w:ilvl w:val="0"/>
          <w:numId w:val="8"/>
        </w:numPr>
        <w:rPr>
          <w:b/>
        </w:rPr>
      </w:pPr>
      <w:r w:rsidRPr="00EE25CC">
        <w:t>Set absolute targets for different activities such as academic estate, residential estate and business travel</w:t>
      </w:r>
      <w:r w:rsidR="00A82DF7" w:rsidRPr="00EE25CC">
        <w:t xml:space="preserve"> with baselines of 2016/2017.  </w:t>
      </w:r>
    </w:p>
    <w:p w:rsidR="00A82DF7" w:rsidRPr="00EE25CC" w:rsidRDefault="00A82DF7" w:rsidP="00A82DF7">
      <w:pPr>
        <w:rPr>
          <w:b/>
        </w:rPr>
      </w:pPr>
      <w:r w:rsidRPr="00EE25CC">
        <w:rPr>
          <w:b/>
        </w:rPr>
        <w:t xml:space="preserve">Option 4:  </w:t>
      </w:r>
      <w:r w:rsidRPr="00EE25CC">
        <w:t xml:space="preserve"> </w:t>
      </w:r>
      <w:r w:rsidRPr="00EE25CC">
        <w:rPr>
          <w:b/>
        </w:rPr>
        <w:t>Separate or combine relevant targets with a baseline of 2016/2017</w:t>
      </w:r>
    </w:p>
    <w:p w:rsidR="00A82DF7" w:rsidRPr="00EE25CC" w:rsidRDefault="00A82DF7" w:rsidP="00A82DF7">
      <w:pPr>
        <w:pStyle w:val="ListParagraph"/>
        <w:numPr>
          <w:ilvl w:val="0"/>
          <w:numId w:val="8"/>
        </w:numPr>
        <w:rPr>
          <w:b/>
        </w:rPr>
      </w:pPr>
      <w:r w:rsidRPr="00EE25CC">
        <w:t xml:space="preserve">Set </w:t>
      </w:r>
      <w:r w:rsidR="00FC39B8" w:rsidRPr="00EE25CC">
        <w:t xml:space="preserve">relevant </w:t>
      </w:r>
      <w:r w:rsidRPr="00EE25CC">
        <w:t xml:space="preserve">targets </w:t>
      </w:r>
      <w:r w:rsidR="00FC39B8" w:rsidRPr="00EE25CC">
        <w:t xml:space="preserve">based </w:t>
      </w:r>
      <w:r w:rsidR="00955011" w:rsidRPr="00EE25CC">
        <w:t xml:space="preserve">on </w:t>
      </w:r>
      <w:r w:rsidR="00E728F1" w:rsidRPr="00EE25CC">
        <w:t xml:space="preserve">turnover </w:t>
      </w:r>
      <w:r w:rsidR="00FC39B8" w:rsidRPr="00EE25CC">
        <w:t xml:space="preserve">or other appropriate matrix </w:t>
      </w:r>
      <w:r w:rsidRPr="00EE25CC">
        <w:t xml:space="preserve">for different activities such as academic estate, residential estate and business travel with baselines of 2016/2017.  </w:t>
      </w:r>
    </w:p>
    <w:p w:rsidR="00A82DF7" w:rsidRPr="00EE25CC" w:rsidRDefault="00A82DF7" w:rsidP="00A82DF7">
      <w:pPr>
        <w:rPr>
          <w:b/>
        </w:rPr>
      </w:pPr>
      <w:r w:rsidRPr="00EE25CC">
        <w:rPr>
          <w:b/>
        </w:rPr>
        <w:t>Recommendation</w:t>
      </w:r>
      <w:r w:rsidR="00C6110B" w:rsidRPr="00EE25CC">
        <w:rPr>
          <w:b/>
        </w:rPr>
        <w:t>s</w:t>
      </w:r>
    </w:p>
    <w:p w:rsidR="00C6110B" w:rsidRPr="00EE25CC" w:rsidRDefault="00C6110B" w:rsidP="00C73FCA">
      <w:r w:rsidRPr="00EE25CC">
        <w:t>The following recommendations are proposed:</w:t>
      </w:r>
    </w:p>
    <w:p w:rsidR="00C6110B" w:rsidRPr="00EE25CC" w:rsidRDefault="00C6110B" w:rsidP="00C6110B">
      <w:pPr>
        <w:pStyle w:val="ListParagraph"/>
        <w:numPr>
          <w:ilvl w:val="0"/>
          <w:numId w:val="10"/>
        </w:numPr>
      </w:pPr>
      <w:r w:rsidRPr="00EE25CC">
        <w:t>T</w:t>
      </w:r>
      <w:r w:rsidR="00C73FCA" w:rsidRPr="00EE25CC">
        <w:t xml:space="preserve">hat option 2 </w:t>
      </w:r>
      <w:proofErr w:type="gramStart"/>
      <w:r w:rsidR="00053E1B" w:rsidRPr="00EE25CC">
        <w:t>is used</w:t>
      </w:r>
      <w:proofErr w:type="gramEnd"/>
      <w:r w:rsidR="00053E1B" w:rsidRPr="00EE25CC">
        <w:t xml:space="preserve"> as the basis for a new target.  </w:t>
      </w:r>
    </w:p>
    <w:p w:rsidR="00C6110B" w:rsidRPr="00EE25CC" w:rsidRDefault="00C6110B" w:rsidP="00C6110B">
      <w:pPr>
        <w:ind w:left="720"/>
        <w:rPr>
          <w:i/>
        </w:rPr>
      </w:pPr>
      <w:r w:rsidRPr="00EE25CC">
        <w:rPr>
          <w:i/>
        </w:rPr>
        <w:t xml:space="preserve">An overall absolute target with a scope including all items as listed in table 1 with a 2016/2017 baseline.  </w:t>
      </w:r>
    </w:p>
    <w:p w:rsidR="00E160DC" w:rsidRPr="00EE25CC" w:rsidRDefault="00C6110B" w:rsidP="00C6110B">
      <w:pPr>
        <w:pStyle w:val="ListParagraph"/>
        <w:numPr>
          <w:ilvl w:val="0"/>
          <w:numId w:val="10"/>
        </w:numPr>
      </w:pPr>
      <w:r w:rsidRPr="00EE25CC">
        <w:t>That</w:t>
      </w:r>
      <w:r w:rsidR="00E160DC" w:rsidRPr="00EE25CC">
        <w:t xml:space="preserve"> a target </w:t>
      </w:r>
      <w:proofErr w:type="gramStart"/>
      <w:r w:rsidR="00E160DC" w:rsidRPr="00EE25CC">
        <w:t>is agreed</w:t>
      </w:r>
      <w:proofErr w:type="gramEnd"/>
      <w:r w:rsidR="00E160DC" w:rsidRPr="00EE25CC">
        <w:t xml:space="preserve"> for 2025 with a three year rolling target to ensure we remain on course to achieve this.</w:t>
      </w:r>
      <w:r w:rsidRPr="00EE25CC">
        <w:t xml:space="preserve">  The first target should be set for 2020.</w:t>
      </w:r>
    </w:p>
    <w:p w:rsidR="00C6110B" w:rsidRPr="00EE25CC" w:rsidRDefault="00C6110B" w:rsidP="00C6110B">
      <w:pPr>
        <w:pStyle w:val="ListParagraph"/>
      </w:pPr>
    </w:p>
    <w:p w:rsidR="00C6110B" w:rsidRPr="00EE25CC" w:rsidRDefault="00C6110B" w:rsidP="00C6110B">
      <w:pPr>
        <w:pStyle w:val="ListParagraph"/>
        <w:numPr>
          <w:ilvl w:val="0"/>
          <w:numId w:val="10"/>
        </w:numPr>
      </w:pPr>
      <w:r w:rsidRPr="00EE25CC">
        <w:lastRenderedPageBreak/>
        <w:t xml:space="preserve">That we do not lose sight of the achievement made to date to reduce utility-based emissions and that emissions compared to the 2006/07 baseline are regularly calculated and reported.  </w:t>
      </w:r>
    </w:p>
    <w:p w:rsidR="00053E1B" w:rsidRPr="00EE25CC" w:rsidRDefault="00053E1B" w:rsidP="00C73FCA">
      <w:r w:rsidRPr="00EE25CC">
        <w:t xml:space="preserve">It is also recommended that KPI’s </w:t>
      </w:r>
      <w:proofErr w:type="gramStart"/>
      <w:r w:rsidRPr="00EE25CC">
        <w:t>are</w:t>
      </w:r>
      <w:proofErr w:type="gramEnd"/>
      <w:r w:rsidRPr="00EE25CC">
        <w:t xml:space="preserve"> agreed as follows:</w:t>
      </w:r>
    </w:p>
    <w:p w:rsidR="00053E1B" w:rsidRPr="00EE25CC" w:rsidRDefault="00053E1B" w:rsidP="00053E1B">
      <w:pPr>
        <w:pStyle w:val="ListParagraph"/>
        <w:numPr>
          <w:ilvl w:val="0"/>
          <w:numId w:val="8"/>
        </w:numPr>
      </w:pPr>
      <w:r w:rsidRPr="00EE25CC">
        <w:t xml:space="preserve">Academic buildings – performance </w:t>
      </w:r>
      <w:r w:rsidR="007B346F" w:rsidRPr="00EE25CC">
        <w:t>per</w:t>
      </w:r>
      <w:r w:rsidRPr="00EE25CC">
        <w:t xml:space="preserve"> meter squared </w:t>
      </w:r>
      <w:r w:rsidR="00E728F1" w:rsidRPr="00EE25CC">
        <w:t xml:space="preserve">of internal area </w:t>
      </w:r>
      <w:r w:rsidRPr="00EE25CC">
        <w:t>for gas, electricity, water, waste and F-Gas.</w:t>
      </w:r>
    </w:p>
    <w:p w:rsidR="00053E1B" w:rsidRPr="00EE25CC" w:rsidRDefault="00053E1B" w:rsidP="00053E1B">
      <w:pPr>
        <w:pStyle w:val="ListParagraph"/>
        <w:numPr>
          <w:ilvl w:val="0"/>
          <w:numId w:val="8"/>
        </w:numPr>
      </w:pPr>
      <w:r w:rsidRPr="00EE25CC">
        <w:t xml:space="preserve">Residential buildings - performance </w:t>
      </w:r>
      <w:r w:rsidR="007B346F" w:rsidRPr="00EE25CC">
        <w:t>per</w:t>
      </w:r>
      <w:r w:rsidRPr="00EE25CC">
        <w:t xml:space="preserve"> meter </w:t>
      </w:r>
      <w:r w:rsidR="00C6110B" w:rsidRPr="00EE25CC">
        <w:t xml:space="preserve">squared </w:t>
      </w:r>
      <w:r w:rsidR="00E728F1" w:rsidRPr="00EE25CC">
        <w:t xml:space="preserve">of internal area </w:t>
      </w:r>
      <w:r w:rsidRPr="00EE25CC">
        <w:t>for gas, electricity, water, waste and F-Gas.</w:t>
      </w:r>
    </w:p>
    <w:p w:rsidR="00053E1B" w:rsidRPr="00EE25CC" w:rsidRDefault="00053E1B" w:rsidP="00053E1B">
      <w:pPr>
        <w:pStyle w:val="ListParagraph"/>
        <w:numPr>
          <w:ilvl w:val="0"/>
          <w:numId w:val="8"/>
        </w:numPr>
      </w:pPr>
      <w:r w:rsidRPr="00EE25CC">
        <w:t xml:space="preserve">Business travel – performance per </w:t>
      </w:r>
      <w:r w:rsidR="00E728F1" w:rsidRPr="00EE25CC">
        <w:t xml:space="preserve">£ </w:t>
      </w:r>
      <w:r w:rsidRPr="00EE25CC">
        <w:t xml:space="preserve">million </w:t>
      </w:r>
      <w:r w:rsidR="00E728F1" w:rsidRPr="00EE25CC">
        <w:t>turnover</w:t>
      </w:r>
      <w:r w:rsidRPr="00EE25CC">
        <w:t xml:space="preserve">. </w:t>
      </w:r>
    </w:p>
    <w:p w:rsidR="00322B38" w:rsidRPr="00EE25CC" w:rsidRDefault="00322B38" w:rsidP="00E95ADF">
      <w:pPr>
        <w:rPr>
          <w:b/>
          <w:u w:val="single"/>
        </w:rPr>
      </w:pPr>
      <w:r w:rsidRPr="00EE25CC">
        <w:rPr>
          <w:b/>
          <w:u w:val="single"/>
        </w:rPr>
        <w:t>Scale of targets</w:t>
      </w:r>
    </w:p>
    <w:p w:rsidR="00DB6166" w:rsidRPr="00EE25CC" w:rsidRDefault="00184672" w:rsidP="00A375F2">
      <w:r w:rsidRPr="00EE25CC">
        <w:t>It is not the intention of this paper to recommend the scale of a target</w:t>
      </w:r>
      <w:r w:rsidR="00485402" w:rsidRPr="00EE25CC">
        <w:t>.</w:t>
      </w:r>
      <w:r w:rsidRPr="00EE25CC">
        <w:t xml:space="preserve"> </w:t>
      </w:r>
      <w:r w:rsidR="00DB6166" w:rsidRPr="00EE25CC">
        <w:t xml:space="preserve">  This should be agreed </w:t>
      </w:r>
      <w:r w:rsidR="00485402" w:rsidRPr="00EE25CC">
        <w:t xml:space="preserve">following </w:t>
      </w:r>
      <w:r w:rsidR="00DB6166" w:rsidRPr="00EE25CC">
        <w:t>consultation with the wider university community and once</w:t>
      </w:r>
      <w:r w:rsidR="00322B38" w:rsidRPr="00EE25CC">
        <w:t xml:space="preserve"> </w:t>
      </w:r>
      <w:r w:rsidR="00DB6166" w:rsidRPr="00EE25CC">
        <w:t xml:space="preserve">an </w:t>
      </w:r>
      <w:r w:rsidR="00322B38" w:rsidRPr="00EE25CC">
        <w:t xml:space="preserve">exercise </w:t>
      </w:r>
      <w:r w:rsidR="00485402" w:rsidRPr="00EE25CC">
        <w:t xml:space="preserve">has been </w:t>
      </w:r>
      <w:r w:rsidR="00DB6166" w:rsidRPr="00EE25CC">
        <w:t xml:space="preserve">completed </w:t>
      </w:r>
      <w:r w:rsidR="00322B38" w:rsidRPr="00EE25CC">
        <w:t xml:space="preserve">to determine the </w:t>
      </w:r>
      <w:r w:rsidRPr="00EE25CC">
        <w:t xml:space="preserve">size of </w:t>
      </w:r>
      <w:r w:rsidR="00322B38" w:rsidRPr="00EE25CC">
        <w:t xml:space="preserve">emission </w:t>
      </w:r>
      <w:proofErr w:type="gramStart"/>
      <w:r w:rsidR="00322B38" w:rsidRPr="00EE25CC">
        <w:t>reduction</w:t>
      </w:r>
      <w:r w:rsidRPr="00EE25CC">
        <w:t>s</w:t>
      </w:r>
      <w:r w:rsidR="00322B38" w:rsidRPr="00EE25CC">
        <w:t xml:space="preserve"> which</w:t>
      </w:r>
      <w:proofErr w:type="gramEnd"/>
      <w:r w:rsidR="00322B38" w:rsidRPr="00EE25CC">
        <w:t xml:space="preserve"> may be feasible.  </w:t>
      </w:r>
      <w:r w:rsidR="00322B38" w:rsidRPr="00EE25CC">
        <w:rPr>
          <w:b/>
        </w:rPr>
        <w:t xml:space="preserve">For example, </w:t>
      </w:r>
      <w:r w:rsidR="00C6110B" w:rsidRPr="00EE25CC">
        <w:rPr>
          <w:b/>
        </w:rPr>
        <w:t xml:space="preserve">under </w:t>
      </w:r>
      <w:r w:rsidR="00DB6166" w:rsidRPr="00EE25CC">
        <w:rPr>
          <w:b/>
        </w:rPr>
        <w:t xml:space="preserve">a </w:t>
      </w:r>
      <w:r w:rsidR="00C6110B" w:rsidRPr="00EE25CC">
        <w:rPr>
          <w:b/>
        </w:rPr>
        <w:t xml:space="preserve">scenario of </w:t>
      </w:r>
      <w:r w:rsidR="00C6110B" w:rsidRPr="00EE25CC">
        <w:t xml:space="preserve">very low carbon grid </w:t>
      </w:r>
      <w:r w:rsidR="00322B38" w:rsidRPr="00EE25CC">
        <w:t xml:space="preserve">electricity and </w:t>
      </w:r>
      <w:r w:rsidR="00C6110B" w:rsidRPr="00EE25CC">
        <w:t xml:space="preserve">a </w:t>
      </w:r>
      <w:r w:rsidR="00DB6166" w:rsidRPr="00EE25CC">
        <w:t>2</w:t>
      </w:r>
      <w:r w:rsidR="007D5022" w:rsidRPr="00EE25CC">
        <w:t>0</w:t>
      </w:r>
      <w:r w:rsidR="00C6110B" w:rsidRPr="00EE25CC">
        <w:t xml:space="preserve">% reduction in </w:t>
      </w:r>
      <w:r w:rsidR="00322B38" w:rsidRPr="00EE25CC">
        <w:t>utilit</w:t>
      </w:r>
      <w:r w:rsidR="00735E0C" w:rsidRPr="00EE25CC">
        <w:t>y</w:t>
      </w:r>
      <w:r w:rsidR="00322B38" w:rsidRPr="00EE25CC">
        <w:t xml:space="preserve"> </w:t>
      </w:r>
      <w:r w:rsidR="00DB6166" w:rsidRPr="00EE25CC">
        <w:t xml:space="preserve">consumption </w:t>
      </w:r>
      <w:r w:rsidR="00322B38" w:rsidRPr="00EE25CC">
        <w:t xml:space="preserve">at </w:t>
      </w:r>
      <w:r w:rsidR="00DB6166" w:rsidRPr="00EE25CC">
        <w:t>all</w:t>
      </w:r>
      <w:r w:rsidR="00322B38" w:rsidRPr="00EE25CC">
        <w:t xml:space="preserve"> sites </w:t>
      </w:r>
      <w:r w:rsidR="00DB6166" w:rsidRPr="00EE25CC">
        <w:t xml:space="preserve">by 2025 a reduction in </w:t>
      </w:r>
      <w:r w:rsidR="00485402" w:rsidRPr="00EE25CC">
        <w:t xml:space="preserve">utility based </w:t>
      </w:r>
      <w:r w:rsidR="00DB6166" w:rsidRPr="00EE25CC">
        <w:t xml:space="preserve">emissions of around 50% would be achieved.  A of </w:t>
      </w:r>
      <w:r w:rsidR="007D5022" w:rsidRPr="00EE25CC">
        <w:t>5</w:t>
      </w:r>
      <w:r w:rsidR="00DB6166" w:rsidRPr="00EE25CC">
        <w:t xml:space="preserve">% </w:t>
      </w:r>
      <w:r w:rsidR="00322B38" w:rsidRPr="00EE25CC">
        <w:t xml:space="preserve">reduction in </w:t>
      </w:r>
      <w:r w:rsidR="00DB6166" w:rsidRPr="00EE25CC">
        <w:t>utility consumption delivers a reduction of 4</w:t>
      </w:r>
      <w:r w:rsidR="007D5022" w:rsidRPr="00EE25CC">
        <w:t>4</w:t>
      </w:r>
      <w:r w:rsidR="00DB6166" w:rsidRPr="00EE25CC">
        <w:t>% by this date.</w:t>
      </w:r>
    </w:p>
    <w:p w:rsidR="00735E0C" w:rsidRPr="00EE25CC" w:rsidRDefault="00735E0C" w:rsidP="00735E0C">
      <w:r w:rsidRPr="00EE25CC">
        <w:t>Annex 1 contains details of other universities’ targets.</w:t>
      </w:r>
    </w:p>
    <w:p w:rsidR="00735E0C" w:rsidRPr="00EE25CC" w:rsidRDefault="00735E0C" w:rsidP="00A375F2">
      <w:pPr>
        <w:rPr>
          <w:b/>
          <w:u w:val="single"/>
        </w:rPr>
      </w:pPr>
      <w:r w:rsidRPr="00EE25CC">
        <w:rPr>
          <w:b/>
          <w:u w:val="single"/>
        </w:rPr>
        <w:t>Conclusion</w:t>
      </w:r>
    </w:p>
    <w:p w:rsidR="00735E0C" w:rsidRPr="00EE25CC" w:rsidRDefault="00735E0C" w:rsidP="00A375F2">
      <w:r w:rsidRPr="00EE25CC">
        <w:t>Final recommendations</w:t>
      </w:r>
    </w:p>
    <w:p w:rsidR="00DB6166" w:rsidRPr="00EE25CC" w:rsidRDefault="00735E0C" w:rsidP="00735E0C">
      <w:pPr>
        <w:pStyle w:val="ListParagraph"/>
        <w:numPr>
          <w:ilvl w:val="0"/>
          <w:numId w:val="11"/>
        </w:numPr>
      </w:pPr>
      <w:r w:rsidRPr="00EE25CC">
        <w:t xml:space="preserve">That the recommendation made in the on target options are agreed. </w:t>
      </w:r>
    </w:p>
    <w:p w:rsidR="00735E0C" w:rsidRPr="00EE25CC" w:rsidRDefault="00E15465" w:rsidP="007D2904">
      <w:pPr>
        <w:pStyle w:val="ListParagraph"/>
        <w:numPr>
          <w:ilvl w:val="0"/>
          <w:numId w:val="11"/>
        </w:numPr>
      </w:pPr>
      <w:r w:rsidRPr="00EE25CC">
        <w:t xml:space="preserve">To commence </w:t>
      </w:r>
      <w:r w:rsidR="00735E0C" w:rsidRPr="00EE25CC">
        <w:t xml:space="preserve">a project to </w:t>
      </w:r>
      <w:r w:rsidRPr="00EE25CC">
        <w:t>identify</w:t>
      </w:r>
      <w:r w:rsidR="00735E0C" w:rsidRPr="00EE25CC">
        <w:t xml:space="preserve"> the scale of </w:t>
      </w:r>
      <w:r w:rsidRPr="00EE25CC">
        <w:t xml:space="preserve">targets, which </w:t>
      </w:r>
      <w:proofErr w:type="gramStart"/>
      <w:r w:rsidRPr="00EE25CC">
        <w:t>could feasibly be achieved</w:t>
      </w:r>
      <w:proofErr w:type="gramEnd"/>
      <w:r w:rsidR="00485402" w:rsidRPr="00EE25CC">
        <w:t xml:space="preserve"> and a</w:t>
      </w:r>
      <w:r w:rsidR="00735E0C" w:rsidRPr="00EE25CC">
        <w:t xml:space="preserve"> proposal </w:t>
      </w:r>
      <w:r w:rsidRPr="00EE25CC">
        <w:t xml:space="preserve">is developed </w:t>
      </w:r>
      <w:r w:rsidR="00485402" w:rsidRPr="00EE25CC">
        <w:t xml:space="preserve">for </w:t>
      </w:r>
      <w:r w:rsidRPr="00EE25CC">
        <w:t xml:space="preserve">a </w:t>
      </w:r>
      <w:r w:rsidR="00735E0C" w:rsidRPr="00EE25CC">
        <w:t xml:space="preserve">consultation </w:t>
      </w:r>
      <w:r w:rsidRPr="00EE25CC">
        <w:t xml:space="preserve">on this topic </w:t>
      </w:r>
      <w:r w:rsidR="00735E0C" w:rsidRPr="00EE25CC">
        <w:t>with the wider university community.</w:t>
      </w:r>
    </w:p>
    <w:p w:rsidR="00735E0C" w:rsidRDefault="00735E0C">
      <w:pPr>
        <w:rPr>
          <w:sz w:val="24"/>
        </w:rPr>
      </w:pPr>
      <w:r>
        <w:rPr>
          <w:sz w:val="24"/>
        </w:rPr>
        <w:br w:type="page"/>
      </w:r>
    </w:p>
    <w:p w:rsidR="00735E0C" w:rsidRPr="00735E0C" w:rsidRDefault="00735E0C" w:rsidP="00735E0C">
      <w:pPr>
        <w:pStyle w:val="ListParagraph"/>
        <w:ind w:left="770"/>
        <w:rPr>
          <w:sz w:val="24"/>
        </w:rPr>
      </w:pPr>
    </w:p>
    <w:p w:rsidR="00E160DC" w:rsidRPr="00E160DC" w:rsidRDefault="00735E0C">
      <w:pPr>
        <w:rPr>
          <w:b/>
          <w:sz w:val="24"/>
        </w:rPr>
      </w:pPr>
      <w:r>
        <w:rPr>
          <w:b/>
          <w:sz w:val="24"/>
        </w:rPr>
        <w:t xml:space="preserve">Annex 1: </w:t>
      </w:r>
      <w:r w:rsidR="00E160DC" w:rsidRPr="00E160DC">
        <w:rPr>
          <w:b/>
          <w:sz w:val="24"/>
        </w:rPr>
        <w:t>Examples of other university targets</w:t>
      </w:r>
    </w:p>
    <w:p w:rsidR="00710F3A" w:rsidRPr="00E160DC" w:rsidRDefault="00E160DC">
      <w:pPr>
        <w:rPr>
          <w:b/>
          <w:sz w:val="24"/>
        </w:rPr>
      </w:pPr>
      <w:r w:rsidRPr="00E160DC">
        <w:rPr>
          <w:b/>
          <w:sz w:val="24"/>
        </w:rPr>
        <w:t>Edinburgh University</w:t>
      </w:r>
    </w:p>
    <w:p w:rsidR="00710F3A" w:rsidRPr="00E160DC" w:rsidRDefault="00710F3A">
      <w:pPr>
        <w:rPr>
          <w:sz w:val="24"/>
        </w:rPr>
      </w:pPr>
      <w:r w:rsidRPr="00E160DC">
        <w:rPr>
          <w:sz w:val="24"/>
        </w:rPr>
        <w:t xml:space="preserve">To meet this challenge, and to support Scotland's and the world's transition to a low carbon economy, the University of Edinburgh will reduce its carbon emissions per £ million turnover by 50% from a 2007/08 baseline, and will become a </w:t>
      </w:r>
      <w:r w:rsidRPr="00E160DC">
        <w:rPr>
          <w:b/>
          <w:bCs/>
          <w:sz w:val="24"/>
        </w:rPr>
        <w:t>net zero carbon university by 2040</w:t>
      </w:r>
      <w:r w:rsidRPr="00E160DC">
        <w:rPr>
          <w:sz w:val="24"/>
        </w:rPr>
        <w:t>.</w:t>
      </w:r>
    </w:p>
    <w:p w:rsidR="00710F3A" w:rsidRPr="00E160DC" w:rsidRDefault="00710F3A" w:rsidP="00710F3A">
      <w:pPr>
        <w:spacing w:after="150" w:line="240" w:lineRule="auto"/>
        <w:rPr>
          <w:sz w:val="24"/>
        </w:rPr>
      </w:pPr>
      <w:r w:rsidRPr="00E160DC">
        <w:rPr>
          <w:sz w:val="24"/>
        </w:rPr>
        <w:t>Our targets are:</w:t>
      </w:r>
    </w:p>
    <w:p w:rsidR="00710F3A" w:rsidRPr="00E160DC" w:rsidRDefault="00710F3A" w:rsidP="00710F3A">
      <w:pPr>
        <w:numPr>
          <w:ilvl w:val="0"/>
          <w:numId w:val="6"/>
        </w:numPr>
        <w:spacing w:before="100" w:beforeAutospacing="1" w:after="100" w:afterAutospacing="1" w:line="240" w:lineRule="auto"/>
        <w:ind w:left="495"/>
        <w:rPr>
          <w:sz w:val="24"/>
        </w:rPr>
      </w:pPr>
      <w:r w:rsidRPr="00E160DC">
        <w:rPr>
          <w:sz w:val="24"/>
        </w:rPr>
        <w:t>We will reduce our emissions of carbon per £ million turnover by 50% from a 2007/8 baseline year by 2025.</w:t>
      </w:r>
    </w:p>
    <w:p w:rsidR="00710F3A" w:rsidRPr="00E160DC" w:rsidRDefault="00710F3A" w:rsidP="00710F3A">
      <w:pPr>
        <w:numPr>
          <w:ilvl w:val="0"/>
          <w:numId w:val="6"/>
        </w:numPr>
        <w:spacing w:before="100" w:beforeAutospacing="1" w:after="100" w:afterAutospacing="1" w:line="240" w:lineRule="auto"/>
        <w:ind w:left="495"/>
        <w:rPr>
          <w:sz w:val="24"/>
        </w:rPr>
      </w:pPr>
      <w:r w:rsidRPr="00E160DC">
        <w:rPr>
          <w:sz w:val="24"/>
        </w:rPr>
        <w:t>We will return our carbon emissions to 2007/08 baseline year levels by 2025.</w:t>
      </w:r>
    </w:p>
    <w:p w:rsidR="00710F3A" w:rsidRPr="00E160DC" w:rsidRDefault="00710F3A" w:rsidP="00710F3A">
      <w:pPr>
        <w:numPr>
          <w:ilvl w:val="0"/>
          <w:numId w:val="6"/>
        </w:numPr>
        <w:spacing w:before="100" w:beforeAutospacing="1" w:after="100" w:afterAutospacing="1" w:line="240" w:lineRule="auto"/>
        <w:ind w:left="495"/>
        <w:rPr>
          <w:sz w:val="24"/>
        </w:rPr>
      </w:pPr>
      <w:r w:rsidRPr="00E160DC">
        <w:rPr>
          <w:sz w:val="24"/>
        </w:rPr>
        <w:t>We will become a net zero carbon university by 2040.</w:t>
      </w:r>
    </w:p>
    <w:p w:rsidR="00710F3A" w:rsidRPr="00E728F1" w:rsidRDefault="00E160DC">
      <w:pPr>
        <w:rPr>
          <w:b/>
          <w:sz w:val="24"/>
        </w:rPr>
      </w:pPr>
      <w:r w:rsidRPr="00E728F1">
        <w:rPr>
          <w:b/>
          <w:sz w:val="24"/>
        </w:rPr>
        <w:t>Heriot Watt University</w:t>
      </w:r>
    </w:p>
    <w:p w:rsidR="00C408DD" w:rsidRDefault="00E728F1" w:rsidP="00E160DC">
      <w:r>
        <w:t>A</w:t>
      </w:r>
      <w:r w:rsidR="00E160DC">
        <w:t xml:space="preserve"> </w:t>
      </w:r>
      <w:r w:rsidR="00E160DC" w:rsidRPr="00E728F1">
        <w:t xml:space="preserve">15% absolute reduction </w:t>
      </w:r>
      <w:r w:rsidR="00E160DC">
        <w:t>in greenhouse gas emissions between 2014/15 and 2019/2020 and a 10% relative energy efficiency target (measured in relation to internal area) over the same period.</w:t>
      </w:r>
    </w:p>
    <w:sectPr w:rsidR="00C408DD" w:rsidSect="008802B3">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C1" w:rsidRDefault="00F73BC1" w:rsidP="00FB14C1">
      <w:pPr>
        <w:spacing w:after="0" w:line="240" w:lineRule="auto"/>
      </w:pPr>
      <w:r>
        <w:separator/>
      </w:r>
    </w:p>
  </w:endnote>
  <w:endnote w:type="continuationSeparator" w:id="0">
    <w:p w:rsidR="00F73BC1" w:rsidRDefault="00F73BC1" w:rsidP="00FB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C1" w:rsidRDefault="00F73BC1" w:rsidP="00FB14C1">
      <w:pPr>
        <w:spacing w:after="0" w:line="240" w:lineRule="auto"/>
      </w:pPr>
      <w:r>
        <w:separator/>
      </w:r>
    </w:p>
  </w:footnote>
  <w:footnote w:type="continuationSeparator" w:id="0">
    <w:p w:rsidR="00F73BC1" w:rsidRDefault="00F73BC1" w:rsidP="00FB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C1" w:rsidRDefault="00FB14C1" w:rsidP="00FB14C1">
    <w:pPr>
      <w:pStyle w:val="Header"/>
      <w:jc w:val="right"/>
      <w:rPr>
        <w:b/>
        <w:color w:val="808080" w:themeColor="background1" w:themeShade="80"/>
      </w:rPr>
    </w:pPr>
    <w:r>
      <w:rPr>
        <w:b/>
        <w:color w:val="808080" w:themeColor="background1" w:themeShade="80"/>
      </w:rPr>
      <w:t>ENVIRONMENTAL SUSTAINABILITY ADVISORY GROUP</w:t>
    </w:r>
  </w:p>
  <w:p w:rsidR="00FB14C1" w:rsidRPr="00FB14C1" w:rsidRDefault="00FB14C1" w:rsidP="00FB14C1">
    <w:pPr>
      <w:pStyle w:val="Header"/>
      <w:jc w:val="right"/>
      <w:rPr>
        <w:b/>
        <w:color w:val="808080" w:themeColor="background1" w:themeShade="80"/>
      </w:rPr>
    </w:pPr>
    <w:r>
      <w:rPr>
        <w:b/>
        <w:color w:val="808080" w:themeColor="background1" w:themeShade="80"/>
      </w:rPr>
      <w:t>7 JUNE 2017</w:t>
    </w:r>
    <w:r w:rsidR="0063619C">
      <w:rPr>
        <w:b/>
        <w:color w:val="808080" w:themeColor="background1" w:themeShade="80"/>
      </w:rPr>
      <w:t xml:space="preserve"> ESAG/17/01/13</w:t>
    </w:r>
  </w:p>
  <w:p w:rsidR="00FB14C1" w:rsidRDefault="00FB1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3E18"/>
    <w:multiLevelType w:val="hybridMultilevel"/>
    <w:tmpl w:val="990278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1B62B2A"/>
    <w:multiLevelType w:val="hybridMultilevel"/>
    <w:tmpl w:val="5B74D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365B97"/>
    <w:multiLevelType w:val="hybridMultilevel"/>
    <w:tmpl w:val="A4F83094"/>
    <w:lvl w:ilvl="0" w:tplc="B1163818">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2413477"/>
    <w:multiLevelType w:val="hybridMultilevel"/>
    <w:tmpl w:val="FEAC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254C0"/>
    <w:multiLevelType w:val="multilevel"/>
    <w:tmpl w:val="3DB8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B2874"/>
    <w:multiLevelType w:val="hybridMultilevel"/>
    <w:tmpl w:val="808A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B4477"/>
    <w:multiLevelType w:val="hybridMultilevel"/>
    <w:tmpl w:val="7C8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24131"/>
    <w:multiLevelType w:val="hybridMultilevel"/>
    <w:tmpl w:val="831659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8260DA9"/>
    <w:multiLevelType w:val="hybridMultilevel"/>
    <w:tmpl w:val="7CEE32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86D26"/>
    <w:multiLevelType w:val="hybridMultilevel"/>
    <w:tmpl w:val="18A0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46450"/>
    <w:multiLevelType w:val="hybridMultilevel"/>
    <w:tmpl w:val="87A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9"/>
  </w:num>
  <w:num w:numId="6">
    <w:abstractNumId w:val="4"/>
  </w:num>
  <w:num w:numId="7">
    <w:abstractNumId w:val="5"/>
  </w:num>
  <w:num w:numId="8">
    <w:abstractNumId w:val="10"/>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DD"/>
    <w:rsid w:val="00053E1B"/>
    <w:rsid w:val="000777F8"/>
    <w:rsid w:val="000C6197"/>
    <w:rsid w:val="00137769"/>
    <w:rsid w:val="00184672"/>
    <w:rsid w:val="001924E9"/>
    <w:rsid w:val="001D1BFB"/>
    <w:rsid w:val="001D6EFB"/>
    <w:rsid w:val="001F02A1"/>
    <w:rsid w:val="00245FE8"/>
    <w:rsid w:val="002B041D"/>
    <w:rsid w:val="002F07BF"/>
    <w:rsid w:val="002F388E"/>
    <w:rsid w:val="00322B38"/>
    <w:rsid w:val="00362298"/>
    <w:rsid w:val="003671CE"/>
    <w:rsid w:val="003906A4"/>
    <w:rsid w:val="003D694A"/>
    <w:rsid w:val="00410411"/>
    <w:rsid w:val="004146CC"/>
    <w:rsid w:val="00466EC2"/>
    <w:rsid w:val="00485402"/>
    <w:rsid w:val="004E2129"/>
    <w:rsid w:val="005523D3"/>
    <w:rsid w:val="006250FC"/>
    <w:rsid w:val="0063619C"/>
    <w:rsid w:val="006B64A5"/>
    <w:rsid w:val="00710F3A"/>
    <w:rsid w:val="00720084"/>
    <w:rsid w:val="00731601"/>
    <w:rsid w:val="00735E0C"/>
    <w:rsid w:val="00784008"/>
    <w:rsid w:val="007B346F"/>
    <w:rsid w:val="007D5022"/>
    <w:rsid w:val="00845446"/>
    <w:rsid w:val="008802B3"/>
    <w:rsid w:val="008A4D11"/>
    <w:rsid w:val="009414E7"/>
    <w:rsid w:val="00954C10"/>
    <w:rsid w:val="00955011"/>
    <w:rsid w:val="009A7673"/>
    <w:rsid w:val="00A21AF1"/>
    <w:rsid w:val="00A375F2"/>
    <w:rsid w:val="00A82DF7"/>
    <w:rsid w:val="00A96A57"/>
    <w:rsid w:val="00AB2049"/>
    <w:rsid w:val="00AB3A30"/>
    <w:rsid w:val="00AE7423"/>
    <w:rsid w:val="00B41E3D"/>
    <w:rsid w:val="00BB6F39"/>
    <w:rsid w:val="00BD42CF"/>
    <w:rsid w:val="00C11906"/>
    <w:rsid w:val="00C408DD"/>
    <w:rsid w:val="00C6110B"/>
    <w:rsid w:val="00C63414"/>
    <w:rsid w:val="00C73FCA"/>
    <w:rsid w:val="00CA14B9"/>
    <w:rsid w:val="00DA2DCA"/>
    <w:rsid w:val="00DB6166"/>
    <w:rsid w:val="00E15465"/>
    <w:rsid w:val="00E160DC"/>
    <w:rsid w:val="00E728F1"/>
    <w:rsid w:val="00E95ADF"/>
    <w:rsid w:val="00E95BB0"/>
    <w:rsid w:val="00EE0AD8"/>
    <w:rsid w:val="00EE25CC"/>
    <w:rsid w:val="00F55DB1"/>
    <w:rsid w:val="00F73BC1"/>
    <w:rsid w:val="00FA3A32"/>
    <w:rsid w:val="00FB14C1"/>
    <w:rsid w:val="00FC054A"/>
    <w:rsid w:val="00FC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3210"/>
  <w15:chartTrackingRefBased/>
  <w15:docId w15:val="{CE34B484-677D-45BA-B949-CF83F3AA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C2"/>
    <w:pPr>
      <w:ind w:left="720"/>
      <w:contextualSpacing/>
    </w:pPr>
  </w:style>
  <w:style w:type="table" w:styleId="TableGrid">
    <w:name w:val="Table Grid"/>
    <w:basedOn w:val="TableNormal"/>
    <w:uiPriority w:val="39"/>
    <w:rsid w:val="0036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DB1"/>
    <w:rPr>
      <w:rFonts w:ascii="Segoe UI" w:hAnsi="Segoe UI" w:cs="Segoe UI"/>
      <w:sz w:val="18"/>
      <w:szCs w:val="18"/>
    </w:rPr>
  </w:style>
  <w:style w:type="character" w:styleId="Strong">
    <w:name w:val="Strong"/>
    <w:basedOn w:val="DefaultParagraphFont"/>
    <w:uiPriority w:val="22"/>
    <w:qFormat/>
    <w:rsid w:val="00710F3A"/>
    <w:rPr>
      <w:b/>
      <w:bCs/>
    </w:rPr>
  </w:style>
  <w:style w:type="paragraph" w:styleId="NormalWeb">
    <w:name w:val="Normal (Web)"/>
    <w:basedOn w:val="Normal"/>
    <w:uiPriority w:val="99"/>
    <w:semiHidden/>
    <w:unhideWhenUsed/>
    <w:rsid w:val="00710F3A"/>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4C1"/>
  </w:style>
  <w:style w:type="paragraph" w:styleId="Footer">
    <w:name w:val="footer"/>
    <w:basedOn w:val="Normal"/>
    <w:link w:val="FooterChar"/>
    <w:uiPriority w:val="99"/>
    <w:unhideWhenUsed/>
    <w:rsid w:val="00FB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764">
      <w:bodyDiv w:val="1"/>
      <w:marLeft w:val="0"/>
      <w:marRight w:val="0"/>
      <w:marTop w:val="0"/>
      <w:marBottom w:val="0"/>
      <w:divBdr>
        <w:top w:val="none" w:sz="0" w:space="0" w:color="auto"/>
        <w:left w:val="none" w:sz="0" w:space="0" w:color="auto"/>
        <w:bottom w:val="none" w:sz="0" w:space="0" w:color="auto"/>
        <w:right w:val="none" w:sz="0" w:space="0" w:color="auto"/>
      </w:divBdr>
      <w:divsChild>
        <w:div w:id="459882884">
          <w:marLeft w:val="0"/>
          <w:marRight w:val="0"/>
          <w:marTop w:val="0"/>
          <w:marBottom w:val="0"/>
          <w:divBdr>
            <w:top w:val="none" w:sz="0" w:space="0" w:color="auto"/>
            <w:left w:val="none" w:sz="0" w:space="0" w:color="auto"/>
            <w:bottom w:val="none" w:sz="0" w:space="0" w:color="auto"/>
            <w:right w:val="none" w:sz="0" w:space="0" w:color="auto"/>
          </w:divBdr>
          <w:divsChild>
            <w:div w:id="2064793745">
              <w:marLeft w:val="-225"/>
              <w:marRight w:val="-225"/>
              <w:marTop w:val="0"/>
              <w:marBottom w:val="0"/>
              <w:divBdr>
                <w:top w:val="none" w:sz="0" w:space="0" w:color="auto"/>
                <w:left w:val="none" w:sz="0" w:space="0" w:color="auto"/>
                <w:bottom w:val="none" w:sz="0" w:space="0" w:color="auto"/>
                <w:right w:val="none" w:sz="0" w:space="0" w:color="auto"/>
              </w:divBdr>
              <w:divsChild>
                <w:div w:id="200096488">
                  <w:marLeft w:val="0"/>
                  <w:marRight w:val="0"/>
                  <w:marTop w:val="0"/>
                  <w:marBottom w:val="0"/>
                  <w:divBdr>
                    <w:top w:val="none" w:sz="0" w:space="0" w:color="auto"/>
                    <w:left w:val="none" w:sz="0" w:space="0" w:color="auto"/>
                    <w:bottom w:val="none" w:sz="0" w:space="0" w:color="auto"/>
                    <w:right w:val="none" w:sz="0" w:space="0" w:color="auto"/>
                  </w:divBdr>
                  <w:divsChild>
                    <w:div w:id="10025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file:///\\napier-mail.napier.ac.uk\staff\Property%20and%20Facilities\Departmental%20Data\facserv\Sustainability\Carbon%20Management\2016-17\Targets%20predic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apier-mail.napier.ac.uk\staff\Property%20and%20Facilities\Departmental%20Data\facserv\Sustainability\Carbon%20Management\2016-17\Headline%20Graphs%20Marc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apier-mail.napier.ac.uk\staff\Property%20and%20Facilities\Departmental%20Data\facserv\Sustainability\Carbon%20Management\2016-17\Headline%20Graphs%20Marc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Chart 1: CO</a:t>
            </a:r>
            <a:r>
              <a:rPr lang="en-US" sz="1200" b="1" baseline="-25000"/>
              <a:t>2</a:t>
            </a:r>
            <a:r>
              <a:rPr lang="en-US" sz="1200" b="1"/>
              <a:t>e emissions change 2006 to 2016</a:t>
            </a:r>
          </a:p>
          <a:p>
            <a:pPr>
              <a:defRPr/>
            </a:pPr>
            <a:r>
              <a:rPr lang="en-US" sz="1200"/>
              <a:t>(All</a:t>
            </a:r>
            <a:r>
              <a:rPr lang="en-US" sz="1200" baseline="0"/>
              <a:t> academic sites)</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[1]Sheet1!$C$4</c:f>
              <c:strCache>
                <c:ptCount val="1"/>
                <c:pt idx="0">
                  <c:v>Ele</c:v>
                </c:pt>
              </c:strCache>
            </c:strRef>
          </c:tx>
          <c:spPr>
            <a:solidFill>
              <a:schemeClr val="accent1"/>
            </a:solidFill>
            <a:ln>
              <a:noFill/>
            </a:ln>
            <a:effectLst/>
          </c:spPr>
          <c:invertIfNegative val="0"/>
          <c:cat>
            <c:numRef>
              <c:f>[1]Sheet1!$B$5:$B$7</c:f>
              <c:numCache>
                <c:formatCode>General</c:formatCode>
                <c:ptCount val="2"/>
                <c:pt idx="0">
                  <c:v>2006</c:v>
                </c:pt>
                <c:pt idx="1">
                  <c:v>2016</c:v>
                </c:pt>
              </c:numCache>
              <c:extLst/>
            </c:numRef>
          </c:cat>
          <c:val>
            <c:numRef>
              <c:f>[1]Sheet1!$C$5:$C$7</c:f>
              <c:numCache>
                <c:formatCode>General</c:formatCode>
                <c:ptCount val="2"/>
                <c:pt idx="0">
                  <c:v>4611</c:v>
                </c:pt>
                <c:pt idx="1">
                  <c:v>3258.5918300644003</c:v>
                </c:pt>
              </c:numCache>
              <c:extLst/>
            </c:numRef>
          </c:val>
          <c:extLst>
            <c:ext xmlns:c16="http://schemas.microsoft.com/office/drawing/2014/chart" uri="{C3380CC4-5D6E-409C-BE32-E72D297353CC}">
              <c16:uniqueId val="{00000000-1317-46E1-9E15-DBACB92C84D0}"/>
            </c:ext>
          </c:extLst>
        </c:ser>
        <c:ser>
          <c:idx val="1"/>
          <c:order val="1"/>
          <c:tx>
            <c:strRef>
              <c:f>[1]Sheet1!$D$4</c:f>
              <c:strCache>
                <c:ptCount val="1"/>
                <c:pt idx="0">
                  <c:v>Gas</c:v>
                </c:pt>
              </c:strCache>
            </c:strRef>
          </c:tx>
          <c:spPr>
            <a:solidFill>
              <a:schemeClr val="accent2"/>
            </a:solidFill>
            <a:ln>
              <a:noFill/>
            </a:ln>
            <a:effectLst/>
          </c:spPr>
          <c:invertIfNegative val="0"/>
          <c:cat>
            <c:numRef>
              <c:f>[1]Sheet1!$B$5:$B$7</c:f>
              <c:numCache>
                <c:formatCode>General</c:formatCode>
                <c:ptCount val="2"/>
                <c:pt idx="0">
                  <c:v>2006</c:v>
                </c:pt>
                <c:pt idx="1">
                  <c:v>2016</c:v>
                </c:pt>
              </c:numCache>
              <c:extLst/>
            </c:numRef>
          </c:cat>
          <c:val>
            <c:numRef>
              <c:f>[1]Sheet1!$D$5:$D$7</c:f>
              <c:numCache>
                <c:formatCode>General</c:formatCode>
                <c:ptCount val="2"/>
                <c:pt idx="0">
                  <c:v>3419</c:v>
                </c:pt>
                <c:pt idx="1">
                  <c:v>1571.9573200415</c:v>
                </c:pt>
              </c:numCache>
              <c:extLst/>
            </c:numRef>
          </c:val>
          <c:extLst>
            <c:ext xmlns:c16="http://schemas.microsoft.com/office/drawing/2014/chart" uri="{C3380CC4-5D6E-409C-BE32-E72D297353CC}">
              <c16:uniqueId val="{00000001-1317-46E1-9E15-DBACB92C84D0}"/>
            </c:ext>
          </c:extLst>
        </c:ser>
        <c:ser>
          <c:idx val="2"/>
          <c:order val="2"/>
          <c:tx>
            <c:strRef>
              <c:f>[1]Sheet1!$E$4</c:f>
              <c:strCache>
                <c:ptCount val="1"/>
                <c:pt idx="0">
                  <c:v>Water</c:v>
                </c:pt>
              </c:strCache>
            </c:strRef>
          </c:tx>
          <c:spPr>
            <a:solidFill>
              <a:schemeClr val="accent3"/>
            </a:solidFill>
            <a:ln>
              <a:noFill/>
            </a:ln>
            <a:effectLst/>
          </c:spPr>
          <c:invertIfNegative val="0"/>
          <c:cat>
            <c:numRef>
              <c:f>[1]Sheet1!$B$5:$B$7</c:f>
              <c:numCache>
                <c:formatCode>General</c:formatCode>
                <c:ptCount val="2"/>
                <c:pt idx="0">
                  <c:v>2006</c:v>
                </c:pt>
                <c:pt idx="1">
                  <c:v>2016</c:v>
                </c:pt>
              </c:numCache>
              <c:extLst/>
            </c:numRef>
          </c:cat>
          <c:val>
            <c:numRef>
              <c:f>[1]Sheet1!$E$5:$E$7</c:f>
              <c:numCache>
                <c:formatCode>General</c:formatCode>
                <c:ptCount val="2"/>
                <c:pt idx="0">
                  <c:v>58.843488000000008</c:v>
                </c:pt>
                <c:pt idx="1">
                  <c:v>74.112421640000008</c:v>
                </c:pt>
              </c:numCache>
              <c:extLst/>
            </c:numRef>
          </c:val>
          <c:extLst>
            <c:ext xmlns:c16="http://schemas.microsoft.com/office/drawing/2014/chart" uri="{C3380CC4-5D6E-409C-BE32-E72D297353CC}">
              <c16:uniqueId val="{00000002-1317-46E1-9E15-DBACB92C84D0}"/>
            </c:ext>
          </c:extLst>
        </c:ser>
        <c:dLbls>
          <c:showLegendKey val="0"/>
          <c:showVal val="0"/>
          <c:showCatName val="0"/>
          <c:showSerName val="0"/>
          <c:showPercent val="0"/>
          <c:showBubbleSize val="0"/>
        </c:dLbls>
        <c:gapWidth val="150"/>
        <c:overlap val="100"/>
        <c:axId val="348095536"/>
        <c:axId val="348091616"/>
      </c:barChart>
      <c:catAx>
        <c:axId val="34809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091616"/>
        <c:crosses val="autoZero"/>
        <c:auto val="1"/>
        <c:lblAlgn val="ctr"/>
        <c:lblOffset val="100"/>
        <c:noMultiLvlLbl val="0"/>
      </c:catAx>
      <c:valAx>
        <c:axId val="34809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095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US" sz="1100"/>
              <a:t>1. Predicted CO</a:t>
            </a:r>
            <a:r>
              <a:rPr lang="en-US" sz="1100" baseline="-25000"/>
              <a:t>2</a:t>
            </a:r>
            <a:r>
              <a:rPr lang="en-US" sz="1100"/>
              <a:t>e 2016/  2017</a:t>
            </a:r>
          </a:p>
        </c:rich>
      </c:tx>
      <c:layout>
        <c:manualLayout>
          <c:xMode val="edge"/>
          <c:yMode val="edge"/>
          <c:x val="9.9251154926388918E-2"/>
          <c:y val="2.777777777777777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Sheet2!$B$3:$C$3</c:f>
              <c:strCache>
                <c:ptCount val="2"/>
                <c:pt idx="0">
                  <c:v>Predicted CO2e 2016</c:v>
                </c:pt>
                <c:pt idx="1">
                  <c:v>2016</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458-4BF3-B40F-EA19B38A57F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458-4BF3-B40F-EA19B38A57F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458-4BF3-B40F-EA19B38A57F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458-4BF3-B40F-EA19B38A57F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458-4BF3-B40F-EA19B38A57F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458-4BF3-B40F-EA19B38A57F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458-4BF3-B40F-EA19B38A57F2}"/>
              </c:ext>
            </c:extLst>
          </c:dPt>
          <c:dLbls>
            <c:dLbl>
              <c:idx val="1"/>
              <c:layout>
                <c:manualLayout>
                  <c:x val="0.120940071170349"/>
                  <c:y val="-0.1291338582677166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458-4BF3-B40F-EA19B38A57F2}"/>
                </c:ext>
              </c:extLst>
            </c:dLbl>
            <c:dLbl>
              <c:idx val="2"/>
              <c:layout>
                <c:manualLayout>
                  <c:x val="0.15938585507000305"/>
                  <c:y val="-9.624501386479232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458-4BF3-B40F-EA19B38A57F2}"/>
                </c:ext>
              </c:extLst>
            </c:dLbl>
            <c:dLbl>
              <c:idx val="3"/>
              <c:layout>
                <c:manualLayout>
                  <c:x val="0.20308098280167808"/>
                  <c:y val="-0.1512574699349022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458-4BF3-B40F-EA19B38A57F2}"/>
                </c:ext>
              </c:extLst>
            </c:dLbl>
            <c:dLbl>
              <c:idx val="4"/>
              <c:layout>
                <c:manualLayout>
                  <c:x val="8.7881231827153683E-2"/>
                  <c:y val="-7.747898038168966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D458-4BF3-B40F-EA19B38A57F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Sheet2!$D$1:$J$2</c:f>
              <c:strCache>
                <c:ptCount val="7"/>
                <c:pt idx="0">
                  <c:v>Ele</c:v>
                </c:pt>
                <c:pt idx="1">
                  <c:v>Gas</c:v>
                </c:pt>
                <c:pt idx="2">
                  <c:v>Water</c:v>
                </c:pt>
                <c:pt idx="3">
                  <c:v>Fleet</c:v>
                </c:pt>
                <c:pt idx="4">
                  <c:v>Waste</c:v>
                </c:pt>
                <c:pt idx="5">
                  <c:v>Flights</c:v>
                </c:pt>
                <c:pt idx="6">
                  <c:v>Business travel (other)</c:v>
                </c:pt>
              </c:strCache>
            </c:strRef>
          </c:cat>
          <c:val>
            <c:numRef>
              <c:f>Sheet2!$D$3:$J$3</c:f>
              <c:numCache>
                <c:formatCode>0</c:formatCode>
                <c:ptCount val="7"/>
                <c:pt idx="0">
                  <c:v>4779.9754256376009</c:v>
                </c:pt>
                <c:pt idx="1">
                  <c:v>1674.1433504634999</c:v>
                </c:pt>
                <c:pt idx="2">
                  <c:v>74.112421640000008</c:v>
                </c:pt>
                <c:pt idx="3">
                  <c:v>38</c:v>
                </c:pt>
                <c:pt idx="4">
                  <c:v>19</c:v>
                </c:pt>
                <c:pt idx="5">
                  <c:v>3434</c:v>
                </c:pt>
                <c:pt idx="6">
                  <c:v>76</c:v>
                </c:pt>
              </c:numCache>
            </c:numRef>
          </c:val>
          <c:extLst>
            <c:ext xmlns:c16="http://schemas.microsoft.com/office/drawing/2014/chart" uri="{C3380CC4-5D6E-409C-BE32-E72D297353CC}">
              <c16:uniqueId val="{0000000E-D458-4BF3-B40F-EA19B38A57F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652842922936516"/>
          <c:y val="0.15891906520159557"/>
          <c:w val="0.26260903707791244"/>
          <c:h val="0.841080934798404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US" sz="1100"/>
              <a:t>2. Predicted CO</a:t>
            </a:r>
            <a:r>
              <a:rPr lang="en-US" sz="1100" baseline="-25000"/>
              <a:t>2</a:t>
            </a:r>
            <a:r>
              <a:rPr lang="en-US" sz="1100"/>
              <a:t>e 2016 / 2017</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C6D-4023-A155-8C250F244CD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C6D-4023-A155-8C250F244CD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C6D-4023-A155-8C250F244CD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C6D-4023-A155-8C250F244CDE}"/>
              </c:ext>
            </c:extLst>
          </c:dPt>
          <c:dLbls>
            <c:dLbl>
              <c:idx val="2"/>
              <c:layout>
                <c:manualLayout>
                  <c:x val="9.1331861819159393E-2"/>
                  <c:y val="0.1676887317051470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C6D-4023-A155-8C250F244CDE}"/>
                </c:ext>
              </c:extLst>
            </c:dLbl>
            <c:dLbl>
              <c:idx val="3"/>
              <c:layout>
                <c:manualLayout>
                  <c:x val="1.8559472518765385E-2"/>
                  <c:y val="0.1817614959147055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C6D-4023-A155-8C250F244CD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Sheet2!$M$1:$P$1</c:f>
              <c:strCache>
                <c:ptCount val="4"/>
                <c:pt idx="0">
                  <c:v>Travel</c:v>
                </c:pt>
                <c:pt idx="1">
                  <c:v>Academic Utilities</c:v>
                </c:pt>
                <c:pt idx="2">
                  <c:v>Res Utilities</c:v>
                </c:pt>
                <c:pt idx="3">
                  <c:v>Waste / Fleet</c:v>
                </c:pt>
              </c:strCache>
            </c:strRef>
          </c:cat>
          <c:val>
            <c:numRef>
              <c:f>Sheet2!$M$3:$P$3</c:f>
              <c:numCache>
                <c:formatCode>0</c:formatCode>
                <c:ptCount val="4"/>
                <c:pt idx="0">
                  <c:v>3510</c:v>
                </c:pt>
                <c:pt idx="1">
                  <c:v>4904.6615717459008</c:v>
                </c:pt>
                <c:pt idx="2" formatCode="General">
                  <c:v>1623.5696259952003</c:v>
                </c:pt>
                <c:pt idx="3">
                  <c:v>57</c:v>
                </c:pt>
              </c:numCache>
            </c:numRef>
          </c:val>
          <c:extLst>
            <c:ext xmlns:c16="http://schemas.microsoft.com/office/drawing/2014/chart" uri="{C3380CC4-5D6E-409C-BE32-E72D297353CC}">
              <c16:uniqueId val="{00000008-DC6D-4023-A155-8C250F244CDE}"/>
            </c:ext>
          </c:extLst>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DC6D-4023-A155-8C250F244CD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DC6D-4023-A155-8C250F244CD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DC6D-4023-A155-8C250F244CD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DC6D-4023-A155-8C250F244CD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Sheet2!$M$1:$P$1</c15:sqref>
                        </c15:formulaRef>
                      </c:ext>
                    </c:extLst>
                    <c:strCache>
                      <c:ptCount val="4"/>
                      <c:pt idx="0">
                        <c:v>Travel</c:v>
                      </c:pt>
                      <c:pt idx="1">
                        <c:v>Academic Utilities</c:v>
                      </c:pt>
                      <c:pt idx="2">
                        <c:v>Res Utilities</c:v>
                      </c:pt>
                      <c:pt idx="3">
                        <c:v>Waste / Fleet</c:v>
                      </c:pt>
                    </c:strCache>
                  </c:strRef>
                </c:cat>
                <c:val>
                  <c:numRef>
                    <c:extLst>
                      <c:ext uri="{02D57815-91ED-43cb-92C2-25804820EDAC}">
                        <c15:formulaRef>
                          <c15:sqref>Sheet2!$M$2:$P$2</c15:sqref>
                        </c15:formulaRef>
                      </c:ext>
                    </c:extLst>
                    <c:numCache>
                      <c:formatCode>General</c:formatCode>
                      <c:ptCount val="4"/>
                    </c:numCache>
                  </c:numRef>
                </c:val>
                <c:extLst>
                  <c:ext xmlns:c16="http://schemas.microsoft.com/office/drawing/2014/chart" uri="{C3380CC4-5D6E-409C-BE32-E72D297353CC}">
                    <c16:uniqueId val="{00000011-DC6D-4023-A155-8C250F244CDE}"/>
                  </c:ext>
                </c:extLst>
              </c15:ser>
            </c15:filteredPieSeries>
          </c:ext>
        </c:extLst>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AC3D447-6714-4016-AAD0-A4EE59D1A188}"/>
</file>

<file path=customXml/itemProps2.xml><?xml version="1.0" encoding="utf-8"?>
<ds:datastoreItem xmlns:ds="http://schemas.openxmlformats.org/officeDocument/2006/customXml" ds:itemID="{8B36E20C-9F5B-4C86-BD57-A27E5536AA59}"/>
</file>

<file path=customXml/itemProps3.xml><?xml version="1.0" encoding="utf-8"?>
<ds:datastoreItem xmlns:ds="http://schemas.openxmlformats.org/officeDocument/2006/customXml" ds:itemID="{A7152309-8D41-4C14-AE7F-4A80983BF8A8}"/>
</file>

<file path=docProps/app.xml><?xml version="1.0" encoding="utf-8"?>
<Properties xmlns="http://schemas.openxmlformats.org/officeDocument/2006/extended-properties" xmlns:vt="http://schemas.openxmlformats.org/officeDocument/2006/docPropsVTypes">
  <Template>Normal.dotm</Template>
  <TotalTime>29</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Fairhurst, David</dc:creator>
  <cp:keywords/>
  <dc:description/>
  <cp:lastModifiedBy>Pearson, Jamie</cp:lastModifiedBy>
  <cp:revision>9</cp:revision>
  <cp:lastPrinted>2017-05-29T08:41:00Z</cp:lastPrinted>
  <dcterms:created xsi:type="dcterms:W3CDTF">2017-05-31T12:04:00Z</dcterms:created>
  <dcterms:modified xsi:type="dcterms:W3CDTF">2017-05-31T16:24:00Z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