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0" w:rsidRDefault="001749B0" w:rsidP="001749B0">
      <w:pPr>
        <w:spacing w:after="0"/>
      </w:pPr>
      <w:r w:rsidRPr="00FA35AD">
        <w:rPr>
          <w:rFonts w:ascii="Arial" w:hAnsi="Arial" w:cs="Arial"/>
          <w:b/>
          <w:noProof/>
          <w:lang w:eastAsia="en-GB"/>
        </w:rPr>
        <w:drawing>
          <wp:anchor distT="0" distB="0" distL="114300" distR="114300" simplePos="0" relativeHeight="251659264" behindDoc="1" locked="0" layoutInCell="1" allowOverlap="1" wp14:anchorId="0BE59FA9" wp14:editId="032AC0CF">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6"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E541B4">
        <w:rPr>
          <w:rFonts w:ascii="Arial" w:hAnsi="Arial" w:cs="Arial"/>
          <w:sz w:val="20"/>
          <w:szCs w:val="20"/>
        </w:rPr>
        <w:t>es of the meeting:  Friday 13 February 2015, 10</w:t>
      </w:r>
      <w:r w:rsidR="00084683">
        <w:rPr>
          <w:rFonts w:ascii="Arial" w:hAnsi="Arial" w:cs="Arial"/>
          <w:sz w:val="20"/>
          <w:szCs w:val="20"/>
        </w:rPr>
        <w:t>:00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E541B4">
        <w:rPr>
          <w:rFonts w:ascii="Arial" w:hAnsi="Arial" w:cs="Arial"/>
          <w:sz w:val="20"/>
          <w:szCs w:val="20"/>
        </w:rPr>
        <w:t>Room 6</w:t>
      </w:r>
      <w:r w:rsidR="00D6172E">
        <w:rPr>
          <w:rFonts w:ascii="Arial" w:hAnsi="Arial" w:cs="Arial"/>
          <w:sz w:val="20"/>
          <w:szCs w:val="20"/>
        </w:rPr>
        <w:t>.B.14</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1749B0" w:rsidRPr="00236CC6"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0" w:type="auto"/>
        <w:tblLook w:val="04A0" w:firstRow="1" w:lastRow="0" w:firstColumn="1" w:lastColumn="0" w:noHBand="0" w:noVBand="1"/>
      </w:tblPr>
      <w:tblGrid>
        <w:gridCol w:w="1629"/>
        <w:gridCol w:w="567"/>
        <w:gridCol w:w="3469"/>
        <w:gridCol w:w="3351"/>
      </w:tblGrid>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Chris Anthony</w:t>
            </w:r>
          </w:p>
        </w:tc>
        <w:tc>
          <w:tcPr>
            <w:tcW w:w="567" w:type="dxa"/>
          </w:tcPr>
          <w:p w:rsidR="0014571E" w:rsidRDefault="0014571E" w:rsidP="0014571E">
            <w:pPr>
              <w:rPr>
                <w:rFonts w:ascii="Arial" w:hAnsi="Arial" w:cs="Arial"/>
                <w:sz w:val="20"/>
                <w:szCs w:val="20"/>
              </w:rPr>
            </w:pPr>
            <w:r>
              <w:rPr>
                <w:rFonts w:ascii="Arial" w:hAnsi="Arial" w:cs="Arial"/>
                <w:sz w:val="20"/>
                <w:szCs w:val="20"/>
              </w:rPr>
              <w:t>CA</w:t>
            </w:r>
          </w:p>
        </w:tc>
        <w:tc>
          <w:tcPr>
            <w:tcW w:w="3469" w:type="dxa"/>
          </w:tcPr>
          <w:p w:rsidR="0014571E" w:rsidRDefault="0014571E" w:rsidP="0014571E">
            <w:pPr>
              <w:rPr>
                <w:rFonts w:ascii="Arial" w:hAnsi="Arial" w:cs="Arial"/>
                <w:sz w:val="20"/>
                <w:szCs w:val="20"/>
              </w:rPr>
            </w:pPr>
            <w:r>
              <w:rPr>
                <w:rFonts w:ascii="Arial" w:hAnsi="Arial" w:cs="Arial"/>
                <w:sz w:val="20"/>
                <w:szCs w:val="20"/>
              </w:rPr>
              <w:t>Head of Customer Support Services</w:t>
            </w:r>
          </w:p>
        </w:tc>
        <w:tc>
          <w:tcPr>
            <w:tcW w:w="3351" w:type="dxa"/>
          </w:tcPr>
          <w:p w:rsidR="0014571E" w:rsidRDefault="0014571E" w:rsidP="0014571E">
            <w:pPr>
              <w:rPr>
                <w:rFonts w:ascii="Arial" w:hAnsi="Arial" w:cs="Arial"/>
                <w:sz w:val="20"/>
                <w:szCs w:val="20"/>
              </w:rPr>
            </w:pPr>
            <w:r>
              <w:rPr>
                <w:rFonts w:ascii="Arial" w:hAnsi="Arial" w:cs="Arial"/>
                <w:sz w:val="20"/>
                <w:szCs w:val="20"/>
              </w:rPr>
              <w:t>Information Services</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David Campbell</w:t>
            </w:r>
          </w:p>
        </w:tc>
        <w:tc>
          <w:tcPr>
            <w:tcW w:w="567" w:type="dxa"/>
          </w:tcPr>
          <w:p w:rsidR="0014571E" w:rsidRDefault="0014571E" w:rsidP="0014571E">
            <w:pPr>
              <w:rPr>
                <w:rFonts w:ascii="Arial" w:hAnsi="Arial" w:cs="Arial"/>
                <w:sz w:val="20"/>
                <w:szCs w:val="20"/>
              </w:rPr>
            </w:pPr>
            <w:r>
              <w:rPr>
                <w:rFonts w:ascii="Arial" w:hAnsi="Arial" w:cs="Arial"/>
                <w:sz w:val="20"/>
                <w:szCs w:val="20"/>
              </w:rPr>
              <w:t>DC</w:t>
            </w:r>
          </w:p>
        </w:tc>
        <w:tc>
          <w:tcPr>
            <w:tcW w:w="3469" w:type="dxa"/>
          </w:tcPr>
          <w:p w:rsidR="0014571E" w:rsidRDefault="0014571E" w:rsidP="0014571E">
            <w:pPr>
              <w:rPr>
                <w:rFonts w:ascii="Arial" w:hAnsi="Arial" w:cs="Arial"/>
                <w:sz w:val="20"/>
                <w:szCs w:val="20"/>
              </w:rPr>
            </w:pPr>
            <w:r>
              <w:rPr>
                <w:rFonts w:ascii="Arial" w:hAnsi="Arial" w:cs="Arial"/>
                <w:sz w:val="20"/>
                <w:szCs w:val="20"/>
              </w:rPr>
              <w:t>Head of Procurement</w:t>
            </w:r>
          </w:p>
        </w:tc>
        <w:tc>
          <w:tcPr>
            <w:tcW w:w="3351" w:type="dxa"/>
          </w:tcPr>
          <w:p w:rsidR="0014571E" w:rsidRDefault="0014571E" w:rsidP="0014571E">
            <w:pPr>
              <w:rPr>
                <w:rFonts w:ascii="Arial" w:hAnsi="Arial" w:cs="Arial"/>
                <w:sz w:val="20"/>
                <w:szCs w:val="20"/>
              </w:rPr>
            </w:pPr>
            <w:r>
              <w:rPr>
                <w:rFonts w:ascii="Arial" w:hAnsi="Arial" w:cs="Arial"/>
                <w:sz w:val="20"/>
                <w:szCs w:val="20"/>
              </w:rPr>
              <w:t>Finance &amp; Commercial Services</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Grant Ferguson</w:t>
            </w:r>
          </w:p>
        </w:tc>
        <w:tc>
          <w:tcPr>
            <w:tcW w:w="567" w:type="dxa"/>
          </w:tcPr>
          <w:p w:rsidR="0014571E" w:rsidRDefault="0014571E" w:rsidP="0014571E">
            <w:pPr>
              <w:rPr>
                <w:rFonts w:ascii="Arial" w:hAnsi="Arial" w:cs="Arial"/>
                <w:sz w:val="20"/>
                <w:szCs w:val="20"/>
              </w:rPr>
            </w:pPr>
            <w:r>
              <w:rPr>
                <w:rFonts w:ascii="Arial" w:hAnsi="Arial" w:cs="Arial"/>
                <w:sz w:val="20"/>
                <w:szCs w:val="20"/>
              </w:rPr>
              <w:t>GF</w:t>
            </w:r>
          </w:p>
        </w:tc>
        <w:tc>
          <w:tcPr>
            <w:tcW w:w="3469" w:type="dxa"/>
          </w:tcPr>
          <w:p w:rsidR="0014571E" w:rsidRDefault="0014571E" w:rsidP="0014571E">
            <w:pPr>
              <w:rPr>
                <w:rFonts w:ascii="Arial" w:hAnsi="Arial" w:cs="Arial"/>
                <w:sz w:val="20"/>
                <w:szCs w:val="20"/>
              </w:rPr>
            </w:pPr>
            <w:r>
              <w:rPr>
                <w:rFonts w:ascii="Arial" w:hAnsi="Arial" w:cs="Arial"/>
                <w:sz w:val="20"/>
                <w:szCs w:val="20"/>
              </w:rPr>
              <w:t>Assistant Director</w:t>
            </w:r>
          </w:p>
        </w:tc>
        <w:tc>
          <w:tcPr>
            <w:tcW w:w="3351" w:type="dxa"/>
          </w:tcPr>
          <w:p w:rsidR="0014571E" w:rsidRDefault="0014571E" w:rsidP="0014571E">
            <w:pPr>
              <w:rPr>
                <w:rFonts w:ascii="Arial" w:hAnsi="Arial" w:cs="Arial"/>
                <w:sz w:val="20"/>
                <w:szCs w:val="20"/>
              </w:rPr>
            </w:pPr>
            <w:r>
              <w:rPr>
                <w:rFonts w:ascii="Arial" w:hAnsi="Arial" w:cs="Arial"/>
                <w:sz w:val="20"/>
                <w:szCs w:val="20"/>
              </w:rPr>
              <w:t>Property &amp; Facilities</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Jamie Pearson</w:t>
            </w:r>
          </w:p>
        </w:tc>
        <w:tc>
          <w:tcPr>
            <w:tcW w:w="567" w:type="dxa"/>
          </w:tcPr>
          <w:p w:rsidR="0014571E" w:rsidRDefault="0014571E" w:rsidP="0014571E">
            <w:pPr>
              <w:rPr>
                <w:rFonts w:ascii="Arial" w:hAnsi="Arial" w:cs="Arial"/>
                <w:sz w:val="20"/>
                <w:szCs w:val="20"/>
              </w:rPr>
            </w:pPr>
            <w:r>
              <w:rPr>
                <w:rFonts w:ascii="Arial" w:hAnsi="Arial" w:cs="Arial"/>
                <w:sz w:val="20"/>
                <w:szCs w:val="20"/>
              </w:rPr>
              <w:t>JP</w:t>
            </w:r>
          </w:p>
        </w:tc>
        <w:tc>
          <w:tcPr>
            <w:tcW w:w="3469" w:type="dxa"/>
          </w:tcPr>
          <w:p w:rsidR="0014571E" w:rsidRDefault="0014571E" w:rsidP="0014571E">
            <w:pPr>
              <w:rPr>
                <w:rFonts w:ascii="Arial" w:hAnsi="Arial" w:cs="Arial"/>
                <w:sz w:val="20"/>
                <w:szCs w:val="20"/>
              </w:rPr>
            </w:pPr>
            <w:r>
              <w:rPr>
                <w:rFonts w:ascii="Arial" w:hAnsi="Arial" w:cs="Arial"/>
                <w:sz w:val="20"/>
                <w:szCs w:val="20"/>
              </w:rPr>
              <w:t>Sustainability/Environmental Advisor</w:t>
            </w:r>
          </w:p>
        </w:tc>
        <w:tc>
          <w:tcPr>
            <w:tcW w:w="3351" w:type="dxa"/>
          </w:tcPr>
          <w:p w:rsidR="0014571E" w:rsidRDefault="0014571E" w:rsidP="0014571E">
            <w:pPr>
              <w:rPr>
                <w:rFonts w:ascii="Arial" w:hAnsi="Arial" w:cs="Arial"/>
                <w:sz w:val="20"/>
                <w:szCs w:val="20"/>
              </w:rPr>
            </w:pPr>
            <w:r>
              <w:rPr>
                <w:rFonts w:ascii="Arial" w:hAnsi="Arial" w:cs="Arial"/>
                <w:sz w:val="20"/>
                <w:szCs w:val="20"/>
              </w:rPr>
              <w:t>Property &amp; Facilities</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John Aitken</w:t>
            </w:r>
          </w:p>
        </w:tc>
        <w:tc>
          <w:tcPr>
            <w:tcW w:w="567" w:type="dxa"/>
          </w:tcPr>
          <w:p w:rsidR="0014571E" w:rsidRDefault="0014571E" w:rsidP="0014571E">
            <w:pPr>
              <w:rPr>
                <w:rFonts w:ascii="Arial" w:hAnsi="Arial" w:cs="Arial"/>
                <w:sz w:val="20"/>
                <w:szCs w:val="20"/>
              </w:rPr>
            </w:pPr>
            <w:r>
              <w:rPr>
                <w:rFonts w:ascii="Arial" w:hAnsi="Arial" w:cs="Arial"/>
                <w:sz w:val="20"/>
                <w:szCs w:val="20"/>
              </w:rPr>
              <w:t>JA</w:t>
            </w:r>
          </w:p>
        </w:tc>
        <w:tc>
          <w:tcPr>
            <w:tcW w:w="3469" w:type="dxa"/>
          </w:tcPr>
          <w:p w:rsidR="0014571E" w:rsidRDefault="0014571E" w:rsidP="0014571E">
            <w:pPr>
              <w:rPr>
                <w:rFonts w:ascii="Arial" w:hAnsi="Arial" w:cs="Arial"/>
                <w:sz w:val="20"/>
                <w:szCs w:val="20"/>
              </w:rPr>
            </w:pPr>
            <w:r>
              <w:rPr>
                <w:rFonts w:ascii="Arial" w:hAnsi="Arial" w:cs="Arial"/>
                <w:sz w:val="20"/>
                <w:szCs w:val="20"/>
              </w:rPr>
              <w:t>Operations Manager</w:t>
            </w:r>
          </w:p>
        </w:tc>
        <w:tc>
          <w:tcPr>
            <w:tcW w:w="3351" w:type="dxa"/>
          </w:tcPr>
          <w:p w:rsidR="0014571E" w:rsidRDefault="0014571E" w:rsidP="0014571E">
            <w:pPr>
              <w:rPr>
                <w:rFonts w:ascii="Arial" w:hAnsi="Arial" w:cs="Arial"/>
                <w:sz w:val="20"/>
                <w:szCs w:val="20"/>
              </w:rPr>
            </w:pPr>
            <w:r>
              <w:rPr>
                <w:rFonts w:ascii="Arial" w:hAnsi="Arial" w:cs="Arial"/>
                <w:sz w:val="20"/>
                <w:szCs w:val="20"/>
              </w:rPr>
              <w:t>Property &amp; Facilities</w:t>
            </w:r>
          </w:p>
        </w:tc>
      </w:tr>
      <w:tr w:rsidR="0014571E" w:rsidTr="007B1B1E">
        <w:tc>
          <w:tcPr>
            <w:tcW w:w="1629" w:type="dxa"/>
          </w:tcPr>
          <w:p w:rsidR="0014571E" w:rsidRPr="009455DF" w:rsidRDefault="0014571E" w:rsidP="0014571E">
            <w:pPr>
              <w:rPr>
                <w:rFonts w:ascii="Arial" w:hAnsi="Arial" w:cs="Arial"/>
                <w:sz w:val="20"/>
                <w:szCs w:val="20"/>
              </w:rPr>
            </w:pPr>
            <w:r>
              <w:rPr>
                <w:rFonts w:ascii="Arial" w:hAnsi="Arial" w:cs="Arial"/>
                <w:sz w:val="20"/>
                <w:szCs w:val="20"/>
              </w:rPr>
              <w:t>Kasia Janik</w:t>
            </w:r>
          </w:p>
        </w:tc>
        <w:tc>
          <w:tcPr>
            <w:tcW w:w="567" w:type="dxa"/>
          </w:tcPr>
          <w:p w:rsidR="0014571E" w:rsidRDefault="0014571E" w:rsidP="0014571E">
            <w:pPr>
              <w:rPr>
                <w:rFonts w:ascii="Arial" w:hAnsi="Arial" w:cs="Arial"/>
                <w:sz w:val="20"/>
                <w:szCs w:val="20"/>
              </w:rPr>
            </w:pPr>
            <w:r>
              <w:rPr>
                <w:rFonts w:ascii="Arial" w:hAnsi="Arial" w:cs="Arial"/>
                <w:sz w:val="20"/>
                <w:szCs w:val="20"/>
              </w:rPr>
              <w:t>KJ</w:t>
            </w:r>
          </w:p>
        </w:tc>
        <w:tc>
          <w:tcPr>
            <w:tcW w:w="3469" w:type="dxa"/>
          </w:tcPr>
          <w:p w:rsidR="0014571E" w:rsidRDefault="0014571E" w:rsidP="0014571E">
            <w:pPr>
              <w:rPr>
                <w:rFonts w:ascii="Arial" w:hAnsi="Arial" w:cs="Arial"/>
                <w:sz w:val="20"/>
                <w:szCs w:val="20"/>
              </w:rPr>
            </w:pPr>
            <w:r>
              <w:rPr>
                <w:rFonts w:ascii="Arial" w:hAnsi="Arial" w:cs="Arial"/>
                <w:sz w:val="20"/>
                <w:szCs w:val="20"/>
              </w:rPr>
              <w:t>Sustainability Engagement Officer</w:t>
            </w:r>
          </w:p>
        </w:tc>
        <w:tc>
          <w:tcPr>
            <w:tcW w:w="3351" w:type="dxa"/>
          </w:tcPr>
          <w:p w:rsidR="0014571E" w:rsidRDefault="0014571E" w:rsidP="0014571E">
            <w:pPr>
              <w:rPr>
                <w:rFonts w:ascii="Arial" w:hAnsi="Arial" w:cs="Arial"/>
                <w:sz w:val="20"/>
                <w:szCs w:val="20"/>
              </w:rPr>
            </w:pPr>
            <w:r>
              <w:rPr>
                <w:rFonts w:ascii="Arial" w:hAnsi="Arial" w:cs="Arial"/>
                <w:sz w:val="20"/>
                <w:szCs w:val="20"/>
              </w:rPr>
              <w:t>Property &amp; Facilities</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Liz Young</w:t>
            </w:r>
          </w:p>
        </w:tc>
        <w:tc>
          <w:tcPr>
            <w:tcW w:w="567" w:type="dxa"/>
          </w:tcPr>
          <w:p w:rsidR="0014571E" w:rsidRDefault="0014571E" w:rsidP="0014571E">
            <w:pPr>
              <w:rPr>
                <w:rFonts w:ascii="Arial" w:hAnsi="Arial" w:cs="Arial"/>
                <w:sz w:val="20"/>
                <w:szCs w:val="20"/>
              </w:rPr>
            </w:pPr>
            <w:r>
              <w:rPr>
                <w:rFonts w:ascii="Arial" w:hAnsi="Arial" w:cs="Arial"/>
                <w:sz w:val="20"/>
                <w:szCs w:val="20"/>
              </w:rPr>
              <w:t>LY</w:t>
            </w:r>
          </w:p>
        </w:tc>
        <w:tc>
          <w:tcPr>
            <w:tcW w:w="3469" w:type="dxa"/>
          </w:tcPr>
          <w:p w:rsidR="0014571E" w:rsidRDefault="0014571E" w:rsidP="0014571E">
            <w:pPr>
              <w:rPr>
                <w:rFonts w:ascii="Arial" w:hAnsi="Arial" w:cs="Arial"/>
                <w:sz w:val="20"/>
                <w:szCs w:val="20"/>
              </w:rPr>
            </w:pPr>
            <w:r>
              <w:rPr>
                <w:rFonts w:ascii="Arial" w:hAnsi="Arial" w:cs="Arial"/>
                <w:sz w:val="20"/>
                <w:szCs w:val="20"/>
              </w:rPr>
              <w:t>Head of Health &amp; Safety</w:t>
            </w:r>
          </w:p>
        </w:tc>
        <w:tc>
          <w:tcPr>
            <w:tcW w:w="3351" w:type="dxa"/>
          </w:tcPr>
          <w:p w:rsidR="0014571E" w:rsidRDefault="0014571E" w:rsidP="0014571E">
            <w:pPr>
              <w:rPr>
                <w:rFonts w:ascii="Arial" w:hAnsi="Arial" w:cs="Arial"/>
                <w:sz w:val="20"/>
                <w:szCs w:val="20"/>
              </w:rPr>
            </w:pPr>
            <w:r>
              <w:rPr>
                <w:rFonts w:ascii="Arial" w:hAnsi="Arial" w:cs="Arial"/>
                <w:sz w:val="20"/>
                <w:szCs w:val="20"/>
              </w:rPr>
              <w:t>Human Resources &amp; Development</w:t>
            </w:r>
          </w:p>
        </w:tc>
      </w:tr>
      <w:tr w:rsidR="0014571E" w:rsidTr="007B1B1E">
        <w:tc>
          <w:tcPr>
            <w:tcW w:w="1629" w:type="dxa"/>
          </w:tcPr>
          <w:p w:rsidR="0014571E" w:rsidRPr="009455DF" w:rsidRDefault="0014571E" w:rsidP="0014571E">
            <w:pPr>
              <w:rPr>
                <w:rFonts w:ascii="Arial" w:hAnsi="Arial" w:cs="Arial"/>
                <w:sz w:val="20"/>
                <w:szCs w:val="20"/>
              </w:rPr>
            </w:pPr>
            <w:r w:rsidRPr="009455DF">
              <w:rPr>
                <w:rFonts w:ascii="Arial" w:hAnsi="Arial" w:cs="Arial"/>
                <w:sz w:val="20"/>
                <w:szCs w:val="20"/>
              </w:rPr>
              <w:t>Mark Huxham</w:t>
            </w:r>
          </w:p>
        </w:tc>
        <w:tc>
          <w:tcPr>
            <w:tcW w:w="567" w:type="dxa"/>
          </w:tcPr>
          <w:p w:rsidR="0014571E" w:rsidRDefault="0014571E" w:rsidP="0014571E">
            <w:pPr>
              <w:rPr>
                <w:rFonts w:ascii="Arial" w:hAnsi="Arial" w:cs="Arial"/>
                <w:sz w:val="20"/>
                <w:szCs w:val="20"/>
              </w:rPr>
            </w:pPr>
            <w:r>
              <w:rPr>
                <w:rFonts w:ascii="Arial" w:hAnsi="Arial" w:cs="Arial"/>
                <w:sz w:val="20"/>
                <w:szCs w:val="20"/>
              </w:rPr>
              <w:t>MH</w:t>
            </w:r>
          </w:p>
        </w:tc>
        <w:tc>
          <w:tcPr>
            <w:tcW w:w="3469" w:type="dxa"/>
          </w:tcPr>
          <w:p w:rsidR="0014571E" w:rsidRDefault="0014571E" w:rsidP="0014571E">
            <w:pPr>
              <w:rPr>
                <w:rFonts w:ascii="Arial" w:hAnsi="Arial" w:cs="Arial"/>
                <w:sz w:val="20"/>
                <w:szCs w:val="20"/>
              </w:rPr>
            </w:pPr>
            <w:r>
              <w:rPr>
                <w:rFonts w:ascii="Arial" w:hAnsi="Arial" w:cs="Arial"/>
                <w:sz w:val="20"/>
                <w:szCs w:val="20"/>
              </w:rPr>
              <w:t>Professor</w:t>
            </w:r>
          </w:p>
        </w:tc>
        <w:tc>
          <w:tcPr>
            <w:tcW w:w="3351" w:type="dxa"/>
          </w:tcPr>
          <w:p w:rsidR="0014571E" w:rsidRDefault="0014571E" w:rsidP="0014571E">
            <w:pPr>
              <w:rPr>
                <w:rFonts w:ascii="Arial" w:hAnsi="Arial" w:cs="Arial"/>
                <w:sz w:val="20"/>
                <w:szCs w:val="20"/>
              </w:rPr>
            </w:pPr>
            <w:r>
              <w:rPr>
                <w:rFonts w:ascii="Arial" w:hAnsi="Arial" w:cs="Arial"/>
                <w:sz w:val="20"/>
                <w:szCs w:val="20"/>
              </w:rPr>
              <w:t>FHLSS</w:t>
            </w:r>
          </w:p>
        </w:tc>
      </w:tr>
    </w:tbl>
    <w:p w:rsidR="001749B0" w:rsidRDefault="001749B0" w:rsidP="001749B0">
      <w:pPr>
        <w:spacing w:after="0"/>
        <w:rPr>
          <w:rFonts w:ascii="Arial" w:hAnsi="Arial" w:cs="Arial"/>
          <w:sz w:val="20"/>
          <w:szCs w:val="20"/>
        </w:rPr>
      </w:pPr>
    </w:p>
    <w:p w:rsidR="00236CC6" w:rsidRPr="009455DF" w:rsidRDefault="00236CC6" w:rsidP="001749B0">
      <w:pPr>
        <w:spacing w:after="0"/>
        <w:rPr>
          <w:rFonts w:ascii="Arial" w:hAnsi="Arial" w:cs="Arial"/>
          <w:b/>
          <w:sz w:val="20"/>
          <w:szCs w:val="20"/>
        </w:rPr>
      </w:pPr>
      <w:r w:rsidRPr="009455DF">
        <w:rPr>
          <w:rFonts w:ascii="Arial" w:hAnsi="Arial" w:cs="Arial"/>
          <w:b/>
          <w:sz w:val="20"/>
          <w:szCs w:val="20"/>
        </w:rPr>
        <w:t>Apologies</w:t>
      </w:r>
    </w:p>
    <w:tbl>
      <w:tblPr>
        <w:tblStyle w:val="TableGrid"/>
        <w:tblW w:w="0" w:type="auto"/>
        <w:tblLook w:val="04A0" w:firstRow="1" w:lastRow="0" w:firstColumn="1" w:lastColumn="0" w:noHBand="0" w:noVBand="1"/>
      </w:tblPr>
      <w:tblGrid>
        <w:gridCol w:w="1636"/>
        <w:gridCol w:w="572"/>
        <w:gridCol w:w="3457"/>
        <w:gridCol w:w="3351"/>
      </w:tblGrid>
      <w:tr w:rsidR="00E63C1A" w:rsidRPr="009455DF"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Dan Smith</w:t>
            </w:r>
          </w:p>
        </w:tc>
        <w:tc>
          <w:tcPr>
            <w:tcW w:w="572" w:type="dxa"/>
          </w:tcPr>
          <w:p w:rsidR="00E63C1A" w:rsidRPr="009455DF" w:rsidRDefault="00E63C1A" w:rsidP="00E63C1A">
            <w:pPr>
              <w:rPr>
                <w:rFonts w:ascii="Arial" w:hAnsi="Arial" w:cs="Arial"/>
                <w:sz w:val="20"/>
                <w:szCs w:val="20"/>
              </w:rPr>
            </w:pPr>
            <w:r w:rsidRPr="009455DF">
              <w:rPr>
                <w:rFonts w:ascii="Arial" w:hAnsi="Arial" w:cs="Arial"/>
                <w:sz w:val="20"/>
                <w:szCs w:val="20"/>
              </w:rPr>
              <w:t>DS</w:t>
            </w:r>
          </w:p>
        </w:tc>
        <w:tc>
          <w:tcPr>
            <w:tcW w:w="3457" w:type="dxa"/>
          </w:tcPr>
          <w:p w:rsidR="00E63C1A" w:rsidRPr="009455DF" w:rsidRDefault="00E63C1A" w:rsidP="00E63C1A">
            <w:pPr>
              <w:rPr>
                <w:rFonts w:ascii="Arial" w:hAnsi="Arial" w:cs="Arial"/>
                <w:sz w:val="20"/>
                <w:szCs w:val="20"/>
              </w:rPr>
            </w:pPr>
            <w:r w:rsidRPr="009455DF">
              <w:rPr>
                <w:rFonts w:ascii="Arial" w:hAnsi="Arial" w:cs="Arial"/>
                <w:sz w:val="20"/>
                <w:szCs w:val="20"/>
              </w:rPr>
              <w:t>President</w:t>
            </w:r>
          </w:p>
        </w:tc>
        <w:tc>
          <w:tcPr>
            <w:tcW w:w="3351" w:type="dxa"/>
          </w:tcPr>
          <w:p w:rsidR="00E63C1A" w:rsidRPr="009455DF" w:rsidRDefault="00E63C1A" w:rsidP="00E63C1A">
            <w:pPr>
              <w:rPr>
                <w:rFonts w:ascii="Arial" w:hAnsi="Arial" w:cs="Arial"/>
                <w:sz w:val="20"/>
                <w:szCs w:val="20"/>
              </w:rPr>
            </w:pPr>
            <w:r w:rsidRPr="009455DF">
              <w:rPr>
                <w:rFonts w:ascii="Arial" w:hAnsi="Arial" w:cs="Arial"/>
                <w:sz w:val="20"/>
                <w:szCs w:val="20"/>
              </w:rPr>
              <w:t>Napier Students’ Association</w:t>
            </w:r>
          </w:p>
        </w:tc>
      </w:tr>
      <w:tr w:rsidR="00E63C1A" w:rsidTr="007B1B1E">
        <w:tc>
          <w:tcPr>
            <w:tcW w:w="1636" w:type="dxa"/>
          </w:tcPr>
          <w:p w:rsidR="00E63C1A" w:rsidRPr="009455DF" w:rsidRDefault="00E63C1A" w:rsidP="00E63C1A">
            <w:pPr>
              <w:rPr>
                <w:rFonts w:ascii="Arial" w:hAnsi="Arial" w:cs="Arial"/>
                <w:sz w:val="20"/>
                <w:szCs w:val="20"/>
              </w:rPr>
            </w:pPr>
            <w:r w:rsidRPr="009455DF">
              <w:rPr>
                <w:rFonts w:ascii="Arial" w:hAnsi="Arial" w:cs="Arial"/>
                <w:sz w:val="20"/>
                <w:szCs w:val="20"/>
              </w:rPr>
              <w:t>John Currie</w:t>
            </w:r>
          </w:p>
        </w:tc>
        <w:tc>
          <w:tcPr>
            <w:tcW w:w="572" w:type="dxa"/>
          </w:tcPr>
          <w:p w:rsidR="00E63C1A" w:rsidRDefault="00E63C1A" w:rsidP="00E63C1A">
            <w:pPr>
              <w:rPr>
                <w:rFonts w:ascii="Arial" w:hAnsi="Arial" w:cs="Arial"/>
                <w:sz w:val="20"/>
                <w:szCs w:val="20"/>
              </w:rPr>
            </w:pPr>
            <w:r>
              <w:rPr>
                <w:rFonts w:ascii="Arial" w:hAnsi="Arial" w:cs="Arial"/>
                <w:sz w:val="20"/>
                <w:szCs w:val="20"/>
              </w:rPr>
              <w:t>JC</w:t>
            </w:r>
          </w:p>
        </w:tc>
        <w:tc>
          <w:tcPr>
            <w:tcW w:w="3457" w:type="dxa"/>
          </w:tcPr>
          <w:p w:rsidR="00E63C1A" w:rsidRDefault="00E63C1A" w:rsidP="00E63C1A">
            <w:pPr>
              <w:rPr>
                <w:rFonts w:ascii="Arial" w:hAnsi="Arial" w:cs="Arial"/>
                <w:sz w:val="20"/>
                <w:szCs w:val="20"/>
              </w:rPr>
            </w:pPr>
            <w:r>
              <w:rPr>
                <w:rFonts w:ascii="Arial" w:hAnsi="Arial" w:cs="Arial"/>
                <w:sz w:val="20"/>
                <w:szCs w:val="20"/>
              </w:rPr>
              <w:t>Director, Scottish Energy Centre</w:t>
            </w:r>
          </w:p>
        </w:tc>
        <w:tc>
          <w:tcPr>
            <w:tcW w:w="3351" w:type="dxa"/>
          </w:tcPr>
          <w:p w:rsidR="00E63C1A" w:rsidRDefault="00E63C1A" w:rsidP="00E63C1A">
            <w:pPr>
              <w:rPr>
                <w:rFonts w:ascii="Arial" w:hAnsi="Arial" w:cs="Arial"/>
                <w:sz w:val="20"/>
                <w:szCs w:val="20"/>
              </w:rPr>
            </w:pPr>
            <w:r>
              <w:rPr>
                <w:rFonts w:ascii="Arial" w:hAnsi="Arial" w:cs="Arial"/>
                <w:sz w:val="20"/>
                <w:szCs w:val="20"/>
              </w:rPr>
              <w:t>FECCI</w:t>
            </w:r>
          </w:p>
        </w:tc>
      </w:tr>
      <w:tr w:rsidR="0014571E" w:rsidTr="007B1B1E">
        <w:tc>
          <w:tcPr>
            <w:tcW w:w="1636" w:type="dxa"/>
          </w:tcPr>
          <w:p w:rsidR="0014571E" w:rsidRPr="009455DF" w:rsidRDefault="0014571E" w:rsidP="0014571E">
            <w:pPr>
              <w:rPr>
                <w:rFonts w:ascii="Arial" w:hAnsi="Arial" w:cs="Arial"/>
                <w:sz w:val="20"/>
                <w:szCs w:val="20"/>
              </w:rPr>
            </w:pPr>
            <w:r w:rsidRPr="009455DF">
              <w:rPr>
                <w:rFonts w:ascii="Arial" w:hAnsi="Arial" w:cs="Arial"/>
                <w:sz w:val="20"/>
                <w:szCs w:val="20"/>
              </w:rPr>
              <w:t>Gerry Webber</w:t>
            </w:r>
          </w:p>
        </w:tc>
        <w:tc>
          <w:tcPr>
            <w:tcW w:w="572" w:type="dxa"/>
          </w:tcPr>
          <w:p w:rsidR="0014571E" w:rsidRDefault="0014571E" w:rsidP="0014571E">
            <w:pPr>
              <w:rPr>
                <w:rFonts w:ascii="Arial" w:hAnsi="Arial" w:cs="Arial"/>
                <w:sz w:val="20"/>
                <w:szCs w:val="20"/>
              </w:rPr>
            </w:pPr>
            <w:r>
              <w:rPr>
                <w:rFonts w:ascii="Arial" w:hAnsi="Arial" w:cs="Arial"/>
                <w:sz w:val="20"/>
                <w:szCs w:val="20"/>
              </w:rPr>
              <w:t>GW</w:t>
            </w:r>
          </w:p>
        </w:tc>
        <w:tc>
          <w:tcPr>
            <w:tcW w:w="3457" w:type="dxa"/>
          </w:tcPr>
          <w:p w:rsidR="0014571E" w:rsidRDefault="0014571E" w:rsidP="0014571E">
            <w:pPr>
              <w:rPr>
                <w:rFonts w:ascii="Arial" w:hAnsi="Arial" w:cs="Arial"/>
                <w:sz w:val="20"/>
                <w:szCs w:val="20"/>
              </w:rPr>
            </w:pPr>
            <w:r>
              <w:rPr>
                <w:rFonts w:ascii="Arial" w:hAnsi="Arial" w:cs="Arial"/>
                <w:sz w:val="20"/>
                <w:szCs w:val="20"/>
              </w:rPr>
              <w:t>University Secretary (Chair)</w:t>
            </w:r>
          </w:p>
        </w:tc>
        <w:tc>
          <w:tcPr>
            <w:tcW w:w="3351" w:type="dxa"/>
          </w:tcPr>
          <w:p w:rsidR="0014571E" w:rsidRDefault="0014571E" w:rsidP="0014571E">
            <w:pPr>
              <w:rPr>
                <w:rFonts w:ascii="Arial" w:hAnsi="Arial" w:cs="Arial"/>
                <w:sz w:val="20"/>
                <w:szCs w:val="20"/>
              </w:rPr>
            </w:pPr>
            <w:r>
              <w:rPr>
                <w:rFonts w:ascii="Arial" w:hAnsi="Arial" w:cs="Arial"/>
                <w:sz w:val="20"/>
                <w:szCs w:val="20"/>
              </w:rPr>
              <w:t>University Secretary’s Group</w:t>
            </w:r>
          </w:p>
        </w:tc>
      </w:tr>
      <w:tr w:rsidR="0014571E" w:rsidTr="007B1B1E">
        <w:tc>
          <w:tcPr>
            <w:tcW w:w="1636" w:type="dxa"/>
          </w:tcPr>
          <w:p w:rsidR="0014571E" w:rsidRPr="009455DF" w:rsidRDefault="0014571E" w:rsidP="0014571E">
            <w:pPr>
              <w:rPr>
                <w:rFonts w:ascii="Arial" w:hAnsi="Arial" w:cs="Arial"/>
                <w:sz w:val="20"/>
                <w:szCs w:val="20"/>
              </w:rPr>
            </w:pPr>
            <w:r w:rsidRPr="009455DF">
              <w:rPr>
                <w:rFonts w:ascii="Arial" w:hAnsi="Arial" w:cs="Arial"/>
                <w:sz w:val="20"/>
                <w:szCs w:val="20"/>
              </w:rPr>
              <w:t>Miles Weaver</w:t>
            </w:r>
          </w:p>
        </w:tc>
        <w:tc>
          <w:tcPr>
            <w:tcW w:w="572" w:type="dxa"/>
          </w:tcPr>
          <w:p w:rsidR="0014571E" w:rsidRPr="009455DF" w:rsidRDefault="0014571E" w:rsidP="0014571E">
            <w:pPr>
              <w:rPr>
                <w:rFonts w:ascii="Arial" w:hAnsi="Arial" w:cs="Arial"/>
                <w:sz w:val="20"/>
                <w:szCs w:val="20"/>
              </w:rPr>
            </w:pPr>
            <w:r w:rsidRPr="009455DF">
              <w:rPr>
                <w:rFonts w:ascii="Arial" w:hAnsi="Arial" w:cs="Arial"/>
                <w:sz w:val="20"/>
                <w:szCs w:val="20"/>
              </w:rPr>
              <w:t>MW</w:t>
            </w:r>
          </w:p>
        </w:tc>
        <w:tc>
          <w:tcPr>
            <w:tcW w:w="3457" w:type="dxa"/>
          </w:tcPr>
          <w:p w:rsidR="0014571E" w:rsidRPr="009455DF" w:rsidRDefault="0014571E" w:rsidP="0014571E">
            <w:pPr>
              <w:rPr>
                <w:rFonts w:ascii="Arial" w:hAnsi="Arial" w:cs="Arial"/>
                <w:sz w:val="20"/>
                <w:szCs w:val="20"/>
              </w:rPr>
            </w:pPr>
            <w:r w:rsidRPr="009455DF">
              <w:rPr>
                <w:rFonts w:ascii="Arial" w:hAnsi="Arial" w:cs="Arial"/>
                <w:sz w:val="20"/>
                <w:szCs w:val="20"/>
              </w:rPr>
              <w:t>Lecturer</w:t>
            </w:r>
          </w:p>
        </w:tc>
        <w:tc>
          <w:tcPr>
            <w:tcW w:w="3351" w:type="dxa"/>
          </w:tcPr>
          <w:p w:rsidR="0014571E" w:rsidRDefault="0014571E" w:rsidP="0014571E">
            <w:pPr>
              <w:rPr>
                <w:rFonts w:ascii="Arial" w:hAnsi="Arial" w:cs="Arial"/>
                <w:sz w:val="20"/>
                <w:szCs w:val="20"/>
              </w:rPr>
            </w:pPr>
            <w:r w:rsidRPr="009455DF">
              <w:rPr>
                <w:rFonts w:ascii="Arial" w:hAnsi="Arial" w:cs="Arial"/>
                <w:sz w:val="20"/>
                <w:szCs w:val="20"/>
              </w:rPr>
              <w:t>The 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27"/>
        <w:gridCol w:w="7591"/>
        <w:gridCol w:w="898"/>
      </w:tblGrid>
      <w:tr w:rsidR="00236CC6" w:rsidTr="00236CC6">
        <w:tc>
          <w:tcPr>
            <w:tcW w:w="534"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796"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BB65C2" w:rsidRDefault="00355D49" w:rsidP="001749B0">
            <w:pPr>
              <w:rPr>
                <w:rFonts w:ascii="Arial" w:hAnsi="Arial" w:cs="Arial"/>
                <w:sz w:val="20"/>
                <w:szCs w:val="20"/>
              </w:rPr>
            </w:pPr>
            <w:r>
              <w:rPr>
                <w:rFonts w:ascii="Arial" w:hAnsi="Arial" w:cs="Arial"/>
                <w:sz w:val="20"/>
                <w:szCs w:val="20"/>
              </w:rPr>
              <w:t>GF</w:t>
            </w:r>
            <w:r w:rsidR="009915D9">
              <w:rPr>
                <w:rFonts w:ascii="Arial" w:hAnsi="Arial" w:cs="Arial"/>
                <w:sz w:val="20"/>
                <w:szCs w:val="20"/>
              </w:rPr>
              <w:t xml:space="preserve"> welcomed everyone to the meeting and noted apologies as above.</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236CC6" w:rsidTr="00236CC6">
        <w:tc>
          <w:tcPr>
            <w:tcW w:w="534"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796" w:type="dxa"/>
          </w:tcPr>
          <w:p w:rsidR="00236CC6" w:rsidRPr="009915D9" w:rsidRDefault="009915D9" w:rsidP="001749B0">
            <w:pPr>
              <w:rPr>
                <w:rFonts w:ascii="Arial" w:hAnsi="Arial" w:cs="Arial"/>
                <w:b/>
                <w:sz w:val="20"/>
                <w:szCs w:val="20"/>
              </w:rPr>
            </w:pPr>
            <w:r w:rsidRPr="009915D9">
              <w:rPr>
                <w:rFonts w:ascii="Arial" w:hAnsi="Arial" w:cs="Arial"/>
                <w:b/>
                <w:sz w:val="20"/>
                <w:szCs w:val="20"/>
              </w:rPr>
              <w:t xml:space="preserve">Minutes of the meeting held on Wednesday </w:t>
            </w:r>
            <w:r w:rsidR="00E541B4">
              <w:rPr>
                <w:rFonts w:ascii="Arial" w:hAnsi="Arial" w:cs="Arial"/>
                <w:b/>
                <w:sz w:val="20"/>
                <w:szCs w:val="20"/>
              </w:rPr>
              <w:t>27 August</w:t>
            </w:r>
            <w:r w:rsidR="009455DF">
              <w:rPr>
                <w:rFonts w:ascii="Arial" w:hAnsi="Arial" w:cs="Arial"/>
                <w:b/>
                <w:sz w:val="20"/>
                <w:szCs w:val="20"/>
              </w:rPr>
              <w:t xml:space="preserve"> 2014</w:t>
            </w:r>
            <w:r w:rsidR="00E541B4">
              <w:rPr>
                <w:rFonts w:ascii="Arial" w:hAnsi="Arial" w:cs="Arial"/>
                <w:b/>
                <w:sz w:val="20"/>
                <w:szCs w:val="20"/>
              </w:rPr>
              <w:t xml:space="preserve"> (ESAG/15/01</w:t>
            </w:r>
            <w:r w:rsidR="00AC6D55">
              <w:rPr>
                <w:rFonts w:ascii="Arial" w:hAnsi="Arial" w:cs="Arial"/>
                <w:b/>
                <w:sz w:val="20"/>
                <w:szCs w:val="20"/>
              </w:rPr>
              <w:t>/01)</w:t>
            </w:r>
          </w:p>
          <w:p w:rsidR="009915D9" w:rsidRDefault="009915D9" w:rsidP="001749B0">
            <w:pPr>
              <w:rPr>
                <w:rFonts w:ascii="Arial" w:hAnsi="Arial" w:cs="Arial"/>
                <w:sz w:val="20"/>
                <w:szCs w:val="20"/>
              </w:rPr>
            </w:pPr>
          </w:p>
          <w:p w:rsidR="009915D9" w:rsidRDefault="009455DF" w:rsidP="001749B0">
            <w:pPr>
              <w:rPr>
                <w:rFonts w:ascii="Arial" w:hAnsi="Arial" w:cs="Arial"/>
                <w:sz w:val="20"/>
                <w:szCs w:val="20"/>
              </w:rPr>
            </w:pPr>
            <w:r>
              <w:rPr>
                <w:rFonts w:ascii="Arial" w:hAnsi="Arial" w:cs="Arial"/>
                <w:sz w:val="20"/>
                <w:szCs w:val="20"/>
              </w:rPr>
              <w:t>Approved.</w:t>
            </w:r>
          </w:p>
          <w:p w:rsidR="001B4B9B" w:rsidRDefault="001B4B9B" w:rsidP="001749B0">
            <w:pPr>
              <w:rPr>
                <w:rFonts w:ascii="Arial" w:hAnsi="Arial" w:cs="Arial"/>
                <w:sz w:val="20"/>
                <w:szCs w:val="20"/>
              </w:rPr>
            </w:pPr>
          </w:p>
        </w:tc>
        <w:tc>
          <w:tcPr>
            <w:tcW w:w="912" w:type="dxa"/>
          </w:tcPr>
          <w:p w:rsidR="00236CC6" w:rsidRDefault="00236CC6" w:rsidP="001749B0">
            <w:pPr>
              <w:rPr>
                <w:rFonts w:ascii="Arial" w:hAnsi="Arial" w:cs="Arial"/>
                <w:sz w:val="20"/>
                <w:szCs w:val="20"/>
              </w:rPr>
            </w:pPr>
          </w:p>
        </w:tc>
      </w:tr>
      <w:tr w:rsidR="00AC6D55" w:rsidTr="00236CC6">
        <w:tc>
          <w:tcPr>
            <w:tcW w:w="534"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796" w:type="dxa"/>
          </w:tcPr>
          <w:p w:rsidR="009F56B9" w:rsidRDefault="009F56B9" w:rsidP="001749B0">
            <w:pPr>
              <w:rPr>
                <w:rFonts w:ascii="Arial" w:hAnsi="Arial" w:cs="Arial"/>
                <w:b/>
                <w:sz w:val="20"/>
                <w:szCs w:val="20"/>
              </w:rPr>
            </w:pPr>
            <w:r>
              <w:rPr>
                <w:rFonts w:ascii="Arial" w:hAnsi="Arial" w:cs="Arial"/>
                <w:b/>
                <w:sz w:val="20"/>
                <w:szCs w:val="20"/>
              </w:rPr>
              <w:t>Matters arising</w:t>
            </w:r>
          </w:p>
          <w:p w:rsidR="009F56B9" w:rsidRDefault="009F56B9" w:rsidP="001749B0">
            <w:pPr>
              <w:rPr>
                <w:rFonts w:ascii="Arial" w:hAnsi="Arial" w:cs="Arial"/>
                <w:b/>
                <w:sz w:val="20"/>
                <w:szCs w:val="20"/>
              </w:rPr>
            </w:pPr>
          </w:p>
          <w:p w:rsidR="00AC6D55" w:rsidRDefault="009F56B9" w:rsidP="001749B0">
            <w:pPr>
              <w:rPr>
                <w:rFonts w:ascii="Arial" w:hAnsi="Arial" w:cs="Arial"/>
                <w:b/>
                <w:sz w:val="20"/>
                <w:szCs w:val="20"/>
              </w:rPr>
            </w:pPr>
            <w:r>
              <w:rPr>
                <w:rFonts w:ascii="Arial" w:hAnsi="Arial" w:cs="Arial"/>
                <w:b/>
                <w:sz w:val="20"/>
                <w:szCs w:val="20"/>
              </w:rPr>
              <w:t>Tracker S</w:t>
            </w:r>
            <w:r w:rsidR="00AC6D55">
              <w:rPr>
                <w:rFonts w:ascii="Arial" w:hAnsi="Arial" w:cs="Arial"/>
                <w:b/>
                <w:sz w:val="20"/>
                <w:szCs w:val="20"/>
              </w:rPr>
              <w:t>heet (ESAG/14/03/02)</w:t>
            </w:r>
          </w:p>
          <w:p w:rsidR="009F56B9" w:rsidRDefault="009F56B9" w:rsidP="001749B0">
            <w:pPr>
              <w:rPr>
                <w:rFonts w:ascii="Arial" w:hAnsi="Arial" w:cs="Arial"/>
                <w:sz w:val="20"/>
                <w:szCs w:val="20"/>
              </w:rPr>
            </w:pPr>
          </w:p>
          <w:p w:rsidR="009F56B9" w:rsidRDefault="009F56B9" w:rsidP="001749B0">
            <w:pPr>
              <w:rPr>
                <w:rFonts w:ascii="Arial" w:hAnsi="Arial" w:cs="Arial"/>
                <w:sz w:val="20"/>
                <w:szCs w:val="20"/>
              </w:rPr>
            </w:pPr>
            <w:r>
              <w:rPr>
                <w:rFonts w:ascii="Arial" w:hAnsi="Arial" w:cs="Arial"/>
                <w:sz w:val="20"/>
                <w:szCs w:val="20"/>
              </w:rPr>
              <w:t>The Tracker was developed ahead of the meeting held on Wednesday 27</w:t>
            </w:r>
            <w:r w:rsidRPr="009F56B9">
              <w:rPr>
                <w:rFonts w:ascii="Arial" w:hAnsi="Arial" w:cs="Arial"/>
                <w:sz w:val="20"/>
                <w:szCs w:val="20"/>
                <w:vertAlign w:val="superscript"/>
              </w:rPr>
              <w:t>th</w:t>
            </w:r>
            <w:r>
              <w:rPr>
                <w:rFonts w:ascii="Arial" w:hAnsi="Arial" w:cs="Arial"/>
                <w:sz w:val="20"/>
                <w:szCs w:val="20"/>
              </w:rPr>
              <w:t xml:space="preserve"> August 2014 to pull together all outstanding items highlighted at previous meetings.  It was decided that the tracker isn’t conducive so instead the normal process of highlighting ongoing actions within ‘matters arising’ and the body of minutes will be retained.</w:t>
            </w:r>
          </w:p>
          <w:p w:rsidR="00EF0782" w:rsidRDefault="00EF0782" w:rsidP="001749B0">
            <w:pPr>
              <w:rPr>
                <w:rFonts w:ascii="Arial" w:hAnsi="Arial" w:cs="Arial"/>
                <w:sz w:val="20"/>
                <w:szCs w:val="20"/>
              </w:rPr>
            </w:pPr>
          </w:p>
          <w:p w:rsidR="00EF0782" w:rsidRDefault="00EF0782" w:rsidP="00EF0782">
            <w:pPr>
              <w:pStyle w:val="ListParagraph"/>
              <w:numPr>
                <w:ilvl w:val="0"/>
                <w:numId w:val="1"/>
              </w:numPr>
              <w:rPr>
                <w:rFonts w:ascii="Arial" w:hAnsi="Arial" w:cs="Arial"/>
                <w:sz w:val="20"/>
                <w:szCs w:val="20"/>
              </w:rPr>
            </w:pPr>
            <w:r>
              <w:rPr>
                <w:rFonts w:ascii="Arial" w:hAnsi="Arial" w:cs="Arial"/>
                <w:sz w:val="20"/>
                <w:szCs w:val="20"/>
              </w:rPr>
              <w:t>Masters of Research placement.  O</w:t>
            </w:r>
            <w:r w:rsidRPr="00EF0782">
              <w:rPr>
                <w:rFonts w:ascii="Arial" w:hAnsi="Arial" w:cs="Arial"/>
                <w:sz w:val="20"/>
                <w:szCs w:val="20"/>
              </w:rPr>
              <w:t>ne year, full time, concentrating on teaching environmental literacy.</w:t>
            </w:r>
            <w:r w:rsidR="002B1966">
              <w:rPr>
                <w:rFonts w:ascii="Arial" w:hAnsi="Arial" w:cs="Arial"/>
                <w:sz w:val="20"/>
                <w:szCs w:val="20"/>
              </w:rPr>
              <w:t xml:space="preserve">  JP to contact MH for more information to share as an academic example within the Environmental Management System (EMS).</w:t>
            </w:r>
          </w:p>
          <w:p w:rsidR="00EF0782" w:rsidRDefault="00EF0782" w:rsidP="00EF0782">
            <w:pPr>
              <w:pStyle w:val="ListParagraph"/>
              <w:numPr>
                <w:ilvl w:val="0"/>
                <w:numId w:val="1"/>
              </w:numPr>
              <w:rPr>
                <w:rFonts w:ascii="Arial" w:hAnsi="Arial" w:cs="Arial"/>
                <w:sz w:val="20"/>
                <w:szCs w:val="20"/>
              </w:rPr>
            </w:pPr>
            <w:r>
              <w:rPr>
                <w:rFonts w:ascii="Arial" w:hAnsi="Arial" w:cs="Arial"/>
                <w:sz w:val="20"/>
                <w:szCs w:val="20"/>
              </w:rPr>
              <w:t>Awareness and Training.  Add as an agenda item at the next meeting.</w:t>
            </w:r>
            <w:r w:rsidR="002B1966">
              <w:rPr>
                <w:rFonts w:ascii="Arial" w:hAnsi="Arial" w:cs="Arial"/>
                <w:sz w:val="20"/>
                <w:szCs w:val="20"/>
              </w:rPr>
              <w:t xml:space="preserve">  KJ developing an Awareness, </w:t>
            </w:r>
            <w:r w:rsidR="006016AC">
              <w:rPr>
                <w:rFonts w:ascii="Arial" w:hAnsi="Arial" w:cs="Arial"/>
                <w:sz w:val="20"/>
                <w:szCs w:val="20"/>
              </w:rPr>
              <w:t>Engagement and Communication Plan.</w:t>
            </w:r>
          </w:p>
          <w:p w:rsidR="0009102A" w:rsidRDefault="0009102A" w:rsidP="00EF0782">
            <w:pPr>
              <w:pStyle w:val="ListParagraph"/>
              <w:numPr>
                <w:ilvl w:val="0"/>
                <w:numId w:val="1"/>
              </w:numPr>
              <w:rPr>
                <w:rFonts w:ascii="Arial" w:hAnsi="Arial" w:cs="Arial"/>
                <w:sz w:val="20"/>
                <w:szCs w:val="20"/>
              </w:rPr>
            </w:pPr>
            <w:r>
              <w:rPr>
                <w:rFonts w:ascii="Arial" w:hAnsi="Arial" w:cs="Arial"/>
                <w:sz w:val="20"/>
                <w:szCs w:val="20"/>
              </w:rPr>
              <w:t>Carbon Management Plan.  Updated recently, extending to July 2015 with a target o</w:t>
            </w:r>
            <w:r w:rsidR="006016AC">
              <w:rPr>
                <w:rFonts w:ascii="Arial" w:hAnsi="Arial" w:cs="Arial"/>
                <w:sz w:val="20"/>
                <w:szCs w:val="20"/>
              </w:rPr>
              <w:t>f reducing carbon emissions by 3</w:t>
            </w:r>
            <w:r>
              <w:rPr>
                <w:rFonts w:ascii="Arial" w:hAnsi="Arial" w:cs="Arial"/>
                <w:sz w:val="20"/>
                <w:szCs w:val="20"/>
              </w:rPr>
              <w:t>5% by the end of 2014/15 (from a 2006/07 baseline).  Once the updated Estates Strategy is published the Carbon Management Plan will be refreshed again to meet the new Strategy.</w:t>
            </w:r>
          </w:p>
          <w:p w:rsidR="0009102A" w:rsidRDefault="0009102A" w:rsidP="00EF0782">
            <w:pPr>
              <w:pStyle w:val="ListParagraph"/>
              <w:numPr>
                <w:ilvl w:val="0"/>
                <w:numId w:val="1"/>
              </w:numPr>
              <w:rPr>
                <w:rFonts w:ascii="Arial" w:hAnsi="Arial" w:cs="Arial"/>
                <w:sz w:val="20"/>
                <w:szCs w:val="20"/>
              </w:rPr>
            </w:pPr>
            <w:r>
              <w:rPr>
                <w:rFonts w:ascii="Arial" w:hAnsi="Arial" w:cs="Arial"/>
                <w:sz w:val="20"/>
                <w:szCs w:val="20"/>
              </w:rPr>
              <w:t>Development of a Transport Group.  Wil</w:t>
            </w:r>
            <w:r w:rsidR="002B1966">
              <w:rPr>
                <w:rFonts w:ascii="Arial" w:hAnsi="Arial" w:cs="Arial"/>
                <w:sz w:val="20"/>
                <w:szCs w:val="20"/>
              </w:rPr>
              <w:t>l be considered within the EMS</w:t>
            </w:r>
            <w:r>
              <w:rPr>
                <w:rFonts w:ascii="Arial" w:hAnsi="Arial" w:cs="Arial"/>
                <w:sz w:val="20"/>
                <w:szCs w:val="20"/>
              </w:rPr>
              <w:t xml:space="preserve"> development at the University.</w:t>
            </w:r>
            <w:r w:rsidR="006016AC">
              <w:rPr>
                <w:rFonts w:ascii="Arial" w:hAnsi="Arial" w:cs="Arial"/>
                <w:sz w:val="20"/>
                <w:szCs w:val="20"/>
              </w:rPr>
              <w:t xml:space="preserve">  JP to develop.</w:t>
            </w:r>
          </w:p>
          <w:p w:rsidR="0009102A" w:rsidRDefault="0009102A" w:rsidP="00EF0782">
            <w:pPr>
              <w:pStyle w:val="ListParagraph"/>
              <w:numPr>
                <w:ilvl w:val="0"/>
                <w:numId w:val="1"/>
              </w:numPr>
              <w:rPr>
                <w:rFonts w:ascii="Arial" w:hAnsi="Arial" w:cs="Arial"/>
                <w:sz w:val="20"/>
                <w:szCs w:val="20"/>
              </w:rPr>
            </w:pPr>
            <w:r>
              <w:rPr>
                <w:rFonts w:ascii="Arial" w:hAnsi="Arial" w:cs="Arial"/>
                <w:sz w:val="20"/>
                <w:szCs w:val="20"/>
              </w:rPr>
              <w:t>Remit for ESAG.  Was decided to raise this at the next meeting when Gerry Webber is present.</w:t>
            </w:r>
          </w:p>
          <w:p w:rsidR="001A04B8" w:rsidRDefault="001A04B8" w:rsidP="00EF0782">
            <w:pPr>
              <w:pStyle w:val="ListParagraph"/>
              <w:numPr>
                <w:ilvl w:val="0"/>
                <w:numId w:val="1"/>
              </w:numPr>
              <w:rPr>
                <w:rFonts w:ascii="Arial" w:hAnsi="Arial" w:cs="Arial"/>
                <w:sz w:val="20"/>
                <w:szCs w:val="20"/>
              </w:rPr>
            </w:pPr>
            <w:r>
              <w:rPr>
                <w:rFonts w:ascii="Arial" w:hAnsi="Arial" w:cs="Arial"/>
                <w:sz w:val="20"/>
                <w:szCs w:val="20"/>
              </w:rPr>
              <w:t>ESAG members continually encouraged to send EMS queries to JP.</w:t>
            </w:r>
          </w:p>
          <w:p w:rsidR="001A04B8" w:rsidRDefault="001A04B8" w:rsidP="00EF0782">
            <w:pPr>
              <w:pStyle w:val="ListParagraph"/>
              <w:numPr>
                <w:ilvl w:val="0"/>
                <w:numId w:val="1"/>
              </w:numPr>
              <w:rPr>
                <w:rFonts w:ascii="Arial" w:hAnsi="Arial" w:cs="Arial"/>
                <w:sz w:val="20"/>
                <w:szCs w:val="20"/>
              </w:rPr>
            </w:pPr>
            <w:r>
              <w:rPr>
                <w:rFonts w:ascii="Arial" w:hAnsi="Arial" w:cs="Arial"/>
                <w:sz w:val="20"/>
                <w:szCs w:val="20"/>
              </w:rPr>
              <w:lastRenderedPageBreak/>
              <w:t>No feedback received</w:t>
            </w:r>
            <w:r w:rsidR="006016AC">
              <w:rPr>
                <w:rFonts w:ascii="Arial" w:hAnsi="Arial" w:cs="Arial"/>
                <w:sz w:val="20"/>
                <w:szCs w:val="20"/>
              </w:rPr>
              <w:t xml:space="preserve"> regarding the Policy</w:t>
            </w:r>
            <w:r>
              <w:rPr>
                <w:rFonts w:ascii="Arial" w:hAnsi="Arial" w:cs="Arial"/>
                <w:sz w:val="20"/>
                <w:szCs w:val="20"/>
              </w:rPr>
              <w:t>.  JP to provide a hyperlinked copy on the Environmental Sustainability Team intranet pages.</w:t>
            </w:r>
          </w:p>
          <w:p w:rsidR="001A04B8" w:rsidRDefault="001A04B8" w:rsidP="00EF0782">
            <w:pPr>
              <w:pStyle w:val="ListParagraph"/>
              <w:numPr>
                <w:ilvl w:val="0"/>
                <w:numId w:val="1"/>
              </w:numPr>
              <w:rPr>
                <w:rFonts w:ascii="Arial" w:hAnsi="Arial" w:cs="Arial"/>
                <w:sz w:val="20"/>
                <w:szCs w:val="20"/>
              </w:rPr>
            </w:pPr>
            <w:r>
              <w:rPr>
                <w:rFonts w:ascii="Arial" w:hAnsi="Arial" w:cs="Arial"/>
                <w:sz w:val="20"/>
                <w:szCs w:val="20"/>
              </w:rPr>
              <w:t>As part of the EMS Gold assessment, JP, through the EMS Manual (to be developed) will develop matrix showing the interconnectivity between all programmes of work developed through the Environmental Sustainability Team</w:t>
            </w:r>
            <w:r w:rsidR="00FB6533">
              <w:rPr>
                <w:rFonts w:ascii="Arial" w:hAnsi="Arial" w:cs="Arial"/>
                <w:sz w:val="20"/>
                <w:szCs w:val="20"/>
              </w:rPr>
              <w:t xml:space="preserve"> including Plans and Strategies developed throughout the</w:t>
            </w:r>
            <w:r>
              <w:rPr>
                <w:rFonts w:ascii="Arial" w:hAnsi="Arial" w:cs="Arial"/>
                <w:sz w:val="20"/>
                <w:szCs w:val="20"/>
              </w:rPr>
              <w:t xml:space="preserve"> wider University, including the</w:t>
            </w:r>
            <w:r w:rsidR="00FB6533">
              <w:rPr>
                <w:rFonts w:ascii="Arial" w:hAnsi="Arial" w:cs="Arial"/>
                <w:sz w:val="20"/>
                <w:szCs w:val="20"/>
              </w:rPr>
              <w:t xml:space="preserve"> Learning and Teaching Strategy and Strategy 2020.</w:t>
            </w:r>
          </w:p>
          <w:p w:rsidR="001A04B8" w:rsidRDefault="001A04B8" w:rsidP="00EF0782">
            <w:pPr>
              <w:pStyle w:val="ListParagraph"/>
              <w:numPr>
                <w:ilvl w:val="0"/>
                <w:numId w:val="1"/>
              </w:numPr>
              <w:rPr>
                <w:rFonts w:ascii="Arial" w:hAnsi="Arial" w:cs="Arial"/>
                <w:sz w:val="20"/>
                <w:szCs w:val="20"/>
              </w:rPr>
            </w:pPr>
            <w:r>
              <w:rPr>
                <w:rFonts w:ascii="Arial" w:hAnsi="Arial" w:cs="Arial"/>
                <w:sz w:val="20"/>
                <w:szCs w:val="20"/>
              </w:rPr>
              <w:t>Fairtrade Policy to be resigned by Dan Smith on behalf of Napier Students Association (NSA).  To be included within the review highlighted in eight above.</w:t>
            </w:r>
          </w:p>
          <w:p w:rsidR="001A04B8" w:rsidRDefault="001A04B8" w:rsidP="00EF0782">
            <w:pPr>
              <w:pStyle w:val="ListParagraph"/>
              <w:numPr>
                <w:ilvl w:val="0"/>
                <w:numId w:val="1"/>
              </w:numPr>
              <w:rPr>
                <w:rFonts w:ascii="Arial" w:hAnsi="Arial" w:cs="Arial"/>
                <w:sz w:val="20"/>
                <w:szCs w:val="20"/>
              </w:rPr>
            </w:pPr>
            <w:r>
              <w:rPr>
                <w:rFonts w:ascii="Arial" w:hAnsi="Arial" w:cs="Arial"/>
                <w:sz w:val="20"/>
                <w:szCs w:val="20"/>
              </w:rPr>
              <w:t>Sustainable Food Policy to be included within the review highlighted in eight above.</w:t>
            </w:r>
          </w:p>
          <w:p w:rsidR="001A04B8" w:rsidRDefault="00685353" w:rsidP="00EF0782">
            <w:pPr>
              <w:pStyle w:val="ListParagraph"/>
              <w:numPr>
                <w:ilvl w:val="0"/>
                <w:numId w:val="1"/>
              </w:numPr>
              <w:rPr>
                <w:rFonts w:ascii="Arial" w:hAnsi="Arial" w:cs="Arial"/>
                <w:sz w:val="20"/>
                <w:szCs w:val="20"/>
              </w:rPr>
            </w:pPr>
            <w:r>
              <w:rPr>
                <w:rFonts w:ascii="Arial" w:hAnsi="Arial" w:cs="Arial"/>
                <w:sz w:val="20"/>
                <w:szCs w:val="20"/>
              </w:rPr>
              <w:t>Discussions regarding the potential Environmental Sustainability conference are ongoing.  A date within the 2015/16 academic year should be set and a conference organised to pull together acad</w:t>
            </w:r>
            <w:r w:rsidR="006016AC">
              <w:rPr>
                <w:rFonts w:ascii="Arial" w:hAnsi="Arial" w:cs="Arial"/>
                <w:sz w:val="20"/>
                <w:szCs w:val="20"/>
              </w:rPr>
              <w:t>emic and professional expertise (discussed through agenda item eight below).</w:t>
            </w:r>
          </w:p>
          <w:p w:rsidR="00685353" w:rsidRDefault="00685353" w:rsidP="00EF0782">
            <w:pPr>
              <w:pStyle w:val="ListParagraph"/>
              <w:numPr>
                <w:ilvl w:val="0"/>
                <w:numId w:val="1"/>
              </w:numPr>
              <w:rPr>
                <w:rFonts w:ascii="Arial" w:hAnsi="Arial" w:cs="Arial"/>
                <w:sz w:val="20"/>
                <w:szCs w:val="20"/>
              </w:rPr>
            </w:pPr>
            <w:r>
              <w:rPr>
                <w:rFonts w:ascii="Arial" w:hAnsi="Arial" w:cs="Arial"/>
                <w:sz w:val="20"/>
                <w:szCs w:val="20"/>
              </w:rPr>
              <w:t xml:space="preserve">JP to meet LY and view </w:t>
            </w:r>
            <w:r w:rsidR="002C48D4">
              <w:rPr>
                <w:rFonts w:ascii="Arial" w:hAnsi="Arial" w:cs="Arial"/>
                <w:sz w:val="20"/>
                <w:szCs w:val="20"/>
              </w:rPr>
              <w:t>all tools used by the Healthy and Safety team to measure and monitor risk.</w:t>
            </w:r>
          </w:p>
          <w:p w:rsidR="002C48D4" w:rsidRPr="00EF0782" w:rsidRDefault="002C48D4" w:rsidP="00EF0782">
            <w:pPr>
              <w:pStyle w:val="ListParagraph"/>
              <w:numPr>
                <w:ilvl w:val="0"/>
                <w:numId w:val="1"/>
              </w:numPr>
              <w:rPr>
                <w:rFonts w:ascii="Arial" w:hAnsi="Arial" w:cs="Arial"/>
                <w:sz w:val="20"/>
                <w:szCs w:val="20"/>
              </w:rPr>
            </w:pPr>
            <w:r>
              <w:rPr>
                <w:rFonts w:ascii="Arial" w:hAnsi="Arial" w:cs="Arial"/>
                <w:sz w:val="20"/>
                <w:szCs w:val="20"/>
              </w:rPr>
              <w:t>Ongoing development of ESAG to be discussed at next meeting, together with the development of a r</w:t>
            </w:r>
            <w:r w:rsidR="006016AC">
              <w:rPr>
                <w:rFonts w:ascii="Arial" w:hAnsi="Arial" w:cs="Arial"/>
                <w:sz w:val="20"/>
                <w:szCs w:val="20"/>
              </w:rPr>
              <w:t>emit for the Group, as per agenda item</w:t>
            </w:r>
            <w:r>
              <w:rPr>
                <w:rFonts w:ascii="Arial" w:hAnsi="Arial" w:cs="Arial"/>
                <w:sz w:val="20"/>
                <w:szCs w:val="20"/>
              </w:rPr>
              <w:t xml:space="preserve"> five.</w:t>
            </w:r>
          </w:p>
          <w:p w:rsidR="009C3B56" w:rsidRPr="00AC6D55" w:rsidRDefault="009C3B56" w:rsidP="009F56B9">
            <w:pPr>
              <w:rPr>
                <w:rFonts w:ascii="Arial" w:hAnsi="Arial" w:cs="Arial"/>
                <w:sz w:val="20"/>
                <w:szCs w:val="20"/>
              </w:rPr>
            </w:pPr>
          </w:p>
        </w:tc>
        <w:tc>
          <w:tcPr>
            <w:tcW w:w="912" w:type="dxa"/>
          </w:tcPr>
          <w:p w:rsidR="00AC6D55" w:rsidRDefault="00AC6D55"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7B1B1E">
            <w:pPr>
              <w:jc w:val="center"/>
              <w:rPr>
                <w:rFonts w:ascii="Arial" w:hAnsi="Arial" w:cs="Arial"/>
                <w:sz w:val="20"/>
                <w:szCs w:val="20"/>
              </w:rPr>
            </w:pPr>
          </w:p>
          <w:p w:rsidR="007B1B1E" w:rsidRDefault="007B1B1E"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r>
              <w:rPr>
                <w:rFonts w:ascii="Arial" w:hAnsi="Arial" w:cs="Arial"/>
                <w:sz w:val="20"/>
                <w:szCs w:val="20"/>
              </w:rPr>
              <w:t>JP</w:t>
            </w: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r>
              <w:rPr>
                <w:rFonts w:ascii="Arial" w:hAnsi="Arial" w:cs="Arial"/>
                <w:sz w:val="20"/>
                <w:szCs w:val="20"/>
              </w:rPr>
              <w:t>JP</w:t>
            </w:r>
          </w:p>
          <w:p w:rsidR="006016AC" w:rsidRDefault="006016AC" w:rsidP="009F56B9">
            <w:pPr>
              <w:jc w:val="center"/>
              <w:rPr>
                <w:rFonts w:ascii="Arial" w:hAnsi="Arial" w:cs="Arial"/>
                <w:sz w:val="20"/>
                <w:szCs w:val="20"/>
              </w:rPr>
            </w:pPr>
            <w:r>
              <w:rPr>
                <w:rFonts w:ascii="Arial" w:hAnsi="Arial" w:cs="Arial"/>
                <w:sz w:val="20"/>
                <w:szCs w:val="20"/>
              </w:rPr>
              <w:t>JP</w:t>
            </w: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r>
              <w:rPr>
                <w:rFonts w:ascii="Arial" w:hAnsi="Arial" w:cs="Arial"/>
                <w:sz w:val="20"/>
                <w:szCs w:val="20"/>
              </w:rPr>
              <w:t>All</w:t>
            </w: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r>
              <w:rPr>
                <w:rFonts w:ascii="Arial" w:hAnsi="Arial" w:cs="Arial"/>
                <w:sz w:val="20"/>
                <w:szCs w:val="20"/>
              </w:rPr>
              <w:lastRenderedPageBreak/>
              <w:t>JP</w:t>
            </w: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p>
          <w:p w:rsidR="006016AC" w:rsidRDefault="006016AC" w:rsidP="009F56B9">
            <w:pPr>
              <w:jc w:val="center"/>
              <w:rPr>
                <w:rFonts w:ascii="Arial" w:hAnsi="Arial" w:cs="Arial"/>
                <w:sz w:val="20"/>
                <w:szCs w:val="20"/>
              </w:rPr>
            </w:pPr>
            <w:r>
              <w:rPr>
                <w:rFonts w:ascii="Arial" w:hAnsi="Arial" w:cs="Arial"/>
                <w:sz w:val="20"/>
                <w:szCs w:val="20"/>
              </w:rPr>
              <w:t>JP, LY</w:t>
            </w:r>
          </w:p>
          <w:p w:rsidR="006016AC" w:rsidRDefault="006016AC" w:rsidP="009F56B9">
            <w:pPr>
              <w:jc w:val="center"/>
              <w:rPr>
                <w:rFonts w:ascii="Arial" w:hAnsi="Arial" w:cs="Arial"/>
                <w:sz w:val="20"/>
                <w:szCs w:val="20"/>
              </w:rPr>
            </w:pPr>
          </w:p>
        </w:tc>
      </w:tr>
      <w:tr w:rsidR="00D8177E" w:rsidTr="00236CC6">
        <w:tc>
          <w:tcPr>
            <w:tcW w:w="534" w:type="dxa"/>
          </w:tcPr>
          <w:p w:rsidR="00D8177E" w:rsidRDefault="00D8177E" w:rsidP="00236CC6">
            <w:pPr>
              <w:jc w:val="center"/>
              <w:rPr>
                <w:rFonts w:ascii="Arial" w:hAnsi="Arial" w:cs="Arial"/>
                <w:b/>
                <w:sz w:val="20"/>
                <w:szCs w:val="20"/>
              </w:rPr>
            </w:pPr>
            <w:r>
              <w:rPr>
                <w:rFonts w:ascii="Arial" w:hAnsi="Arial" w:cs="Arial"/>
                <w:b/>
                <w:sz w:val="20"/>
                <w:szCs w:val="20"/>
              </w:rPr>
              <w:lastRenderedPageBreak/>
              <w:t>4</w:t>
            </w:r>
          </w:p>
        </w:tc>
        <w:tc>
          <w:tcPr>
            <w:tcW w:w="7796" w:type="dxa"/>
          </w:tcPr>
          <w:p w:rsidR="00D8177E" w:rsidRDefault="002C48D4" w:rsidP="001749B0">
            <w:pPr>
              <w:rPr>
                <w:rFonts w:ascii="Arial" w:hAnsi="Arial" w:cs="Arial"/>
                <w:b/>
                <w:sz w:val="20"/>
                <w:szCs w:val="20"/>
              </w:rPr>
            </w:pPr>
            <w:r>
              <w:rPr>
                <w:rFonts w:ascii="Arial" w:hAnsi="Arial" w:cs="Arial"/>
                <w:b/>
                <w:sz w:val="20"/>
                <w:szCs w:val="20"/>
              </w:rPr>
              <w:t>Mikoko Pamoja</w:t>
            </w:r>
          </w:p>
          <w:p w:rsidR="00D8177E" w:rsidRPr="00CA5E4D" w:rsidRDefault="00D8177E" w:rsidP="001749B0">
            <w:pPr>
              <w:rPr>
                <w:rFonts w:ascii="Arial" w:hAnsi="Arial" w:cs="Arial"/>
                <w:sz w:val="20"/>
                <w:szCs w:val="20"/>
              </w:rPr>
            </w:pPr>
          </w:p>
          <w:p w:rsidR="003E401F" w:rsidRDefault="00CA5E4D" w:rsidP="009F56B9">
            <w:pPr>
              <w:rPr>
                <w:rFonts w:ascii="Arial" w:hAnsi="Arial" w:cs="Arial"/>
                <w:sz w:val="20"/>
                <w:szCs w:val="20"/>
              </w:rPr>
            </w:pPr>
            <w:r>
              <w:rPr>
                <w:rFonts w:ascii="Arial" w:hAnsi="Arial" w:cs="Arial"/>
                <w:sz w:val="20"/>
                <w:szCs w:val="20"/>
              </w:rPr>
              <w:t>‘Mangroves Together’.</w:t>
            </w:r>
            <w:r w:rsidR="003E401F">
              <w:rPr>
                <w:rFonts w:ascii="Arial" w:hAnsi="Arial" w:cs="Arial"/>
                <w:sz w:val="20"/>
                <w:szCs w:val="20"/>
              </w:rPr>
              <w:t xml:space="preserve">  MH previously introduced the project to the Group on Wednesday 30</w:t>
            </w:r>
            <w:r w:rsidR="003E401F" w:rsidRPr="003E401F">
              <w:rPr>
                <w:rFonts w:ascii="Arial" w:hAnsi="Arial" w:cs="Arial"/>
                <w:sz w:val="20"/>
                <w:szCs w:val="20"/>
                <w:vertAlign w:val="superscript"/>
              </w:rPr>
              <w:t>th</w:t>
            </w:r>
            <w:r w:rsidR="003E401F">
              <w:rPr>
                <w:rFonts w:ascii="Arial" w:hAnsi="Arial" w:cs="Arial"/>
                <w:sz w:val="20"/>
                <w:szCs w:val="20"/>
              </w:rPr>
              <w:t xml:space="preserve"> October 2013 (ENU-EMS-069), with a further update on Wednesday 22</w:t>
            </w:r>
            <w:r w:rsidR="003E401F" w:rsidRPr="003E401F">
              <w:rPr>
                <w:rFonts w:ascii="Arial" w:hAnsi="Arial" w:cs="Arial"/>
                <w:sz w:val="20"/>
                <w:szCs w:val="20"/>
                <w:vertAlign w:val="superscript"/>
              </w:rPr>
              <w:t>nd</w:t>
            </w:r>
            <w:r w:rsidR="003E401F">
              <w:rPr>
                <w:rFonts w:ascii="Arial" w:hAnsi="Arial" w:cs="Arial"/>
                <w:sz w:val="20"/>
                <w:szCs w:val="20"/>
              </w:rPr>
              <w:t xml:space="preserve"> January 2014 (ENU-EMS-077).</w:t>
            </w:r>
            <w:r w:rsidR="00A03785">
              <w:rPr>
                <w:rFonts w:ascii="Arial" w:hAnsi="Arial" w:cs="Arial"/>
                <w:sz w:val="20"/>
                <w:szCs w:val="20"/>
              </w:rPr>
              <w:t xml:space="preserve">  The project now has 107 hectares of natural forest, a 10 hectare nursery and 4,000 new trees to plant annually (with opportunity to expand), with a 20 year project projection.</w:t>
            </w:r>
          </w:p>
          <w:p w:rsidR="003E401F" w:rsidRDefault="003E401F" w:rsidP="009F56B9">
            <w:pPr>
              <w:rPr>
                <w:rFonts w:ascii="Arial" w:hAnsi="Arial" w:cs="Arial"/>
                <w:sz w:val="20"/>
                <w:szCs w:val="20"/>
              </w:rPr>
            </w:pPr>
          </w:p>
          <w:p w:rsidR="00A03785" w:rsidRDefault="00616876" w:rsidP="009F56B9">
            <w:pPr>
              <w:rPr>
                <w:rFonts w:ascii="Arial" w:hAnsi="Arial" w:cs="Arial"/>
                <w:sz w:val="20"/>
                <w:szCs w:val="20"/>
              </w:rPr>
            </w:pPr>
            <w:r>
              <w:rPr>
                <w:rFonts w:ascii="Arial" w:hAnsi="Arial" w:cs="Arial"/>
                <w:sz w:val="20"/>
                <w:szCs w:val="20"/>
              </w:rPr>
              <w:t>Carbon credits are now available to sell at a baseline of $6 per tonne of carbon, sold through international markets.  The credits are accredited by Plan Vivo.</w:t>
            </w:r>
            <w:r w:rsidR="00A03785">
              <w:rPr>
                <w:rFonts w:ascii="Arial" w:hAnsi="Arial" w:cs="Arial"/>
                <w:sz w:val="20"/>
                <w:szCs w:val="20"/>
              </w:rPr>
              <w:t xml:space="preserve">  2,275 credits are available.  The project is managed by volunteers and a charity, with one paid member of staff receiving $3,000 annually.  35% of all funding gained is spent on projects chosen by the local community.</w:t>
            </w:r>
          </w:p>
          <w:p w:rsidR="00616876" w:rsidRDefault="00616876" w:rsidP="009F56B9">
            <w:pPr>
              <w:rPr>
                <w:rFonts w:ascii="Arial" w:hAnsi="Arial" w:cs="Arial"/>
                <w:sz w:val="20"/>
                <w:szCs w:val="20"/>
              </w:rPr>
            </w:pPr>
          </w:p>
          <w:p w:rsidR="00616876" w:rsidRDefault="00616876" w:rsidP="009F56B9">
            <w:pPr>
              <w:rPr>
                <w:rFonts w:ascii="Arial" w:hAnsi="Arial" w:cs="Arial"/>
                <w:sz w:val="20"/>
                <w:szCs w:val="20"/>
              </w:rPr>
            </w:pPr>
            <w:r>
              <w:rPr>
                <w:rFonts w:ascii="Arial" w:hAnsi="Arial" w:cs="Arial"/>
                <w:sz w:val="20"/>
                <w:szCs w:val="20"/>
              </w:rPr>
              <w:t>The project was submitted within the recent University Research Excellence</w:t>
            </w:r>
            <w:r w:rsidR="00C140F6">
              <w:rPr>
                <w:rFonts w:ascii="Arial" w:hAnsi="Arial" w:cs="Arial"/>
                <w:sz w:val="20"/>
                <w:szCs w:val="20"/>
              </w:rPr>
              <w:t xml:space="preserve"> Framework and was</w:t>
            </w:r>
            <w:r w:rsidR="00A03785">
              <w:rPr>
                <w:rFonts w:ascii="Arial" w:hAnsi="Arial" w:cs="Arial"/>
                <w:sz w:val="20"/>
                <w:szCs w:val="20"/>
              </w:rPr>
              <w:t xml:space="preserve"> positively</w:t>
            </w:r>
            <w:r w:rsidR="00C140F6">
              <w:rPr>
                <w:rFonts w:ascii="Arial" w:hAnsi="Arial" w:cs="Arial"/>
                <w:sz w:val="20"/>
                <w:szCs w:val="20"/>
              </w:rPr>
              <w:t xml:space="preserve"> highlighted as the most successful impact statement.  MH also submitted a bid to the 50</w:t>
            </w:r>
            <w:r w:rsidR="00C140F6" w:rsidRPr="00C140F6">
              <w:rPr>
                <w:rFonts w:ascii="Arial" w:hAnsi="Arial" w:cs="Arial"/>
                <w:sz w:val="20"/>
                <w:szCs w:val="20"/>
                <w:vertAlign w:val="superscript"/>
              </w:rPr>
              <w:t>th</w:t>
            </w:r>
            <w:r w:rsidR="00C140F6">
              <w:rPr>
                <w:rFonts w:ascii="Arial" w:hAnsi="Arial" w:cs="Arial"/>
                <w:sz w:val="20"/>
                <w:szCs w:val="20"/>
              </w:rPr>
              <w:t xml:space="preserve"> anniversary fund.  No funding available but the External Relations &amp; Communications Team will encourage a fostering of links between East Africa and the University.  The project has also progressed into Tanzania.</w:t>
            </w:r>
          </w:p>
          <w:p w:rsidR="00C140F6" w:rsidRDefault="00C140F6" w:rsidP="009F56B9">
            <w:pPr>
              <w:rPr>
                <w:rFonts w:ascii="Arial" w:hAnsi="Arial" w:cs="Arial"/>
                <w:sz w:val="20"/>
                <w:szCs w:val="20"/>
              </w:rPr>
            </w:pPr>
          </w:p>
          <w:p w:rsidR="00C140F6" w:rsidRDefault="00C140F6" w:rsidP="009F56B9">
            <w:pPr>
              <w:rPr>
                <w:rFonts w:ascii="Arial" w:hAnsi="Arial" w:cs="Arial"/>
                <w:sz w:val="20"/>
                <w:szCs w:val="20"/>
              </w:rPr>
            </w:pPr>
            <w:r>
              <w:rPr>
                <w:rFonts w:ascii="Arial" w:hAnsi="Arial" w:cs="Arial"/>
                <w:sz w:val="20"/>
                <w:szCs w:val="20"/>
              </w:rPr>
              <w:t>Discussion ensued as to how the University could procure carbon credits</w:t>
            </w:r>
            <w:r w:rsidR="00A03785">
              <w:rPr>
                <w:rFonts w:ascii="Arial" w:hAnsi="Arial" w:cs="Arial"/>
                <w:sz w:val="20"/>
                <w:szCs w:val="20"/>
              </w:rPr>
              <w:t xml:space="preserve"> and develop a partnership approach</w:t>
            </w:r>
            <w:r>
              <w:rPr>
                <w:rFonts w:ascii="Arial" w:hAnsi="Arial" w:cs="Arial"/>
                <w:sz w:val="20"/>
                <w:szCs w:val="20"/>
              </w:rPr>
              <w:t xml:space="preserve"> for carbon emissions associated with unavoidable travel.  Two of the main issues considered were fraud and moral hazard.  But, with accreditation in place and MH involved, there is strong confidence that the project is being run appropriately.</w:t>
            </w:r>
          </w:p>
          <w:p w:rsidR="00A03785" w:rsidRDefault="00A03785" w:rsidP="009F56B9">
            <w:pPr>
              <w:rPr>
                <w:rFonts w:ascii="Arial" w:hAnsi="Arial" w:cs="Arial"/>
                <w:sz w:val="20"/>
                <w:szCs w:val="20"/>
              </w:rPr>
            </w:pPr>
          </w:p>
          <w:p w:rsidR="00A03785" w:rsidRDefault="00A03785" w:rsidP="009F56B9">
            <w:pPr>
              <w:rPr>
                <w:rFonts w:ascii="Arial" w:hAnsi="Arial" w:cs="Arial"/>
                <w:sz w:val="20"/>
                <w:szCs w:val="20"/>
              </w:rPr>
            </w:pPr>
            <w:r>
              <w:rPr>
                <w:rFonts w:ascii="Arial" w:hAnsi="Arial" w:cs="Arial"/>
                <w:sz w:val="20"/>
                <w:szCs w:val="20"/>
              </w:rPr>
              <w:t>It was considered that a base of 1,000 tonnes could be procured, with a slush fund developed to fill as staff and students travelled on international business.</w:t>
            </w:r>
            <w:r w:rsidR="00074D5B">
              <w:rPr>
                <w:rFonts w:ascii="Arial" w:hAnsi="Arial" w:cs="Arial"/>
                <w:sz w:val="20"/>
                <w:szCs w:val="20"/>
              </w:rPr>
              <w:t xml:space="preserve">  DC highlighted that the monitoring of consumption could be linked to the information now received through Key Travel.  Could also consider what specific type of travel this fund may cover (business travel and personal commute impact is already high, so a specific project or aspect of travel could be considered i.e. fostering links between the University in East Africa or an aspect of student travel).</w:t>
            </w:r>
          </w:p>
          <w:p w:rsidR="00074D5B" w:rsidRDefault="00074D5B" w:rsidP="009F56B9">
            <w:pPr>
              <w:rPr>
                <w:rFonts w:ascii="Arial" w:hAnsi="Arial" w:cs="Arial"/>
                <w:sz w:val="20"/>
                <w:szCs w:val="20"/>
              </w:rPr>
            </w:pPr>
          </w:p>
          <w:p w:rsidR="00074D5B" w:rsidRDefault="00074D5B" w:rsidP="009F56B9">
            <w:pPr>
              <w:rPr>
                <w:rFonts w:ascii="Arial" w:hAnsi="Arial" w:cs="Arial"/>
                <w:sz w:val="20"/>
                <w:szCs w:val="20"/>
              </w:rPr>
            </w:pPr>
            <w:r>
              <w:rPr>
                <w:rFonts w:ascii="Arial" w:hAnsi="Arial" w:cs="Arial"/>
                <w:sz w:val="20"/>
                <w:szCs w:val="20"/>
              </w:rPr>
              <w:t>MH highlighted that if credits are to be procured, there should be a robustness to ensure that travel, especially by plane, is the last resort.  Through the Internationalisation Strategy, it is anticipated that international travel will expand and the carbon emissions associated with this will increase.</w:t>
            </w:r>
          </w:p>
          <w:p w:rsidR="003E401F" w:rsidRDefault="003E401F" w:rsidP="009F56B9">
            <w:pPr>
              <w:rPr>
                <w:rFonts w:ascii="Arial" w:hAnsi="Arial" w:cs="Arial"/>
                <w:sz w:val="20"/>
                <w:szCs w:val="20"/>
              </w:rPr>
            </w:pPr>
          </w:p>
          <w:p w:rsidR="00074D5B" w:rsidRDefault="00074D5B" w:rsidP="00074D5B">
            <w:pPr>
              <w:rPr>
                <w:rFonts w:ascii="Arial" w:hAnsi="Arial" w:cs="Arial"/>
                <w:sz w:val="20"/>
                <w:szCs w:val="20"/>
              </w:rPr>
            </w:pPr>
            <w:r>
              <w:rPr>
                <w:rFonts w:ascii="Arial" w:hAnsi="Arial" w:cs="Arial"/>
                <w:sz w:val="20"/>
                <w:szCs w:val="20"/>
              </w:rPr>
              <w:t>DC noted that the Travel Policy he has developed is currently sitting with the Human Resources Team, but has been passed back and forth to the University Leadership Team.  Will ask if GF can provide an update at the next ESAG meeting.</w:t>
            </w:r>
            <w:r>
              <w:rPr>
                <w:rFonts w:ascii="Arial" w:hAnsi="Arial" w:cs="Arial"/>
                <w:sz w:val="20"/>
                <w:szCs w:val="20"/>
              </w:rPr>
              <w:t xml:space="preserve">  From there, it will be considered if the procurement of carbon credits, to contribute towards this project, could be integrated into the Plan to balance the impact of international travel, where no other alternatives other than flying are available.</w:t>
            </w:r>
          </w:p>
          <w:p w:rsidR="00074D5B" w:rsidRDefault="00074D5B" w:rsidP="00074D5B">
            <w:pPr>
              <w:rPr>
                <w:rFonts w:ascii="Arial" w:hAnsi="Arial" w:cs="Arial"/>
                <w:sz w:val="20"/>
                <w:szCs w:val="20"/>
              </w:rPr>
            </w:pPr>
          </w:p>
          <w:p w:rsidR="00CA5E4D" w:rsidRDefault="00074D5B" w:rsidP="009F56B9">
            <w:pPr>
              <w:rPr>
                <w:rFonts w:ascii="Arial" w:hAnsi="Arial" w:cs="Arial"/>
                <w:sz w:val="20"/>
                <w:szCs w:val="20"/>
              </w:rPr>
            </w:pPr>
            <w:r>
              <w:rPr>
                <w:rFonts w:ascii="Arial" w:hAnsi="Arial" w:cs="Arial"/>
                <w:sz w:val="20"/>
                <w:szCs w:val="20"/>
              </w:rPr>
              <w:t>MH and JP to meet and pull a paper together for GW to consider.</w:t>
            </w:r>
          </w:p>
          <w:p w:rsidR="00CA5E4D" w:rsidRDefault="00CA5E4D" w:rsidP="009F56B9">
            <w:pPr>
              <w:rPr>
                <w:rFonts w:ascii="Arial" w:hAnsi="Arial" w:cs="Arial"/>
                <w:b/>
                <w:sz w:val="20"/>
                <w:szCs w:val="20"/>
              </w:rPr>
            </w:pPr>
          </w:p>
        </w:tc>
        <w:tc>
          <w:tcPr>
            <w:tcW w:w="912" w:type="dxa"/>
          </w:tcPr>
          <w:p w:rsidR="00D8177E" w:rsidRDefault="00D8177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1749B0">
            <w:pPr>
              <w:rPr>
                <w:rFonts w:ascii="Arial" w:hAnsi="Arial" w:cs="Arial"/>
                <w:sz w:val="20"/>
                <w:szCs w:val="20"/>
              </w:rPr>
            </w:pPr>
          </w:p>
          <w:p w:rsidR="007B1B1E" w:rsidRDefault="007B1B1E"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9F56B9">
            <w:pPr>
              <w:rPr>
                <w:rFonts w:ascii="Arial" w:hAnsi="Arial" w:cs="Arial"/>
                <w:sz w:val="20"/>
                <w:szCs w:val="20"/>
              </w:rPr>
            </w:pPr>
          </w:p>
          <w:p w:rsidR="006016AC" w:rsidRDefault="006016AC" w:rsidP="006016AC">
            <w:pPr>
              <w:jc w:val="center"/>
              <w:rPr>
                <w:rFonts w:ascii="Arial" w:hAnsi="Arial" w:cs="Arial"/>
                <w:sz w:val="20"/>
                <w:szCs w:val="20"/>
              </w:rPr>
            </w:pPr>
            <w:r>
              <w:rPr>
                <w:rFonts w:ascii="Arial" w:hAnsi="Arial" w:cs="Arial"/>
                <w:sz w:val="20"/>
                <w:szCs w:val="20"/>
              </w:rPr>
              <w:t>GF</w:t>
            </w:r>
          </w:p>
          <w:p w:rsidR="006016AC" w:rsidRDefault="006016AC" w:rsidP="006016AC">
            <w:pPr>
              <w:jc w:val="center"/>
              <w:rPr>
                <w:rFonts w:ascii="Arial" w:hAnsi="Arial" w:cs="Arial"/>
                <w:sz w:val="20"/>
                <w:szCs w:val="20"/>
              </w:rPr>
            </w:pPr>
          </w:p>
          <w:p w:rsidR="006016AC" w:rsidRDefault="006016AC" w:rsidP="006016AC">
            <w:pPr>
              <w:jc w:val="center"/>
              <w:rPr>
                <w:rFonts w:ascii="Arial" w:hAnsi="Arial" w:cs="Arial"/>
                <w:sz w:val="20"/>
                <w:szCs w:val="20"/>
              </w:rPr>
            </w:pPr>
          </w:p>
          <w:p w:rsidR="006016AC" w:rsidRDefault="006016AC" w:rsidP="006016AC">
            <w:pPr>
              <w:jc w:val="center"/>
              <w:rPr>
                <w:rFonts w:ascii="Arial" w:hAnsi="Arial" w:cs="Arial"/>
                <w:sz w:val="20"/>
                <w:szCs w:val="20"/>
              </w:rPr>
            </w:pPr>
          </w:p>
          <w:p w:rsidR="006016AC" w:rsidRDefault="006016AC" w:rsidP="006016AC">
            <w:pPr>
              <w:jc w:val="center"/>
              <w:rPr>
                <w:rFonts w:ascii="Arial" w:hAnsi="Arial" w:cs="Arial"/>
                <w:sz w:val="20"/>
                <w:szCs w:val="20"/>
              </w:rPr>
            </w:pPr>
          </w:p>
          <w:p w:rsidR="006016AC" w:rsidRDefault="006016AC" w:rsidP="006016AC">
            <w:pPr>
              <w:jc w:val="center"/>
              <w:rPr>
                <w:rFonts w:ascii="Arial" w:hAnsi="Arial" w:cs="Arial"/>
                <w:sz w:val="20"/>
                <w:szCs w:val="20"/>
              </w:rPr>
            </w:pPr>
            <w:r>
              <w:rPr>
                <w:rFonts w:ascii="Arial" w:hAnsi="Arial" w:cs="Arial"/>
                <w:sz w:val="20"/>
                <w:szCs w:val="20"/>
              </w:rPr>
              <w:t>JP, MH</w:t>
            </w:r>
          </w:p>
        </w:tc>
      </w:tr>
      <w:tr w:rsidR="009C3B56" w:rsidTr="00236CC6">
        <w:tc>
          <w:tcPr>
            <w:tcW w:w="534" w:type="dxa"/>
          </w:tcPr>
          <w:p w:rsidR="009C3B56" w:rsidRDefault="009C3B56" w:rsidP="00236CC6">
            <w:pPr>
              <w:jc w:val="center"/>
              <w:rPr>
                <w:rFonts w:ascii="Arial" w:hAnsi="Arial" w:cs="Arial"/>
                <w:b/>
                <w:sz w:val="20"/>
                <w:szCs w:val="20"/>
              </w:rPr>
            </w:pPr>
            <w:r>
              <w:rPr>
                <w:rFonts w:ascii="Arial" w:hAnsi="Arial" w:cs="Arial"/>
                <w:b/>
                <w:sz w:val="20"/>
                <w:szCs w:val="20"/>
              </w:rPr>
              <w:lastRenderedPageBreak/>
              <w:t>5</w:t>
            </w:r>
          </w:p>
        </w:tc>
        <w:tc>
          <w:tcPr>
            <w:tcW w:w="7796" w:type="dxa"/>
          </w:tcPr>
          <w:p w:rsidR="009C3B56" w:rsidRDefault="00074D5B" w:rsidP="001749B0">
            <w:pPr>
              <w:rPr>
                <w:rFonts w:ascii="Arial" w:hAnsi="Arial" w:cs="Arial"/>
                <w:b/>
                <w:sz w:val="20"/>
                <w:szCs w:val="20"/>
              </w:rPr>
            </w:pPr>
            <w:r>
              <w:rPr>
                <w:rFonts w:ascii="Arial" w:hAnsi="Arial" w:cs="Arial"/>
                <w:b/>
                <w:sz w:val="20"/>
                <w:szCs w:val="20"/>
              </w:rPr>
              <w:t>Environmental Management System</w:t>
            </w:r>
          </w:p>
          <w:p w:rsidR="009C3B56" w:rsidRDefault="009C3B56" w:rsidP="001749B0">
            <w:pPr>
              <w:rPr>
                <w:rFonts w:ascii="Arial" w:hAnsi="Arial" w:cs="Arial"/>
                <w:b/>
                <w:sz w:val="20"/>
                <w:szCs w:val="20"/>
              </w:rPr>
            </w:pPr>
          </w:p>
          <w:p w:rsidR="009F56B9" w:rsidRDefault="00074D5B" w:rsidP="009F56B9">
            <w:pPr>
              <w:rPr>
                <w:rFonts w:ascii="Arial" w:hAnsi="Arial" w:cs="Arial"/>
                <w:sz w:val="20"/>
                <w:szCs w:val="20"/>
              </w:rPr>
            </w:pPr>
            <w:r>
              <w:rPr>
                <w:rFonts w:ascii="Arial" w:hAnsi="Arial" w:cs="Arial"/>
                <w:sz w:val="20"/>
                <w:szCs w:val="20"/>
              </w:rPr>
              <w:t>JP provided an update on the EMS, referring specifically to the Bronze, Silver and Gold accreditation and the forthcoming Gold assessment due to be held on Monday 16</w:t>
            </w:r>
            <w:r w:rsidRPr="00074D5B">
              <w:rPr>
                <w:rFonts w:ascii="Arial" w:hAnsi="Arial" w:cs="Arial"/>
                <w:sz w:val="20"/>
                <w:szCs w:val="20"/>
                <w:vertAlign w:val="superscript"/>
              </w:rPr>
              <w:t>th</w:t>
            </w:r>
            <w:r>
              <w:rPr>
                <w:rFonts w:ascii="Arial" w:hAnsi="Arial" w:cs="Arial"/>
                <w:sz w:val="20"/>
                <w:szCs w:val="20"/>
              </w:rPr>
              <w:t>, Tuesday 17</w:t>
            </w:r>
            <w:r w:rsidRPr="00074D5B">
              <w:rPr>
                <w:rFonts w:ascii="Arial" w:hAnsi="Arial" w:cs="Arial"/>
                <w:sz w:val="20"/>
                <w:szCs w:val="20"/>
                <w:vertAlign w:val="superscript"/>
              </w:rPr>
              <w:t>th</w:t>
            </w:r>
            <w:r>
              <w:rPr>
                <w:rFonts w:ascii="Arial" w:hAnsi="Arial" w:cs="Arial"/>
                <w:sz w:val="20"/>
                <w:szCs w:val="20"/>
              </w:rPr>
              <w:t xml:space="preserve"> and Wednesday 18</w:t>
            </w:r>
            <w:r w:rsidRPr="00074D5B">
              <w:rPr>
                <w:rFonts w:ascii="Arial" w:hAnsi="Arial" w:cs="Arial"/>
                <w:sz w:val="20"/>
                <w:szCs w:val="20"/>
                <w:vertAlign w:val="superscript"/>
              </w:rPr>
              <w:t>th</w:t>
            </w:r>
            <w:r>
              <w:rPr>
                <w:rFonts w:ascii="Arial" w:hAnsi="Arial" w:cs="Arial"/>
                <w:sz w:val="20"/>
                <w:szCs w:val="20"/>
              </w:rPr>
              <w:t xml:space="preserve"> March.</w:t>
            </w:r>
          </w:p>
          <w:p w:rsidR="00074D5B" w:rsidRDefault="00074D5B" w:rsidP="009F56B9">
            <w:pPr>
              <w:rPr>
                <w:rFonts w:ascii="Arial" w:hAnsi="Arial" w:cs="Arial"/>
                <w:sz w:val="20"/>
                <w:szCs w:val="20"/>
              </w:rPr>
            </w:pPr>
          </w:p>
          <w:p w:rsidR="00074D5B" w:rsidRDefault="00074D5B" w:rsidP="009F56B9">
            <w:pPr>
              <w:rPr>
                <w:rFonts w:ascii="Arial" w:hAnsi="Arial" w:cs="Arial"/>
                <w:sz w:val="20"/>
                <w:szCs w:val="20"/>
              </w:rPr>
            </w:pPr>
            <w:r>
              <w:rPr>
                <w:rFonts w:ascii="Arial" w:hAnsi="Arial" w:cs="Arial"/>
                <w:sz w:val="20"/>
                <w:szCs w:val="20"/>
              </w:rPr>
              <w:t>During and following the update, JP posed questions to encourage discussion on how more staff and students are actively engaged with the EMS.  The consideration of a conference was raised again.  Felt that this would be an ideal opportunity to highlight good practice but also engage for ongoing development.</w:t>
            </w:r>
          </w:p>
          <w:p w:rsidR="00074D5B" w:rsidRDefault="00074D5B" w:rsidP="009F56B9">
            <w:pPr>
              <w:rPr>
                <w:rFonts w:ascii="Arial" w:hAnsi="Arial" w:cs="Arial"/>
                <w:sz w:val="20"/>
                <w:szCs w:val="20"/>
              </w:rPr>
            </w:pPr>
          </w:p>
          <w:p w:rsidR="00074D5B" w:rsidRDefault="00074D5B" w:rsidP="009F56B9">
            <w:pPr>
              <w:rPr>
                <w:rFonts w:ascii="Arial" w:hAnsi="Arial" w:cs="Arial"/>
                <w:sz w:val="20"/>
                <w:szCs w:val="20"/>
              </w:rPr>
            </w:pPr>
            <w:r>
              <w:rPr>
                <w:rFonts w:ascii="Arial" w:hAnsi="Arial" w:cs="Arial"/>
                <w:sz w:val="20"/>
                <w:szCs w:val="20"/>
              </w:rPr>
              <w:t>LY offered to review the ROSPA portfolio</w:t>
            </w:r>
            <w:r w:rsidR="00EF55A0">
              <w:rPr>
                <w:rFonts w:ascii="Arial" w:hAnsi="Arial" w:cs="Arial"/>
                <w:sz w:val="20"/>
                <w:szCs w:val="20"/>
              </w:rPr>
              <w:t>, and overall compliance in terms of Health &amp; Safety legislation,</w:t>
            </w:r>
            <w:r>
              <w:rPr>
                <w:rFonts w:ascii="Arial" w:hAnsi="Arial" w:cs="Arial"/>
                <w:sz w:val="20"/>
                <w:szCs w:val="20"/>
              </w:rPr>
              <w:t xml:space="preserve"> to highlight to JP connections that may exist between that and the EMS.</w:t>
            </w:r>
          </w:p>
          <w:p w:rsidR="00EF55A0" w:rsidRDefault="00EF55A0" w:rsidP="009F56B9">
            <w:pPr>
              <w:rPr>
                <w:rFonts w:ascii="Arial" w:hAnsi="Arial" w:cs="Arial"/>
                <w:sz w:val="20"/>
                <w:szCs w:val="20"/>
              </w:rPr>
            </w:pPr>
          </w:p>
          <w:p w:rsidR="00EF55A0" w:rsidRDefault="00EF55A0" w:rsidP="009F56B9">
            <w:pPr>
              <w:rPr>
                <w:rFonts w:ascii="Arial" w:hAnsi="Arial" w:cs="Arial"/>
                <w:sz w:val="20"/>
                <w:szCs w:val="20"/>
              </w:rPr>
            </w:pPr>
            <w:r>
              <w:rPr>
                <w:rFonts w:ascii="Arial" w:hAnsi="Arial" w:cs="Arial"/>
                <w:sz w:val="20"/>
                <w:szCs w:val="20"/>
              </w:rPr>
              <w:t>In terms of project management, CA highlighted that aspects of environmental sustainability must be integrated into all project management templates across the University.</w:t>
            </w:r>
            <w:r w:rsidR="00CD459C">
              <w:rPr>
                <w:rFonts w:ascii="Arial" w:hAnsi="Arial" w:cs="Arial"/>
                <w:sz w:val="20"/>
                <w:szCs w:val="20"/>
              </w:rPr>
              <w:t xml:space="preserve">  Currently, within Information Services, there is no such connection.  GF did note though that within the digital strategy, consideration was made towards the type of TV’s bought for all campuses (around 70 units).</w:t>
            </w:r>
          </w:p>
          <w:p w:rsidR="00EF55A0" w:rsidRDefault="00EF55A0" w:rsidP="009F56B9">
            <w:pPr>
              <w:rPr>
                <w:rFonts w:ascii="Arial" w:hAnsi="Arial" w:cs="Arial"/>
                <w:sz w:val="20"/>
                <w:szCs w:val="20"/>
              </w:rPr>
            </w:pPr>
          </w:p>
          <w:p w:rsidR="00EF55A0" w:rsidRDefault="00EF55A0" w:rsidP="009F56B9">
            <w:pPr>
              <w:rPr>
                <w:rFonts w:ascii="Arial" w:hAnsi="Arial" w:cs="Arial"/>
                <w:sz w:val="20"/>
                <w:szCs w:val="20"/>
              </w:rPr>
            </w:pPr>
            <w:r>
              <w:rPr>
                <w:rFonts w:ascii="Arial" w:hAnsi="Arial" w:cs="Arial"/>
                <w:sz w:val="20"/>
                <w:szCs w:val="20"/>
              </w:rPr>
              <w:t xml:space="preserve">GF noted that with the statement “we will be environmentally and financially sustainable and resilient” published within the Strategy 2020 document and the proposed statements and direct references to the Environmental Management System within the draft Estates Strategy (to be published in </w:t>
            </w:r>
            <w:r w:rsidR="00CD459C">
              <w:rPr>
                <w:rFonts w:ascii="Arial" w:hAnsi="Arial" w:cs="Arial"/>
                <w:sz w:val="20"/>
                <w:szCs w:val="20"/>
              </w:rPr>
              <w:t>August 2015), there is an enhanced opportunity to highlight and integrate.</w:t>
            </w:r>
          </w:p>
          <w:p w:rsidR="00CD459C" w:rsidRDefault="00CD459C" w:rsidP="009F56B9">
            <w:pPr>
              <w:rPr>
                <w:rFonts w:ascii="Arial" w:hAnsi="Arial" w:cs="Arial"/>
                <w:sz w:val="20"/>
                <w:szCs w:val="20"/>
              </w:rPr>
            </w:pPr>
          </w:p>
          <w:p w:rsidR="00CD459C" w:rsidRDefault="00CD459C" w:rsidP="009F56B9">
            <w:pPr>
              <w:rPr>
                <w:rFonts w:ascii="Arial" w:hAnsi="Arial" w:cs="Arial"/>
                <w:sz w:val="20"/>
                <w:szCs w:val="20"/>
              </w:rPr>
            </w:pPr>
            <w:r>
              <w:rPr>
                <w:rFonts w:ascii="Arial" w:hAnsi="Arial" w:cs="Arial"/>
                <w:sz w:val="20"/>
                <w:szCs w:val="20"/>
              </w:rPr>
              <w:t>MH highlighted that there may also be an opportunity through the process of ethical clearance for research.  There’s no current reference to environmental impact.</w:t>
            </w:r>
          </w:p>
          <w:p w:rsidR="00CD459C" w:rsidRDefault="00CD459C" w:rsidP="009F56B9">
            <w:pPr>
              <w:rPr>
                <w:rFonts w:ascii="Arial" w:hAnsi="Arial" w:cs="Arial"/>
                <w:sz w:val="20"/>
                <w:szCs w:val="20"/>
              </w:rPr>
            </w:pPr>
          </w:p>
          <w:p w:rsidR="00CD459C" w:rsidRPr="009F56B9" w:rsidRDefault="00CD459C" w:rsidP="009F56B9">
            <w:pPr>
              <w:rPr>
                <w:rFonts w:ascii="Arial" w:hAnsi="Arial" w:cs="Arial"/>
                <w:sz w:val="20"/>
                <w:szCs w:val="20"/>
              </w:rPr>
            </w:pPr>
            <w:r>
              <w:rPr>
                <w:rFonts w:ascii="Arial" w:hAnsi="Arial" w:cs="Arial"/>
                <w:sz w:val="20"/>
                <w:szCs w:val="20"/>
              </w:rPr>
              <w:t>JP to send out the Environmental Management System Progress Review ENU-EMS-070 to all members ahead of the next ESAG meeting, specifically to highlight and discuss how key gaps in progress can be considered.</w:t>
            </w:r>
          </w:p>
          <w:p w:rsidR="009C3B56" w:rsidRPr="009F56B9" w:rsidRDefault="009C3B56" w:rsidP="009F56B9">
            <w:pPr>
              <w:rPr>
                <w:rFonts w:ascii="Arial" w:hAnsi="Arial" w:cs="Arial"/>
                <w:sz w:val="20"/>
                <w:szCs w:val="20"/>
              </w:rPr>
            </w:pPr>
          </w:p>
        </w:tc>
        <w:tc>
          <w:tcPr>
            <w:tcW w:w="912" w:type="dxa"/>
          </w:tcPr>
          <w:p w:rsidR="009C3B56" w:rsidRDefault="009C3B56"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1749B0">
            <w:pPr>
              <w:rPr>
                <w:rFonts w:ascii="Arial" w:hAnsi="Arial" w:cs="Arial"/>
                <w:sz w:val="20"/>
                <w:szCs w:val="20"/>
              </w:rPr>
            </w:pPr>
          </w:p>
          <w:p w:rsidR="006016AC" w:rsidRDefault="006016AC" w:rsidP="006016AC">
            <w:pPr>
              <w:jc w:val="center"/>
              <w:rPr>
                <w:rFonts w:ascii="Arial" w:hAnsi="Arial" w:cs="Arial"/>
                <w:sz w:val="20"/>
                <w:szCs w:val="20"/>
              </w:rPr>
            </w:pPr>
            <w:r>
              <w:rPr>
                <w:rFonts w:ascii="Arial" w:hAnsi="Arial" w:cs="Arial"/>
                <w:sz w:val="20"/>
                <w:szCs w:val="20"/>
              </w:rPr>
              <w:t>JP</w:t>
            </w:r>
          </w:p>
        </w:tc>
      </w:tr>
      <w:tr w:rsidR="00D32BD5" w:rsidTr="00236CC6">
        <w:tc>
          <w:tcPr>
            <w:tcW w:w="534" w:type="dxa"/>
          </w:tcPr>
          <w:p w:rsidR="00D32BD5" w:rsidRDefault="00D32BD5" w:rsidP="00236CC6">
            <w:pPr>
              <w:jc w:val="center"/>
              <w:rPr>
                <w:rFonts w:ascii="Arial" w:hAnsi="Arial" w:cs="Arial"/>
                <w:b/>
                <w:sz w:val="20"/>
                <w:szCs w:val="20"/>
              </w:rPr>
            </w:pPr>
            <w:r>
              <w:rPr>
                <w:rFonts w:ascii="Arial" w:hAnsi="Arial" w:cs="Arial"/>
                <w:b/>
                <w:sz w:val="20"/>
                <w:szCs w:val="20"/>
              </w:rPr>
              <w:t>6</w:t>
            </w:r>
          </w:p>
        </w:tc>
        <w:tc>
          <w:tcPr>
            <w:tcW w:w="7796" w:type="dxa"/>
          </w:tcPr>
          <w:p w:rsidR="00D32BD5" w:rsidRDefault="00CD459C" w:rsidP="001749B0">
            <w:pPr>
              <w:rPr>
                <w:rFonts w:ascii="Arial" w:hAnsi="Arial" w:cs="Arial"/>
                <w:b/>
                <w:sz w:val="20"/>
                <w:szCs w:val="20"/>
              </w:rPr>
            </w:pPr>
            <w:r>
              <w:rPr>
                <w:rFonts w:ascii="Arial" w:hAnsi="Arial" w:cs="Arial"/>
                <w:b/>
                <w:sz w:val="20"/>
                <w:szCs w:val="20"/>
              </w:rPr>
              <w:t>Green League</w:t>
            </w:r>
          </w:p>
          <w:p w:rsidR="00D32BD5" w:rsidRPr="00CD459C" w:rsidRDefault="00D32BD5" w:rsidP="001749B0">
            <w:pPr>
              <w:rPr>
                <w:rFonts w:ascii="Arial" w:hAnsi="Arial" w:cs="Arial"/>
                <w:sz w:val="20"/>
                <w:szCs w:val="20"/>
              </w:rPr>
            </w:pPr>
          </w:p>
          <w:p w:rsidR="000F384C" w:rsidRPr="00CD459C" w:rsidRDefault="00CD459C" w:rsidP="009F56B9">
            <w:pPr>
              <w:rPr>
                <w:rFonts w:ascii="Arial" w:hAnsi="Arial" w:cs="Arial"/>
                <w:sz w:val="20"/>
                <w:szCs w:val="20"/>
              </w:rPr>
            </w:pPr>
            <w:r w:rsidRPr="00CD459C">
              <w:rPr>
                <w:rFonts w:ascii="Arial" w:hAnsi="Arial" w:cs="Arial"/>
                <w:sz w:val="20"/>
                <w:szCs w:val="20"/>
              </w:rPr>
              <w:t>JP pro</w:t>
            </w:r>
            <w:r>
              <w:rPr>
                <w:rFonts w:ascii="Arial" w:hAnsi="Arial" w:cs="Arial"/>
                <w:sz w:val="20"/>
                <w:szCs w:val="20"/>
              </w:rPr>
              <w:t>vided an overview of Green League, using the matrix as a basis of conversation.  The League provided an interesting audit of University activity.</w:t>
            </w:r>
          </w:p>
          <w:p w:rsidR="009F56B9" w:rsidRDefault="009F56B9" w:rsidP="009F56B9">
            <w:pPr>
              <w:rPr>
                <w:rFonts w:ascii="Arial" w:hAnsi="Arial" w:cs="Arial"/>
                <w:b/>
                <w:sz w:val="20"/>
                <w:szCs w:val="20"/>
              </w:rPr>
            </w:pPr>
          </w:p>
        </w:tc>
        <w:tc>
          <w:tcPr>
            <w:tcW w:w="912" w:type="dxa"/>
          </w:tcPr>
          <w:p w:rsidR="00D32BD5" w:rsidRDefault="00D32BD5" w:rsidP="001749B0">
            <w:pPr>
              <w:rPr>
                <w:rFonts w:ascii="Arial" w:hAnsi="Arial" w:cs="Arial"/>
                <w:sz w:val="20"/>
                <w:szCs w:val="20"/>
              </w:rPr>
            </w:pPr>
          </w:p>
          <w:p w:rsidR="000F384C" w:rsidRDefault="000F384C" w:rsidP="001749B0">
            <w:pPr>
              <w:rPr>
                <w:rFonts w:ascii="Arial" w:hAnsi="Arial" w:cs="Arial"/>
                <w:sz w:val="20"/>
                <w:szCs w:val="20"/>
              </w:rPr>
            </w:pPr>
          </w:p>
          <w:p w:rsidR="009F56B9" w:rsidRDefault="009F56B9" w:rsidP="009F56B9">
            <w:pPr>
              <w:jc w:val="center"/>
              <w:rPr>
                <w:rFonts w:ascii="Arial" w:hAnsi="Arial" w:cs="Arial"/>
                <w:sz w:val="20"/>
                <w:szCs w:val="20"/>
              </w:rPr>
            </w:pPr>
          </w:p>
        </w:tc>
      </w:tr>
      <w:tr w:rsidR="00CD459C" w:rsidTr="00236CC6">
        <w:tc>
          <w:tcPr>
            <w:tcW w:w="534" w:type="dxa"/>
          </w:tcPr>
          <w:p w:rsidR="00CD459C" w:rsidRDefault="00CD459C" w:rsidP="00236CC6">
            <w:pPr>
              <w:jc w:val="center"/>
              <w:rPr>
                <w:rFonts w:ascii="Arial" w:hAnsi="Arial" w:cs="Arial"/>
                <w:b/>
                <w:sz w:val="20"/>
                <w:szCs w:val="20"/>
              </w:rPr>
            </w:pPr>
            <w:r>
              <w:rPr>
                <w:rFonts w:ascii="Arial" w:hAnsi="Arial" w:cs="Arial"/>
                <w:b/>
                <w:sz w:val="20"/>
                <w:szCs w:val="20"/>
              </w:rPr>
              <w:t>7</w:t>
            </w:r>
          </w:p>
        </w:tc>
        <w:tc>
          <w:tcPr>
            <w:tcW w:w="7796" w:type="dxa"/>
          </w:tcPr>
          <w:p w:rsidR="00CD459C" w:rsidRDefault="00CD459C" w:rsidP="001749B0">
            <w:pPr>
              <w:rPr>
                <w:rFonts w:ascii="Arial" w:hAnsi="Arial" w:cs="Arial"/>
                <w:b/>
                <w:sz w:val="20"/>
                <w:szCs w:val="20"/>
              </w:rPr>
            </w:pPr>
            <w:r>
              <w:rPr>
                <w:rFonts w:ascii="Arial" w:hAnsi="Arial" w:cs="Arial"/>
                <w:b/>
                <w:sz w:val="20"/>
                <w:szCs w:val="20"/>
              </w:rPr>
              <w:t>Energy Management</w:t>
            </w:r>
          </w:p>
          <w:p w:rsidR="00CD459C" w:rsidRDefault="00CD459C" w:rsidP="001749B0">
            <w:pPr>
              <w:rPr>
                <w:rFonts w:ascii="Arial" w:hAnsi="Arial" w:cs="Arial"/>
                <w:sz w:val="20"/>
                <w:szCs w:val="20"/>
              </w:rPr>
            </w:pPr>
          </w:p>
          <w:p w:rsidR="00CD459C" w:rsidRDefault="00CD459C" w:rsidP="001749B0">
            <w:pPr>
              <w:rPr>
                <w:rFonts w:ascii="Arial" w:hAnsi="Arial" w:cs="Arial"/>
                <w:sz w:val="20"/>
                <w:szCs w:val="20"/>
              </w:rPr>
            </w:pPr>
            <w:r>
              <w:rPr>
                <w:rFonts w:ascii="Arial" w:hAnsi="Arial" w:cs="Arial"/>
                <w:sz w:val="20"/>
                <w:szCs w:val="20"/>
              </w:rPr>
              <w:t>GF noted that interviews would be held soon for a new Energy &amp; Utilities Manager.</w:t>
            </w:r>
            <w:r w:rsidR="00787919">
              <w:rPr>
                <w:rFonts w:ascii="Arial" w:hAnsi="Arial" w:cs="Arial"/>
                <w:sz w:val="20"/>
                <w:szCs w:val="20"/>
              </w:rPr>
              <w:t xml:space="preserve">  Lighting is a focus area within 2014/15, with opportunities for LED being investigated at all campuses.</w:t>
            </w:r>
          </w:p>
          <w:p w:rsidR="00787919" w:rsidRPr="00CD459C" w:rsidRDefault="00787919" w:rsidP="001749B0">
            <w:pPr>
              <w:rPr>
                <w:rFonts w:ascii="Arial" w:hAnsi="Arial" w:cs="Arial"/>
                <w:sz w:val="20"/>
                <w:szCs w:val="20"/>
              </w:rPr>
            </w:pPr>
            <w:r>
              <w:rPr>
                <w:rFonts w:ascii="Arial" w:hAnsi="Arial" w:cs="Arial"/>
                <w:sz w:val="20"/>
                <w:szCs w:val="20"/>
              </w:rPr>
              <w:br/>
              <w:t>GF introduced the new 36kW array of solar panels, fixed recently to the roof of the boiler house at Sighthill.  This adds to the 150kW combined heat and power plant on the campus which together will ensure that a healthy proportion of the baseline is covered by renewable and more efficient forms of energy generation.</w:t>
            </w:r>
          </w:p>
          <w:p w:rsidR="00CD459C" w:rsidRDefault="00CD459C" w:rsidP="001749B0">
            <w:pPr>
              <w:rPr>
                <w:rFonts w:ascii="Arial" w:hAnsi="Arial" w:cs="Arial"/>
                <w:b/>
                <w:sz w:val="20"/>
                <w:szCs w:val="20"/>
              </w:rPr>
            </w:pPr>
          </w:p>
        </w:tc>
        <w:tc>
          <w:tcPr>
            <w:tcW w:w="912" w:type="dxa"/>
          </w:tcPr>
          <w:p w:rsidR="00CD459C" w:rsidRDefault="00CD459C" w:rsidP="001749B0">
            <w:pPr>
              <w:rPr>
                <w:rFonts w:ascii="Arial" w:hAnsi="Arial" w:cs="Arial"/>
                <w:sz w:val="20"/>
                <w:szCs w:val="20"/>
              </w:rPr>
            </w:pPr>
          </w:p>
        </w:tc>
      </w:tr>
      <w:tr w:rsidR="00787919" w:rsidTr="00236CC6">
        <w:tc>
          <w:tcPr>
            <w:tcW w:w="534" w:type="dxa"/>
          </w:tcPr>
          <w:p w:rsidR="00787919" w:rsidRDefault="00787919" w:rsidP="00236CC6">
            <w:pPr>
              <w:jc w:val="center"/>
              <w:rPr>
                <w:rFonts w:ascii="Arial" w:hAnsi="Arial" w:cs="Arial"/>
                <w:b/>
                <w:sz w:val="20"/>
                <w:szCs w:val="20"/>
              </w:rPr>
            </w:pPr>
            <w:r>
              <w:rPr>
                <w:rFonts w:ascii="Arial" w:hAnsi="Arial" w:cs="Arial"/>
                <w:b/>
                <w:sz w:val="20"/>
                <w:szCs w:val="20"/>
              </w:rPr>
              <w:lastRenderedPageBreak/>
              <w:t>8</w:t>
            </w:r>
          </w:p>
        </w:tc>
        <w:tc>
          <w:tcPr>
            <w:tcW w:w="7796" w:type="dxa"/>
          </w:tcPr>
          <w:p w:rsidR="00787919" w:rsidRDefault="00787919" w:rsidP="001749B0">
            <w:pPr>
              <w:rPr>
                <w:rFonts w:ascii="Arial" w:hAnsi="Arial" w:cs="Arial"/>
                <w:b/>
                <w:sz w:val="20"/>
                <w:szCs w:val="20"/>
              </w:rPr>
            </w:pPr>
            <w:r>
              <w:rPr>
                <w:rFonts w:ascii="Arial" w:hAnsi="Arial" w:cs="Arial"/>
                <w:b/>
                <w:sz w:val="20"/>
                <w:szCs w:val="20"/>
              </w:rPr>
              <w:t>Environmental Sustainability Conference</w:t>
            </w:r>
          </w:p>
          <w:p w:rsidR="00787919" w:rsidRDefault="00787919" w:rsidP="001749B0">
            <w:pPr>
              <w:rPr>
                <w:rFonts w:ascii="Arial" w:hAnsi="Arial" w:cs="Arial"/>
                <w:b/>
                <w:sz w:val="20"/>
                <w:szCs w:val="20"/>
              </w:rPr>
            </w:pPr>
          </w:p>
          <w:p w:rsidR="00787919" w:rsidRPr="00787919" w:rsidRDefault="00787919" w:rsidP="001749B0">
            <w:pPr>
              <w:rPr>
                <w:rFonts w:ascii="Arial" w:hAnsi="Arial" w:cs="Arial"/>
                <w:sz w:val="20"/>
                <w:szCs w:val="20"/>
              </w:rPr>
            </w:pPr>
            <w:r>
              <w:rPr>
                <w:rFonts w:ascii="Arial" w:hAnsi="Arial" w:cs="Arial"/>
                <w:sz w:val="20"/>
                <w:szCs w:val="20"/>
              </w:rPr>
              <w:t>It was discussed that the focus of the conference could be ‘towards platinum’, pulling together both academic and professional best practice throughout the University, to meet any gaps in terms of the Environmental Management System progression, especially communication, engagement and training.</w:t>
            </w:r>
          </w:p>
        </w:tc>
        <w:tc>
          <w:tcPr>
            <w:tcW w:w="912" w:type="dxa"/>
          </w:tcPr>
          <w:p w:rsidR="00787919" w:rsidRDefault="00787919" w:rsidP="001749B0">
            <w:pPr>
              <w:rPr>
                <w:rFonts w:ascii="Arial" w:hAnsi="Arial" w:cs="Arial"/>
                <w:sz w:val="20"/>
                <w:szCs w:val="20"/>
              </w:rPr>
            </w:pPr>
            <w:bookmarkStart w:id="0" w:name="_GoBack"/>
            <w:bookmarkEnd w:id="0"/>
          </w:p>
        </w:tc>
      </w:tr>
      <w:tr w:rsidR="0068315D" w:rsidTr="00236CC6">
        <w:tc>
          <w:tcPr>
            <w:tcW w:w="534" w:type="dxa"/>
          </w:tcPr>
          <w:p w:rsidR="0068315D" w:rsidRDefault="0068315D" w:rsidP="00236CC6">
            <w:pPr>
              <w:jc w:val="center"/>
              <w:rPr>
                <w:rFonts w:ascii="Arial" w:hAnsi="Arial" w:cs="Arial"/>
                <w:b/>
                <w:sz w:val="20"/>
                <w:szCs w:val="20"/>
              </w:rPr>
            </w:pPr>
            <w:r>
              <w:rPr>
                <w:rFonts w:ascii="Arial" w:hAnsi="Arial" w:cs="Arial"/>
                <w:b/>
                <w:sz w:val="20"/>
                <w:szCs w:val="20"/>
              </w:rPr>
              <w:t>9</w:t>
            </w:r>
          </w:p>
        </w:tc>
        <w:tc>
          <w:tcPr>
            <w:tcW w:w="7796" w:type="dxa"/>
          </w:tcPr>
          <w:p w:rsidR="0068315D" w:rsidRDefault="0068315D" w:rsidP="001749B0">
            <w:pPr>
              <w:rPr>
                <w:rFonts w:ascii="Arial" w:hAnsi="Arial" w:cs="Arial"/>
                <w:b/>
                <w:sz w:val="20"/>
                <w:szCs w:val="20"/>
              </w:rPr>
            </w:pPr>
            <w:r>
              <w:rPr>
                <w:rFonts w:ascii="Arial" w:hAnsi="Arial" w:cs="Arial"/>
                <w:b/>
                <w:sz w:val="20"/>
                <w:szCs w:val="20"/>
              </w:rPr>
              <w:t>AOCB</w:t>
            </w:r>
          </w:p>
          <w:p w:rsidR="0068315D" w:rsidRPr="0068315D" w:rsidRDefault="0068315D" w:rsidP="001749B0">
            <w:pPr>
              <w:rPr>
                <w:rFonts w:ascii="Arial" w:hAnsi="Arial" w:cs="Arial"/>
                <w:sz w:val="20"/>
                <w:szCs w:val="20"/>
              </w:rPr>
            </w:pPr>
          </w:p>
          <w:p w:rsidR="0068315D" w:rsidRDefault="0068315D" w:rsidP="001749B0">
            <w:pPr>
              <w:rPr>
                <w:rFonts w:ascii="Arial" w:hAnsi="Arial" w:cs="Arial"/>
                <w:b/>
                <w:sz w:val="20"/>
                <w:szCs w:val="20"/>
              </w:rPr>
            </w:pPr>
            <w:r>
              <w:rPr>
                <w:rFonts w:ascii="Arial" w:hAnsi="Arial" w:cs="Arial"/>
                <w:sz w:val="20"/>
                <w:szCs w:val="20"/>
              </w:rPr>
              <w:t>LY noted that she had recently attended the Scottish Higher Performance Forum and provided an update on environmental progression at the University.  LY had also provided information to engineering students covering a health, safety and the environment module at the University.  LY to send evidence of both to JP.</w:t>
            </w:r>
          </w:p>
        </w:tc>
        <w:tc>
          <w:tcPr>
            <w:tcW w:w="912" w:type="dxa"/>
          </w:tcPr>
          <w:p w:rsidR="0068315D" w:rsidRDefault="0068315D" w:rsidP="001749B0">
            <w:pPr>
              <w:rPr>
                <w:rFonts w:ascii="Arial" w:hAnsi="Arial" w:cs="Arial"/>
                <w:sz w:val="20"/>
                <w:szCs w:val="20"/>
              </w:rPr>
            </w:pPr>
          </w:p>
          <w:p w:rsidR="0044211C" w:rsidRDefault="0044211C" w:rsidP="001749B0">
            <w:pPr>
              <w:rPr>
                <w:rFonts w:ascii="Arial" w:hAnsi="Arial" w:cs="Arial"/>
                <w:sz w:val="20"/>
                <w:szCs w:val="20"/>
              </w:rPr>
            </w:pPr>
          </w:p>
          <w:p w:rsidR="0044211C" w:rsidRDefault="0044211C" w:rsidP="001749B0">
            <w:pPr>
              <w:rPr>
                <w:rFonts w:ascii="Arial" w:hAnsi="Arial" w:cs="Arial"/>
                <w:sz w:val="20"/>
                <w:szCs w:val="20"/>
              </w:rPr>
            </w:pPr>
          </w:p>
          <w:p w:rsidR="0044211C" w:rsidRDefault="0044211C" w:rsidP="001749B0">
            <w:pPr>
              <w:rPr>
                <w:rFonts w:ascii="Arial" w:hAnsi="Arial" w:cs="Arial"/>
                <w:sz w:val="20"/>
                <w:szCs w:val="20"/>
              </w:rPr>
            </w:pPr>
          </w:p>
          <w:p w:rsidR="0044211C" w:rsidRDefault="0044211C" w:rsidP="001749B0">
            <w:pPr>
              <w:rPr>
                <w:rFonts w:ascii="Arial" w:hAnsi="Arial" w:cs="Arial"/>
                <w:sz w:val="20"/>
                <w:szCs w:val="20"/>
              </w:rPr>
            </w:pPr>
          </w:p>
          <w:p w:rsidR="0044211C" w:rsidRDefault="0044211C" w:rsidP="0044211C">
            <w:pPr>
              <w:jc w:val="center"/>
              <w:rPr>
                <w:rFonts w:ascii="Arial" w:hAnsi="Arial" w:cs="Arial"/>
                <w:sz w:val="20"/>
                <w:szCs w:val="20"/>
              </w:rPr>
            </w:pPr>
            <w:r>
              <w:rPr>
                <w:rFonts w:ascii="Arial" w:hAnsi="Arial" w:cs="Arial"/>
                <w:sz w:val="20"/>
                <w:szCs w:val="20"/>
              </w:rPr>
              <w:t>LY</w:t>
            </w:r>
          </w:p>
        </w:tc>
      </w:tr>
    </w:tbl>
    <w:p w:rsidR="00564B4F" w:rsidRDefault="00564B4F" w:rsidP="001749B0">
      <w:pPr>
        <w:spacing w:after="0"/>
        <w:rPr>
          <w:rFonts w:ascii="Arial" w:hAnsi="Arial" w:cs="Arial"/>
          <w:sz w:val="20"/>
          <w:szCs w:val="20"/>
        </w:rPr>
      </w:pPr>
    </w:p>
    <w:p w:rsidR="0068315D" w:rsidRPr="001749B0" w:rsidRDefault="0068315D" w:rsidP="001749B0">
      <w:pPr>
        <w:spacing w:after="0"/>
        <w:rPr>
          <w:rFonts w:ascii="Arial" w:hAnsi="Arial" w:cs="Arial"/>
          <w:sz w:val="20"/>
          <w:szCs w:val="20"/>
        </w:rPr>
      </w:pPr>
      <w:r>
        <w:rPr>
          <w:rFonts w:ascii="Arial" w:hAnsi="Arial" w:cs="Arial"/>
          <w:sz w:val="20"/>
          <w:szCs w:val="20"/>
        </w:rPr>
        <w:t>Next Meeting:  Thursday 19 March 2015.  14:00 – 16:00.  6.B.16a, Sighthill.</w:t>
      </w:r>
    </w:p>
    <w:sectPr w:rsidR="0068315D" w:rsidRPr="0017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95A8D"/>
    <w:multiLevelType w:val="hybridMultilevel"/>
    <w:tmpl w:val="598E2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5069A"/>
    <w:rsid w:val="00074D5B"/>
    <w:rsid w:val="00081909"/>
    <w:rsid w:val="00084683"/>
    <w:rsid w:val="0009102A"/>
    <w:rsid w:val="000B008E"/>
    <w:rsid w:val="000F384C"/>
    <w:rsid w:val="0014571E"/>
    <w:rsid w:val="001749B0"/>
    <w:rsid w:val="001A04B8"/>
    <w:rsid w:val="001B4B9B"/>
    <w:rsid w:val="001C71AE"/>
    <w:rsid w:val="00236CC6"/>
    <w:rsid w:val="00262BC9"/>
    <w:rsid w:val="002710BC"/>
    <w:rsid w:val="00284665"/>
    <w:rsid w:val="00291362"/>
    <w:rsid w:val="00295C78"/>
    <w:rsid w:val="002B1966"/>
    <w:rsid w:val="002C411B"/>
    <w:rsid w:val="002C48D4"/>
    <w:rsid w:val="002D6FAD"/>
    <w:rsid w:val="0031227F"/>
    <w:rsid w:val="00316026"/>
    <w:rsid w:val="00340DEC"/>
    <w:rsid w:val="00355D49"/>
    <w:rsid w:val="003576A1"/>
    <w:rsid w:val="00374318"/>
    <w:rsid w:val="00383C75"/>
    <w:rsid w:val="003A295B"/>
    <w:rsid w:val="003B6EFA"/>
    <w:rsid w:val="003E1C16"/>
    <w:rsid w:val="003E401F"/>
    <w:rsid w:val="003E7AB6"/>
    <w:rsid w:val="00411F3A"/>
    <w:rsid w:val="0044211C"/>
    <w:rsid w:val="00450786"/>
    <w:rsid w:val="00463861"/>
    <w:rsid w:val="004B40ED"/>
    <w:rsid w:val="004F5DCD"/>
    <w:rsid w:val="00523055"/>
    <w:rsid w:val="005447DB"/>
    <w:rsid w:val="00564B4F"/>
    <w:rsid w:val="0056519C"/>
    <w:rsid w:val="005C15CD"/>
    <w:rsid w:val="006016AC"/>
    <w:rsid w:val="00616876"/>
    <w:rsid w:val="00676F91"/>
    <w:rsid w:val="0068315D"/>
    <w:rsid w:val="00685353"/>
    <w:rsid w:val="006C2DDE"/>
    <w:rsid w:val="006D33CD"/>
    <w:rsid w:val="00703E4A"/>
    <w:rsid w:val="00716D60"/>
    <w:rsid w:val="007274FF"/>
    <w:rsid w:val="00731D17"/>
    <w:rsid w:val="0076605F"/>
    <w:rsid w:val="0077636F"/>
    <w:rsid w:val="00787919"/>
    <w:rsid w:val="00787F53"/>
    <w:rsid w:val="007A5537"/>
    <w:rsid w:val="007B1B1E"/>
    <w:rsid w:val="007B31C2"/>
    <w:rsid w:val="007F1300"/>
    <w:rsid w:val="007F3244"/>
    <w:rsid w:val="008314B8"/>
    <w:rsid w:val="008609E0"/>
    <w:rsid w:val="00921938"/>
    <w:rsid w:val="009455DF"/>
    <w:rsid w:val="009915D9"/>
    <w:rsid w:val="00994C50"/>
    <w:rsid w:val="009C3B56"/>
    <w:rsid w:val="009F1788"/>
    <w:rsid w:val="009F56B9"/>
    <w:rsid w:val="00A03785"/>
    <w:rsid w:val="00A258F1"/>
    <w:rsid w:val="00A2782F"/>
    <w:rsid w:val="00A435B9"/>
    <w:rsid w:val="00A5622E"/>
    <w:rsid w:val="00A66235"/>
    <w:rsid w:val="00AC6D55"/>
    <w:rsid w:val="00AF38D5"/>
    <w:rsid w:val="00B003FD"/>
    <w:rsid w:val="00B6692B"/>
    <w:rsid w:val="00B81CBF"/>
    <w:rsid w:val="00B82F5B"/>
    <w:rsid w:val="00B93F1A"/>
    <w:rsid w:val="00BB65C2"/>
    <w:rsid w:val="00BE3D5A"/>
    <w:rsid w:val="00BF07C3"/>
    <w:rsid w:val="00C140F6"/>
    <w:rsid w:val="00C24F94"/>
    <w:rsid w:val="00C25731"/>
    <w:rsid w:val="00CA5E4D"/>
    <w:rsid w:val="00CC488F"/>
    <w:rsid w:val="00CD459C"/>
    <w:rsid w:val="00CD6BF5"/>
    <w:rsid w:val="00CD75B6"/>
    <w:rsid w:val="00CE1C3F"/>
    <w:rsid w:val="00CF42DC"/>
    <w:rsid w:val="00D32BD5"/>
    <w:rsid w:val="00D36292"/>
    <w:rsid w:val="00D6172E"/>
    <w:rsid w:val="00D8177E"/>
    <w:rsid w:val="00D824A6"/>
    <w:rsid w:val="00DC4374"/>
    <w:rsid w:val="00E541B4"/>
    <w:rsid w:val="00E55C46"/>
    <w:rsid w:val="00E63C1A"/>
    <w:rsid w:val="00EA0966"/>
    <w:rsid w:val="00EF0782"/>
    <w:rsid w:val="00EF3BCC"/>
    <w:rsid w:val="00EF55A0"/>
    <w:rsid w:val="00F509DD"/>
    <w:rsid w:val="00FB6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A8212A9-C5EB-4221-9D72-DE637D48FFB9}"/>
</file>

<file path=customXml/itemProps2.xml><?xml version="1.0" encoding="utf-8"?>
<ds:datastoreItem xmlns:ds="http://schemas.openxmlformats.org/officeDocument/2006/customXml" ds:itemID="{A79B3D4C-9A52-4295-B0D6-B09DE039AA63}"/>
</file>

<file path=customXml/itemProps3.xml><?xml version="1.0" encoding="utf-8"?>
<ds:datastoreItem xmlns:ds="http://schemas.openxmlformats.org/officeDocument/2006/customXml" ds:itemID="{D2B63B42-C0E2-43C7-BEF2-097BBDF61E76}"/>
</file>

<file path=customXml/itemProps4.xml><?xml version="1.0" encoding="utf-8"?>
<ds:datastoreItem xmlns:ds="http://schemas.openxmlformats.org/officeDocument/2006/customXml" ds:itemID="{2604E620-4EA4-416F-85EA-21D162000E36}"/>
</file>

<file path=docProps/app.xml><?xml version="1.0" encoding="utf-8"?>
<Properties xmlns="http://schemas.openxmlformats.org/officeDocument/2006/extended-properties" xmlns:vt="http://schemas.openxmlformats.org/officeDocument/2006/docPropsVTypes">
  <Template>Normal.dotm</Template>
  <TotalTime>240</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6</cp:revision>
  <dcterms:created xsi:type="dcterms:W3CDTF">2015-02-25T14:31:00Z</dcterms:created>
  <dcterms:modified xsi:type="dcterms:W3CDTF">2015-02-26T13:08:00Z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