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9B0" w:rsidRDefault="001749B0" w:rsidP="001749B0">
      <w:pPr>
        <w:spacing w:after="0"/>
      </w:pPr>
      <w:r w:rsidRPr="00FA35AD">
        <w:rPr>
          <w:rFonts w:ascii="Arial" w:hAnsi="Arial" w:cs="Arial"/>
          <w:b/>
          <w:noProof/>
          <w:lang w:eastAsia="en-GB"/>
        </w:rPr>
        <w:drawing>
          <wp:anchor distT="0" distB="0" distL="114300" distR="114300" simplePos="0" relativeHeight="251659264" behindDoc="1" locked="0" layoutInCell="1" allowOverlap="1" wp14:anchorId="0BE59FA9" wp14:editId="032AC0CF">
            <wp:simplePos x="0" y="0"/>
            <wp:positionH relativeFrom="page">
              <wp:posOffset>4905375</wp:posOffset>
            </wp:positionH>
            <wp:positionV relativeFrom="page">
              <wp:posOffset>532765</wp:posOffset>
            </wp:positionV>
            <wp:extent cx="2125980" cy="531495"/>
            <wp:effectExtent l="0" t="0" r="7620" b="1905"/>
            <wp:wrapNone/>
            <wp:docPr id="5" name="Picture 5"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U_Logo_be0f34"/>
                    <pic:cNvPicPr>
                      <a:picLocks noChangeAspect="1" noChangeArrowheads="1"/>
                    </pic:cNvPicPr>
                  </pic:nvPicPr>
                  <pic:blipFill>
                    <a:blip r:embed="rId5" cstate="print"/>
                    <a:srcRect/>
                    <a:stretch>
                      <a:fillRect/>
                    </a:stretch>
                  </pic:blipFill>
                  <pic:spPr bwMode="auto">
                    <a:xfrm>
                      <a:off x="0" y="0"/>
                      <a:ext cx="2125980" cy="531495"/>
                    </a:xfrm>
                    <a:prstGeom prst="rect">
                      <a:avLst/>
                    </a:prstGeom>
                    <a:noFill/>
                    <a:ln w="9525">
                      <a:noFill/>
                      <a:miter lim="800000"/>
                      <a:headEnd/>
                      <a:tailEnd/>
                    </a:ln>
                  </pic:spPr>
                </pic:pic>
              </a:graphicData>
            </a:graphic>
          </wp:anchor>
        </w:drawing>
      </w:r>
      <w:r w:rsidR="00523055">
        <w:t>**Unapproved**</w:t>
      </w:r>
      <w:bookmarkStart w:id="0" w:name="_GoBack"/>
      <w:bookmarkEnd w:id="0"/>
    </w:p>
    <w:p w:rsidR="001749B0" w:rsidRPr="001749B0" w:rsidRDefault="001749B0" w:rsidP="001749B0">
      <w:pPr>
        <w:spacing w:after="0"/>
        <w:rPr>
          <w:rFonts w:ascii="Arial" w:hAnsi="Arial" w:cs="Arial"/>
        </w:rPr>
      </w:pPr>
    </w:p>
    <w:p w:rsidR="001749B0" w:rsidRPr="001749B0" w:rsidRDefault="001749B0" w:rsidP="001749B0">
      <w:pPr>
        <w:spacing w:after="0"/>
        <w:rPr>
          <w:rFonts w:ascii="Arial" w:hAnsi="Arial" w:cs="Arial"/>
          <w:b/>
          <w:sz w:val="24"/>
          <w:szCs w:val="24"/>
        </w:rPr>
      </w:pPr>
      <w:r w:rsidRPr="001749B0">
        <w:rPr>
          <w:rFonts w:ascii="Arial" w:hAnsi="Arial" w:cs="Arial"/>
          <w:b/>
          <w:sz w:val="24"/>
          <w:szCs w:val="24"/>
        </w:rPr>
        <w:t>Environmental Sustainability Advisory Group (ESAG)</w:t>
      </w:r>
    </w:p>
    <w:p w:rsidR="00D824A6" w:rsidRPr="001749B0" w:rsidRDefault="00D824A6" w:rsidP="001749B0">
      <w:pPr>
        <w:spacing w:after="0"/>
        <w:rPr>
          <w:rFonts w:ascii="Arial" w:hAnsi="Arial" w:cs="Arial"/>
          <w:sz w:val="20"/>
          <w:szCs w:val="20"/>
        </w:rPr>
      </w:pPr>
    </w:p>
    <w:p w:rsidR="001749B0" w:rsidRPr="001749B0" w:rsidRDefault="001749B0" w:rsidP="001749B0">
      <w:pPr>
        <w:spacing w:after="0"/>
        <w:rPr>
          <w:rFonts w:ascii="Arial" w:hAnsi="Arial" w:cs="Arial"/>
          <w:sz w:val="20"/>
          <w:szCs w:val="20"/>
        </w:rPr>
      </w:pPr>
      <w:r w:rsidRPr="001749B0">
        <w:rPr>
          <w:rFonts w:ascii="Arial" w:hAnsi="Arial" w:cs="Arial"/>
          <w:sz w:val="20"/>
          <w:szCs w:val="20"/>
        </w:rPr>
        <w:t>Minut</w:t>
      </w:r>
      <w:r w:rsidR="00D6172E">
        <w:rPr>
          <w:rFonts w:ascii="Arial" w:hAnsi="Arial" w:cs="Arial"/>
          <w:sz w:val="20"/>
          <w:szCs w:val="20"/>
        </w:rPr>
        <w:t>es of the meeting:  Wednesday 19 March 2014, 11:3</w:t>
      </w:r>
      <w:r w:rsidRPr="001749B0">
        <w:rPr>
          <w:rFonts w:ascii="Arial" w:hAnsi="Arial" w:cs="Arial"/>
          <w:sz w:val="20"/>
          <w:szCs w:val="20"/>
        </w:rPr>
        <w:t>0</w:t>
      </w:r>
    </w:p>
    <w:p w:rsidR="001749B0" w:rsidRDefault="001749B0" w:rsidP="001749B0">
      <w:pPr>
        <w:spacing w:after="0"/>
        <w:ind w:left="1440" w:firstLine="720"/>
        <w:rPr>
          <w:rFonts w:ascii="Arial" w:hAnsi="Arial" w:cs="Arial"/>
          <w:sz w:val="20"/>
          <w:szCs w:val="20"/>
        </w:rPr>
      </w:pPr>
      <w:r>
        <w:rPr>
          <w:rFonts w:ascii="Arial" w:hAnsi="Arial" w:cs="Arial"/>
          <w:sz w:val="20"/>
          <w:szCs w:val="20"/>
        </w:rPr>
        <w:t xml:space="preserve"> </w:t>
      </w:r>
      <w:r w:rsidR="00D6172E">
        <w:rPr>
          <w:rFonts w:ascii="Arial" w:hAnsi="Arial" w:cs="Arial"/>
          <w:sz w:val="20"/>
          <w:szCs w:val="20"/>
        </w:rPr>
        <w:t>Room 6.B.14</w:t>
      </w:r>
      <w:r w:rsidRPr="001749B0">
        <w:rPr>
          <w:rFonts w:ascii="Arial" w:hAnsi="Arial" w:cs="Arial"/>
          <w:sz w:val="20"/>
          <w:szCs w:val="20"/>
        </w:rPr>
        <w:t>, Sighthill</w:t>
      </w:r>
    </w:p>
    <w:p w:rsidR="001749B0" w:rsidRDefault="001749B0" w:rsidP="001749B0">
      <w:pPr>
        <w:spacing w:after="0"/>
        <w:rPr>
          <w:rFonts w:ascii="Arial" w:hAnsi="Arial" w:cs="Arial"/>
          <w:sz w:val="20"/>
          <w:szCs w:val="20"/>
        </w:rPr>
      </w:pPr>
    </w:p>
    <w:p w:rsidR="001749B0" w:rsidRPr="00236CC6" w:rsidRDefault="001749B0" w:rsidP="001749B0">
      <w:pPr>
        <w:spacing w:after="0"/>
        <w:rPr>
          <w:rFonts w:ascii="Arial" w:hAnsi="Arial" w:cs="Arial"/>
          <w:b/>
          <w:sz w:val="20"/>
          <w:szCs w:val="20"/>
        </w:rPr>
      </w:pPr>
      <w:r w:rsidRPr="00236CC6">
        <w:rPr>
          <w:rFonts w:ascii="Arial" w:hAnsi="Arial" w:cs="Arial"/>
          <w:b/>
          <w:sz w:val="20"/>
          <w:szCs w:val="20"/>
        </w:rPr>
        <w:t>Present</w:t>
      </w:r>
    </w:p>
    <w:tbl>
      <w:tblPr>
        <w:tblStyle w:val="TableGrid"/>
        <w:tblW w:w="0" w:type="auto"/>
        <w:tblLook w:val="04A0" w:firstRow="1" w:lastRow="0" w:firstColumn="1" w:lastColumn="0" w:noHBand="0" w:noVBand="1"/>
      </w:tblPr>
      <w:tblGrid>
        <w:gridCol w:w="1629"/>
        <w:gridCol w:w="567"/>
        <w:gridCol w:w="3469"/>
        <w:gridCol w:w="3351"/>
      </w:tblGrid>
      <w:tr w:rsidR="001749B0" w:rsidTr="007B1B1E">
        <w:tc>
          <w:tcPr>
            <w:tcW w:w="1629" w:type="dxa"/>
          </w:tcPr>
          <w:p w:rsidR="001749B0" w:rsidRPr="009455DF" w:rsidRDefault="001749B0" w:rsidP="001749B0">
            <w:pPr>
              <w:rPr>
                <w:rFonts w:ascii="Arial" w:hAnsi="Arial" w:cs="Arial"/>
                <w:sz w:val="20"/>
                <w:szCs w:val="20"/>
              </w:rPr>
            </w:pPr>
            <w:r w:rsidRPr="009455DF">
              <w:rPr>
                <w:rFonts w:ascii="Arial" w:hAnsi="Arial" w:cs="Arial"/>
                <w:sz w:val="20"/>
                <w:szCs w:val="20"/>
              </w:rPr>
              <w:t>David Campbell</w:t>
            </w:r>
          </w:p>
        </w:tc>
        <w:tc>
          <w:tcPr>
            <w:tcW w:w="567" w:type="dxa"/>
          </w:tcPr>
          <w:p w:rsidR="001749B0" w:rsidRDefault="001749B0" w:rsidP="001749B0">
            <w:pPr>
              <w:rPr>
                <w:rFonts w:ascii="Arial" w:hAnsi="Arial" w:cs="Arial"/>
                <w:sz w:val="20"/>
                <w:szCs w:val="20"/>
              </w:rPr>
            </w:pPr>
            <w:r>
              <w:rPr>
                <w:rFonts w:ascii="Arial" w:hAnsi="Arial" w:cs="Arial"/>
                <w:sz w:val="20"/>
                <w:szCs w:val="20"/>
              </w:rPr>
              <w:t>DC</w:t>
            </w:r>
          </w:p>
        </w:tc>
        <w:tc>
          <w:tcPr>
            <w:tcW w:w="3469" w:type="dxa"/>
          </w:tcPr>
          <w:p w:rsidR="001749B0" w:rsidRDefault="001749B0" w:rsidP="001749B0">
            <w:pPr>
              <w:rPr>
                <w:rFonts w:ascii="Arial" w:hAnsi="Arial" w:cs="Arial"/>
                <w:sz w:val="20"/>
                <w:szCs w:val="20"/>
              </w:rPr>
            </w:pPr>
            <w:r>
              <w:rPr>
                <w:rFonts w:ascii="Arial" w:hAnsi="Arial" w:cs="Arial"/>
                <w:sz w:val="20"/>
                <w:szCs w:val="20"/>
              </w:rPr>
              <w:t>Head of Procurement</w:t>
            </w:r>
          </w:p>
        </w:tc>
        <w:tc>
          <w:tcPr>
            <w:tcW w:w="3351" w:type="dxa"/>
          </w:tcPr>
          <w:p w:rsidR="001749B0" w:rsidRDefault="007B1B1E" w:rsidP="001749B0">
            <w:pPr>
              <w:rPr>
                <w:rFonts w:ascii="Arial" w:hAnsi="Arial" w:cs="Arial"/>
                <w:sz w:val="20"/>
                <w:szCs w:val="20"/>
              </w:rPr>
            </w:pPr>
            <w:r>
              <w:rPr>
                <w:rFonts w:ascii="Arial" w:hAnsi="Arial" w:cs="Arial"/>
                <w:sz w:val="20"/>
                <w:szCs w:val="20"/>
              </w:rPr>
              <w:t>Finance &amp;</w:t>
            </w:r>
            <w:r w:rsidR="001749B0">
              <w:rPr>
                <w:rFonts w:ascii="Arial" w:hAnsi="Arial" w:cs="Arial"/>
                <w:sz w:val="20"/>
                <w:szCs w:val="20"/>
              </w:rPr>
              <w:t xml:space="preserve"> Commercial Services</w:t>
            </w:r>
          </w:p>
        </w:tc>
      </w:tr>
      <w:tr w:rsidR="001749B0" w:rsidTr="007B1B1E">
        <w:tc>
          <w:tcPr>
            <w:tcW w:w="1629" w:type="dxa"/>
          </w:tcPr>
          <w:p w:rsidR="001749B0" w:rsidRPr="009455DF" w:rsidRDefault="001749B0" w:rsidP="001749B0">
            <w:pPr>
              <w:rPr>
                <w:rFonts w:ascii="Arial" w:hAnsi="Arial" w:cs="Arial"/>
                <w:sz w:val="20"/>
                <w:szCs w:val="20"/>
              </w:rPr>
            </w:pPr>
            <w:r w:rsidRPr="009455DF">
              <w:rPr>
                <w:rFonts w:ascii="Arial" w:hAnsi="Arial" w:cs="Arial"/>
                <w:sz w:val="20"/>
                <w:szCs w:val="20"/>
              </w:rPr>
              <w:t>Gerry Webber</w:t>
            </w:r>
          </w:p>
        </w:tc>
        <w:tc>
          <w:tcPr>
            <w:tcW w:w="567" w:type="dxa"/>
          </w:tcPr>
          <w:p w:rsidR="001749B0" w:rsidRDefault="001749B0" w:rsidP="001749B0">
            <w:pPr>
              <w:rPr>
                <w:rFonts w:ascii="Arial" w:hAnsi="Arial" w:cs="Arial"/>
                <w:sz w:val="20"/>
                <w:szCs w:val="20"/>
              </w:rPr>
            </w:pPr>
            <w:r>
              <w:rPr>
                <w:rFonts w:ascii="Arial" w:hAnsi="Arial" w:cs="Arial"/>
                <w:sz w:val="20"/>
                <w:szCs w:val="20"/>
              </w:rPr>
              <w:t>GW</w:t>
            </w:r>
          </w:p>
        </w:tc>
        <w:tc>
          <w:tcPr>
            <w:tcW w:w="3469" w:type="dxa"/>
          </w:tcPr>
          <w:p w:rsidR="001749B0" w:rsidRDefault="001749B0" w:rsidP="001749B0">
            <w:pPr>
              <w:rPr>
                <w:rFonts w:ascii="Arial" w:hAnsi="Arial" w:cs="Arial"/>
                <w:sz w:val="20"/>
                <w:szCs w:val="20"/>
              </w:rPr>
            </w:pPr>
            <w:r>
              <w:rPr>
                <w:rFonts w:ascii="Arial" w:hAnsi="Arial" w:cs="Arial"/>
                <w:sz w:val="20"/>
                <w:szCs w:val="20"/>
              </w:rPr>
              <w:t>University Secretary (Chair)</w:t>
            </w:r>
          </w:p>
        </w:tc>
        <w:tc>
          <w:tcPr>
            <w:tcW w:w="3351" w:type="dxa"/>
          </w:tcPr>
          <w:p w:rsidR="001749B0" w:rsidRDefault="001749B0" w:rsidP="001749B0">
            <w:pPr>
              <w:rPr>
                <w:rFonts w:ascii="Arial" w:hAnsi="Arial" w:cs="Arial"/>
                <w:sz w:val="20"/>
                <w:szCs w:val="20"/>
              </w:rPr>
            </w:pPr>
            <w:r>
              <w:rPr>
                <w:rFonts w:ascii="Arial" w:hAnsi="Arial" w:cs="Arial"/>
                <w:sz w:val="20"/>
                <w:szCs w:val="20"/>
              </w:rPr>
              <w:t>University Secretary’s Group</w:t>
            </w:r>
          </w:p>
        </w:tc>
      </w:tr>
      <w:tr w:rsidR="009455DF" w:rsidTr="007B1B1E">
        <w:tc>
          <w:tcPr>
            <w:tcW w:w="1629" w:type="dxa"/>
          </w:tcPr>
          <w:p w:rsidR="009455DF" w:rsidRPr="009455DF" w:rsidRDefault="009455DF" w:rsidP="001749B0">
            <w:pPr>
              <w:rPr>
                <w:rFonts w:ascii="Arial" w:hAnsi="Arial" w:cs="Arial"/>
                <w:sz w:val="20"/>
                <w:szCs w:val="20"/>
              </w:rPr>
            </w:pPr>
            <w:r w:rsidRPr="009455DF">
              <w:rPr>
                <w:rFonts w:ascii="Arial" w:hAnsi="Arial" w:cs="Arial"/>
                <w:sz w:val="20"/>
                <w:szCs w:val="20"/>
              </w:rPr>
              <w:t>Grant Ferguson</w:t>
            </w:r>
          </w:p>
        </w:tc>
        <w:tc>
          <w:tcPr>
            <w:tcW w:w="567" w:type="dxa"/>
          </w:tcPr>
          <w:p w:rsidR="009455DF" w:rsidRDefault="009455DF" w:rsidP="001749B0">
            <w:pPr>
              <w:rPr>
                <w:rFonts w:ascii="Arial" w:hAnsi="Arial" w:cs="Arial"/>
                <w:sz w:val="20"/>
                <w:szCs w:val="20"/>
              </w:rPr>
            </w:pPr>
            <w:r>
              <w:rPr>
                <w:rFonts w:ascii="Arial" w:hAnsi="Arial" w:cs="Arial"/>
                <w:sz w:val="20"/>
                <w:szCs w:val="20"/>
              </w:rPr>
              <w:t>GF</w:t>
            </w:r>
          </w:p>
        </w:tc>
        <w:tc>
          <w:tcPr>
            <w:tcW w:w="3469" w:type="dxa"/>
          </w:tcPr>
          <w:p w:rsidR="009455DF" w:rsidRDefault="009455DF" w:rsidP="001749B0">
            <w:pPr>
              <w:rPr>
                <w:rFonts w:ascii="Arial" w:hAnsi="Arial" w:cs="Arial"/>
                <w:sz w:val="20"/>
                <w:szCs w:val="20"/>
              </w:rPr>
            </w:pPr>
            <w:r>
              <w:rPr>
                <w:rFonts w:ascii="Arial" w:hAnsi="Arial" w:cs="Arial"/>
                <w:sz w:val="20"/>
                <w:szCs w:val="20"/>
              </w:rPr>
              <w:t>Assistant Director</w:t>
            </w:r>
          </w:p>
        </w:tc>
        <w:tc>
          <w:tcPr>
            <w:tcW w:w="3351" w:type="dxa"/>
          </w:tcPr>
          <w:p w:rsidR="009455DF" w:rsidRDefault="009455DF" w:rsidP="001749B0">
            <w:pPr>
              <w:rPr>
                <w:rFonts w:ascii="Arial" w:hAnsi="Arial" w:cs="Arial"/>
                <w:sz w:val="20"/>
                <w:szCs w:val="20"/>
              </w:rPr>
            </w:pPr>
            <w:r>
              <w:rPr>
                <w:rFonts w:ascii="Arial" w:hAnsi="Arial" w:cs="Arial"/>
                <w:sz w:val="20"/>
                <w:szCs w:val="20"/>
              </w:rPr>
              <w:t>Property &amp; Facilities</w:t>
            </w:r>
          </w:p>
        </w:tc>
      </w:tr>
      <w:tr w:rsidR="001749B0" w:rsidTr="007B1B1E">
        <w:tc>
          <w:tcPr>
            <w:tcW w:w="1629" w:type="dxa"/>
          </w:tcPr>
          <w:p w:rsidR="001749B0" w:rsidRPr="009455DF" w:rsidRDefault="001749B0" w:rsidP="001749B0">
            <w:pPr>
              <w:rPr>
                <w:rFonts w:ascii="Arial" w:hAnsi="Arial" w:cs="Arial"/>
                <w:sz w:val="20"/>
                <w:szCs w:val="20"/>
              </w:rPr>
            </w:pPr>
            <w:r w:rsidRPr="009455DF">
              <w:rPr>
                <w:rFonts w:ascii="Arial" w:hAnsi="Arial" w:cs="Arial"/>
                <w:sz w:val="20"/>
                <w:szCs w:val="20"/>
              </w:rPr>
              <w:t>Jamie Pearson</w:t>
            </w:r>
          </w:p>
        </w:tc>
        <w:tc>
          <w:tcPr>
            <w:tcW w:w="567" w:type="dxa"/>
          </w:tcPr>
          <w:p w:rsidR="001749B0" w:rsidRDefault="001749B0" w:rsidP="001749B0">
            <w:pPr>
              <w:rPr>
                <w:rFonts w:ascii="Arial" w:hAnsi="Arial" w:cs="Arial"/>
                <w:sz w:val="20"/>
                <w:szCs w:val="20"/>
              </w:rPr>
            </w:pPr>
            <w:r>
              <w:rPr>
                <w:rFonts w:ascii="Arial" w:hAnsi="Arial" w:cs="Arial"/>
                <w:sz w:val="20"/>
                <w:szCs w:val="20"/>
              </w:rPr>
              <w:t>JP</w:t>
            </w:r>
          </w:p>
        </w:tc>
        <w:tc>
          <w:tcPr>
            <w:tcW w:w="3469" w:type="dxa"/>
          </w:tcPr>
          <w:p w:rsidR="001749B0" w:rsidRDefault="007B1B1E" w:rsidP="001749B0">
            <w:pPr>
              <w:rPr>
                <w:rFonts w:ascii="Arial" w:hAnsi="Arial" w:cs="Arial"/>
                <w:sz w:val="20"/>
                <w:szCs w:val="20"/>
              </w:rPr>
            </w:pPr>
            <w:r>
              <w:rPr>
                <w:rFonts w:ascii="Arial" w:hAnsi="Arial" w:cs="Arial"/>
                <w:sz w:val="20"/>
                <w:szCs w:val="20"/>
              </w:rPr>
              <w:t>Sustainability/</w:t>
            </w:r>
            <w:r w:rsidR="001749B0">
              <w:rPr>
                <w:rFonts w:ascii="Arial" w:hAnsi="Arial" w:cs="Arial"/>
                <w:sz w:val="20"/>
                <w:szCs w:val="20"/>
              </w:rPr>
              <w:t>Environmental Advisor</w:t>
            </w:r>
          </w:p>
        </w:tc>
        <w:tc>
          <w:tcPr>
            <w:tcW w:w="3351" w:type="dxa"/>
          </w:tcPr>
          <w:p w:rsidR="001749B0" w:rsidRDefault="001749B0" w:rsidP="001749B0">
            <w:pPr>
              <w:rPr>
                <w:rFonts w:ascii="Arial" w:hAnsi="Arial" w:cs="Arial"/>
                <w:sz w:val="20"/>
                <w:szCs w:val="20"/>
              </w:rPr>
            </w:pPr>
            <w:r>
              <w:rPr>
                <w:rFonts w:ascii="Arial" w:hAnsi="Arial" w:cs="Arial"/>
                <w:sz w:val="20"/>
                <w:szCs w:val="20"/>
              </w:rPr>
              <w:t>Property &amp; Facilities</w:t>
            </w:r>
          </w:p>
        </w:tc>
      </w:tr>
      <w:tr w:rsidR="001749B0" w:rsidTr="007B1B1E">
        <w:tc>
          <w:tcPr>
            <w:tcW w:w="1629" w:type="dxa"/>
          </w:tcPr>
          <w:p w:rsidR="001749B0" w:rsidRPr="009455DF" w:rsidRDefault="001749B0" w:rsidP="001749B0">
            <w:pPr>
              <w:rPr>
                <w:rFonts w:ascii="Arial" w:hAnsi="Arial" w:cs="Arial"/>
                <w:sz w:val="20"/>
                <w:szCs w:val="20"/>
              </w:rPr>
            </w:pPr>
            <w:r w:rsidRPr="009455DF">
              <w:rPr>
                <w:rFonts w:ascii="Arial" w:hAnsi="Arial" w:cs="Arial"/>
                <w:sz w:val="20"/>
                <w:szCs w:val="20"/>
              </w:rPr>
              <w:t>Mark Huxham</w:t>
            </w:r>
          </w:p>
        </w:tc>
        <w:tc>
          <w:tcPr>
            <w:tcW w:w="567" w:type="dxa"/>
          </w:tcPr>
          <w:p w:rsidR="001749B0" w:rsidRDefault="001749B0" w:rsidP="001749B0">
            <w:pPr>
              <w:rPr>
                <w:rFonts w:ascii="Arial" w:hAnsi="Arial" w:cs="Arial"/>
                <w:sz w:val="20"/>
                <w:szCs w:val="20"/>
              </w:rPr>
            </w:pPr>
            <w:r>
              <w:rPr>
                <w:rFonts w:ascii="Arial" w:hAnsi="Arial" w:cs="Arial"/>
                <w:sz w:val="20"/>
                <w:szCs w:val="20"/>
              </w:rPr>
              <w:t>MH</w:t>
            </w:r>
          </w:p>
        </w:tc>
        <w:tc>
          <w:tcPr>
            <w:tcW w:w="3469" w:type="dxa"/>
          </w:tcPr>
          <w:p w:rsidR="001749B0" w:rsidRDefault="001749B0" w:rsidP="001749B0">
            <w:pPr>
              <w:rPr>
                <w:rFonts w:ascii="Arial" w:hAnsi="Arial" w:cs="Arial"/>
                <w:sz w:val="20"/>
                <w:szCs w:val="20"/>
              </w:rPr>
            </w:pPr>
            <w:r>
              <w:rPr>
                <w:rFonts w:ascii="Arial" w:hAnsi="Arial" w:cs="Arial"/>
                <w:sz w:val="20"/>
                <w:szCs w:val="20"/>
              </w:rPr>
              <w:t>Professor</w:t>
            </w:r>
          </w:p>
        </w:tc>
        <w:tc>
          <w:tcPr>
            <w:tcW w:w="3351" w:type="dxa"/>
          </w:tcPr>
          <w:p w:rsidR="001749B0" w:rsidRDefault="001749B0" w:rsidP="001749B0">
            <w:pPr>
              <w:rPr>
                <w:rFonts w:ascii="Arial" w:hAnsi="Arial" w:cs="Arial"/>
                <w:sz w:val="20"/>
                <w:szCs w:val="20"/>
              </w:rPr>
            </w:pPr>
            <w:r>
              <w:rPr>
                <w:rFonts w:ascii="Arial" w:hAnsi="Arial" w:cs="Arial"/>
                <w:sz w:val="20"/>
                <w:szCs w:val="20"/>
              </w:rPr>
              <w:t>FHLSS</w:t>
            </w:r>
          </w:p>
        </w:tc>
      </w:tr>
      <w:tr w:rsidR="001749B0" w:rsidTr="007B1B1E">
        <w:tc>
          <w:tcPr>
            <w:tcW w:w="1629" w:type="dxa"/>
          </w:tcPr>
          <w:p w:rsidR="001749B0" w:rsidRPr="009455DF" w:rsidRDefault="001749B0" w:rsidP="001749B0">
            <w:pPr>
              <w:rPr>
                <w:rFonts w:ascii="Arial" w:hAnsi="Arial" w:cs="Arial"/>
                <w:sz w:val="20"/>
                <w:szCs w:val="20"/>
              </w:rPr>
            </w:pPr>
            <w:r w:rsidRPr="009455DF">
              <w:rPr>
                <w:rFonts w:ascii="Arial" w:hAnsi="Arial" w:cs="Arial"/>
                <w:sz w:val="20"/>
                <w:szCs w:val="20"/>
              </w:rPr>
              <w:t>Richard Cebula</w:t>
            </w:r>
          </w:p>
        </w:tc>
        <w:tc>
          <w:tcPr>
            <w:tcW w:w="567" w:type="dxa"/>
          </w:tcPr>
          <w:p w:rsidR="001749B0" w:rsidRDefault="001749B0" w:rsidP="001749B0">
            <w:pPr>
              <w:rPr>
                <w:rFonts w:ascii="Arial" w:hAnsi="Arial" w:cs="Arial"/>
                <w:sz w:val="20"/>
                <w:szCs w:val="20"/>
              </w:rPr>
            </w:pPr>
            <w:r>
              <w:rPr>
                <w:rFonts w:ascii="Arial" w:hAnsi="Arial" w:cs="Arial"/>
                <w:sz w:val="20"/>
                <w:szCs w:val="20"/>
              </w:rPr>
              <w:t>RC</w:t>
            </w:r>
          </w:p>
        </w:tc>
        <w:tc>
          <w:tcPr>
            <w:tcW w:w="3469" w:type="dxa"/>
          </w:tcPr>
          <w:p w:rsidR="001749B0" w:rsidRDefault="001749B0" w:rsidP="001749B0">
            <w:pPr>
              <w:rPr>
                <w:rFonts w:ascii="Arial" w:hAnsi="Arial" w:cs="Arial"/>
                <w:sz w:val="20"/>
                <w:szCs w:val="20"/>
              </w:rPr>
            </w:pPr>
            <w:r>
              <w:rPr>
                <w:rFonts w:ascii="Arial" w:hAnsi="Arial" w:cs="Arial"/>
                <w:sz w:val="20"/>
                <w:szCs w:val="20"/>
              </w:rPr>
              <w:t>Energy &amp; Utilities Manager</w:t>
            </w:r>
          </w:p>
        </w:tc>
        <w:tc>
          <w:tcPr>
            <w:tcW w:w="3351" w:type="dxa"/>
          </w:tcPr>
          <w:p w:rsidR="001749B0" w:rsidRDefault="001749B0" w:rsidP="001749B0">
            <w:pPr>
              <w:rPr>
                <w:rFonts w:ascii="Arial" w:hAnsi="Arial" w:cs="Arial"/>
                <w:sz w:val="20"/>
                <w:szCs w:val="20"/>
              </w:rPr>
            </w:pPr>
            <w:r>
              <w:rPr>
                <w:rFonts w:ascii="Arial" w:hAnsi="Arial" w:cs="Arial"/>
                <w:sz w:val="20"/>
                <w:szCs w:val="20"/>
              </w:rPr>
              <w:t>Property &amp; Facilities</w:t>
            </w:r>
          </w:p>
        </w:tc>
      </w:tr>
      <w:tr w:rsidR="00E63C1A" w:rsidTr="007B1B1E">
        <w:tc>
          <w:tcPr>
            <w:tcW w:w="1629" w:type="dxa"/>
          </w:tcPr>
          <w:p w:rsidR="00E63C1A" w:rsidRPr="009455DF" w:rsidRDefault="00E63C1A" w:rsidP="001749B0">
            <w:pPr>
              <w:rPr>
                <w:rFonts w:ascii="Arial" w:hAnsi="Arial" w:cs="Arial"/>
                <w:sz w:val="20"/>
                <w:szCs w:val="20"/>
              </w:rPr>
            </w:pPr>
            <w:r>
              <w:rPr>
                <w:rFonts w:ascii="Arial" w:hAnsi="Arial" w:cs="Arial"/>
                <w:sz w:val="20"/>
                <w:szCs w:val="20"/>
              </w:rPr>
              <w:t>Sean Hughes</w:t>
            </w:r>
          </w:p>
        </w:tc>
        <w:tc>
          <w:tcPr>
            <w:tcW w:w="567" w:type="dxa"/>
          </w:tcPr>
          <w:p w:rsidR="00E63C1A" w:rsidRDefault="00E63C1A" w:rsidP="001749B0">
            <w:pPr>
              <w:rPr>
                <w:rFonts w:ascii="Arial" w:hAnsi="Arial" w:cs="Arial"/>
                <w:sz w:val="20"/>
                <w:szCs w:val="20"/>
              </w:rPr>
            </w:pPr>
            <w:r>
              <w:rPr>
                <w:rFonts w:ascii="Arial" w:hAnsi="Arial" w:cs="Arial"/>
                <w:sz w:val="20"/>
                <w:szCs w:val="20"/>
              </w:rPr>
              <w:t>SH</w:t>
            </w:r>
          </w:p>
        </w:tc>
        <w:tc>
          <w:tcPr>
            <w:tcW w:w="3469" w:type="dxa"/>
          </w:tcPr>
          <w:p w:rsidR="00E63C1A" w:rsidRDefault="00E63C1A" w:rsidP="001749B0">
            <w:pPr>
              <w:rPr>
                <w:rFonts w:ascii="Arial" w:hAnsi="Arial" w:cs="Arial"/>
                <w:sz w:val="20"/>
                <w:szCs w:val="20"/>
              </w:rPr>
            </w:pPr>
            <w:r>
              <w:rPr>
                <w:rFonts w:ascii="Arial" w:hAnsi="Arial" w:cs="Arial"/>
                <w:sz w:val="20"/>
                <w:szCs w:val="20"/>
              </w:rPr>
              <w:t>Health and Safety Adviser</w:t>
            </w:r>
          </w:p>
        </w:tc>
        <w:tc>
          <w:tcPr>
            <w:tcW w:w="3351" w:type="dxa"/>
          </w:tcPr>
          <w:p w:rsidR="00E63C1A" w:rsidRDefault="007B1B1E" w:rsidP="001749B0">
            <w:pPr>
              <w:rPr>
                <w:rFonts w:ascii="Arial" w:hAnsi="Arial" w:cs="Arial"/>
                <w:sz w:val="20"/>
                <w:szCs w:val="20"/>
              </w:rPr>
            </w:pPr>
            <w:r>
              <w:rPr>
                <w:rFonts w:ascii="Arial" w:hAnsi="Arial" w:cs="Arial"/>
                <w:sz w:val="20"/>
                <w:szCs w:val="20"/>
              </w:rPr>
              <w:t>Human Resources &amp; Development</w:t>
            </w:r>
          </w:p>
        </w:tc>
      </w:tr>
    </w:tbl>
    <w:p w:rsidR="001749B0" w:rsidRDefault="001749B0" w:rsidP="001749B0">
      <w:pPr>
        <w:spacing w:after="0"/>
        <w:rPr>
          <w:rFonts w:ascii="Arial" w:hAnsi="Arial" w:cs="Arial"/>
          <w:sz w:val="20"/>
          <w:szCs w:val="20"/>
        </w:rPr>
      </w:pPr>
    </w:p>
    <w:p w:rsidR="00236CC6" w:rsidRPr="009455DF" w:rsidRDefault="00236CC6" w:rsidP="001749B0">
      <w:pPr>
        <w:spacing w:after="0"/>
        <w:rPr>
          <w:rFonts w:ascii="Arial" w:hAnsi="Arial" w:cs="Arial"/>
          <w:b/>
          <w:sz w:val="20"/>
          <w:szCs w:val="20"/>
        </w:rPr>
      </w:pPr>
      <w:r w:rsidRPr="009455DF">
        <w:rPr>
          <w:rFonts w:ascii="Arial" w:hAnsi="Arial" w:cs="Arial"/>
          <w:b/>
          <w:sz w:val="20"/>
          <w:szCs w:val="20"/>
        </w:rPr>
        <w:t>Apologies</w:t>
      </w:r>
    </w:p>
    <w:tbl>
      <w:tblPr>
        <w:tblStyle w:val="TableGrid"/>
        <w:tblW w:w="0" w:type="auto"/>
        <w:tblLook w:val="04A0" w:firstRow="1" w:lastRow="0" w:firstColumn="1" w:lastColumn="0" w:noHBand="0" w:noVBand="1"/>
      </w:tblPr>
      <w:tblGrid>
        <w:gridCol w:w="1636"/>
        <w:gridCol w:w="572"/>
        <w:gridCol w:w="3457"/>
        <w:gridCol w:w="3351"/>
      </w:tblGrid>
      <w:tr w:rsidR="00E63C1A" w:rsidRPr="009455DF" w:rsidTr="007B1B1E">
        <w:tc>
          <w:tcPr>
            <w:tcW w:w="1636" w:type="dxa"/>
          </w:tcPr>
          <w:p w:rsidR="00E63C1A" w:rsidRPr="009455DF" w:rsidRDefault="00E63C1A" w:rsidP="00E63C1A">
            <w:pPr>
              <w:rPr>
                <w:rFonts w:ascii="Arial" w:hAnsi="Arial" w:cs="Arial"/>
                <w:sz w:val="20"/>
                <w:szCs w:val="20"/>
              </w:rPr>
            </w:pPr>
            <w:r w:rsidRPr="009455DF">
              <w:rPr>
                <w:rFonts w:ascii="Arial" w:hAnsi="Arial" w:cs="Arial"/>
                <w:sz w:val="20"/>
                <w:szCs w:val="20"/>
              </w:rPr>
              <w:t>Chris Anthony</w:t>
            </w:r>
          </w:p>
        </w:tc>
        <w:tc>
          <w:tcPr>
            <w:tcW w:w="572" w:type="dxa"/>
          </w:tcPr>
          <w:p w:rsidR="00E63C1A" w:rsidRDefault="00E63C1A" w:rsidP="00E63C1A">
            <w:pPr>
              <w:rPr>
                <w:rFonts w:ascii="Arial" w:hAnsi="Arial" w:cs="Arial"/>
                <w:sz w:val="20"/>
                <w:szCs w:val="20"/>
              </w:rPr>
            </w:pPr>
            <w:r>
              <w:rPr>
                <w:rFonts w:ascii="Arial" w:hAnsi="Arial" w:cs="Arial"/>
                <w:sz w:val="20"/>
                <w:szCs w:val="20"/>
              </w:rPr>
              <w:t>CA</w:t>
            </w:r>
          </w:p>
        </w:tc>
        <w:tc>
          <w:tcPr>
            <w:tcW w:w="3457" w:type="dxa"/>
          </w:tcPr>
          <w:p w:rsidR="00E63C1A" w:rsidRDefault="00E63C1A" w:rsidP="00E63C1A">
            <w:pPr>
              <w:rPr>
                <w:rFonts w:ascii="Arial" w:hAnsi="Arial" w:cs="Arial"/>
                <w:sz w:val="20"/>
                <w:szCs w:val="20"/>
              </w:rPr>
            </w:pPr>
            <w:r>
              <w:rPr>
                <w:rFonts w:ascii="Arial" w:hAnsi="Arial" w:cs="Arial"/>
                <w:sz w:val="20"/>
                <w:szCs w:val="20"/>
              </w:rPr>
              <w:t>Head of Customer Support Services</w:t>
            </w:r>
          </w:p>
        </w:tc>
        <w:tc>
          <w:tcPr>
            <w:tcW w:w="3351" w:type="dxa"/>
          </w:tcPr>
          <w:p w:rsidR="00E63C1A" w:rsidRDefault="00E63C1A" w:rsidP="00E63C1A">
            <w:pPr>
              <w:rPr>
                <w:rFonts w:ascii="Arial" w:hAnsi="Arial" w:cs="Arial"/>
                <w:sz w:val="20"/>
                <w:szCs w:val="20"/>
              </w:rPr>
            </w:pPr>
            <w:r>
              <w:rPr>
                <w:rFonts w:ascii="Arial" w:hAnsi="Arial" w:cs="Arial"/>
                <w:sz w:val="20"/>
                <w:szCs w:val="20"/>
              </w:rPr>
              <w:t>Information Services</w:t>
            </w:r>
          </w:p>
        </w:tc>
      </w:tr>
      <w:tr w:rsidR="00E63C1A" w:rsidRPr="009455DF" w:rsidTr="007B1B1E">
        <w:tc>
          <w:tcPr>
            <w:tcW w:w="1636" w:type="dxa"/>
          </w:tcPr>
          <w:p w:rsidR="00E63C1A" w:rsidRPr="009455DF" w:rsidRDefault="00E63C1A" w:rsidP="00E63C1A">
            <w:pPr>
              <w:rPr>
                <w:rFonts w:ascii="Arial" w:hAnsi="Arial" w:cs="Arial"/>
                <w:sz w:val="20"/>
                <w:szCs w:val="20"/>
              </w:rPr>
            </w:pPr>
            <w:r w:rsidRPr="009455DF">
              <w:rPr>
                <w:rFonts w:ascii="Arial" w:hAnsi="Arial" w:cs="Arial"/>
                <w:sz w:val="20"/>
                <w:szCs w:val="20"/>
              </w:rPr>
              <w:t>Dan Smith</w:t>
            </w:r>
          </w:p>
        </w:tc>
        <w:tc>
          <w:tcPr>
            <w:tcW w:w="572" w:type="dxa"/>
          </w:tcPr>
          <w:p w:rsidR="00E63C1A" w:rsidRPr="009455DF" w:rsidRDefault="00E63C1A" w:rsidP="00E63C1A">
            <w:pPr>
              <w:rPr>
                <w:rFonts w:ascii="Arial" w:hAnsi="Arial" w:cs="Arial"/>
                <w:sz w:val="20"/>
                <w:szCs w:val="20"/>
              </w:rPr>
            </w:pPr>
            <w:r w:rsidRPr="009455DF">
              <w:rPr>
                <w:rFonts w:ascii="Arial" w:hAnsi="Arial" w:cs="Arial"/>
                <w:sz w:val="20"/>
                <w:szCs w:val="20"/>
              </w:rPr>
              <w:t>DS</w:t>
            </w:r>
          </w:p>
        </w:tc>
        <w:tc>
          <w:tcPr>
            <w:tcW w:w="3457" w:type="dxa"/>
          </w:tcPr>
          <w:p w:rsidR="00E63C1A" w:rsidRPr="009455DF" w:rsidRDefault="00E63C1A" w:rsidP="00E63C1A">
            <w:pPr>
              <w:rPr>
                <w:rFonts w:ascii="Arial" w:hAnsi="Arial" w:cs="Arial"/>
                <w:sz w:val="20"/>
                <w:szCs w:val="20"/>
              </w:rPr>
            </w:pPr>
            <w:r w:rsidRPr="009455DF">
              <w:rPr>
                <w:rFonts w:ascii="Arial" w:hAnsi="Arial" w:cs="Arial"/>
                <w:sz w:val="20"/>
                <w:szCs w:val="20"/>
              </w:rPr>
              <w:t>President</w:t>
            </w:r>
          </w:p>
        </w:tc>
        <w:tc>
          <w:tcPr>
            <w:tcW w:w="3351" w:type="dxa"/>
          </w:tcPr>
          <w:p w:rsidR="00E63C1A" w:rsidRPr="009455DF" w:rsidRDefault="00E63C1A" w:rsidP="00E63C1A">
            <w:pPr>
              <w:rPr>
                <w:rFonts w:ascii="Arial" w:hAnsi="Arial" w:cs="Arial"/>
                <w:sz w:val="20"/>
                <w:szCs w:val="20"/>
              </w:rPr>
            </w:pPr>
            <w:r w:rsidRPr="009455DF">
              <w:rPr>
                <w:rFonts w:ascii="Arial" w:hAnsi="Arial" w:cs="Arial"/>
                <w:sz w:val="20"/>
                <w:szCs w:val="20"/>
              </w:rPr>
              <w:t>Napier Students’ Association</w:t>
            </w:r>
          </w:p>
        </w:tc>
      </w:tr>
      <w:tr w:rsidR="00E63C1A" w:rsidTr="007B1B1E">
        <w:tc>
          <w:tcPr>
            <w:tcW w:w="1636" w:type="dxa"/>
          </w:tcPr>
          <w:p w:rsidR="00E63C1A" w:rsidRPr="009455DF" w:rsidRDefault="00E63C1A" w:rsidP="00E63C1A">
            <w:pPr>
              <w:rPr>
                <w:rFonts w:ascii="Arial" w:hAnsi="Arial" w:cs="Arial"/>
                <w:sz w:val="20"/>
                <w:szCs w:val="20"/>
              </w:rPr>
            </w:pPr>
            <w:r w:rsidRPr="009455DF">
              <w:rPr>
                <w:rFonts w:ascii="Arial" w:hAnsi="Arial" w:cs="Arial"/>
                <w:sz w:val="20"/>
                <w:szCs w:val="20"/>
              </w:rPr>
              <w:t>John Aitken</w:t>
            </w:r>
          </w:p>
        </w:tc>
        <w:tc>
          <w:tcPr>
            <w:tcW w:w="572" w:type="dxa"/>
          </w:tcPr>
          <w:p w:rsidR="00E63C1A" w:rsidRDefault="00E63C1A" w:rsidP="00E63C1A">
            <w:pPr>
              <w:rPr>
                <w:rFonts w:ascii="Arial" w:hAnsi="Arial" w:cs="Arial"/>
                <w:sz w:val="20"/>
                <w:szCs w:val="20"/>
              </w:rPr>
            </w:pPr>
            <w:r>
              <w:rPr>
                <w:rFonts w:ascii="Arial" w:hAnsi="Arial" w:cs="Arial"/>
                <w:sz w:val="20"/>
                <w:szCs w:val="20"/>
              </w:rPr>
              <w:t>JA</w:t>
            </w:r>
          </w:p>
        </w:tc>
        <w:tc>
          <w:tcPr>
            <w:tcW w:w="3457" w:type="dxa"/>
          </w:tcPr>
          <w:p w:rsidR="00E63C1A" w:rsidRDefault="00E63C1A" w:rsidP="00E63C1A">
            <w:pPr>
              <w:rPr>
                <w:rFonts w:ascii="Arial" w:hAnsi="Arial" w:cs="Arial"/>
                <w:sz w:val="20"/>
                <w:szCs w:val="20"/>
              </w:rPr>
            </w:pPr>
            <w:r>
              <w:rPr>
                <w:rFonts w:ascii="Arial" w:hAnsi="Arial" w:cs="Arial"/>
                <w:sz w:val="20"/>
                <w:szCs w:val="20"/>
              </w:rPr>
              <w:t>Operations Manager</w:t>
            </w:r>
          </w:p>
        </w:tc>
        <w:tc>
          <w:tcPr>
            <w:tcW w:w="3351" w:type="dxa"/>
          </w:tcPr>
          <w:p w:rsidR="00E63C1A" w:rsidRDefault="00E63C1A" w:rsidP="00E63C1A">
            <w:pPr>
              <w:rPr>
                <w:rFonts w:ascii="Arial" w:hAnsi="Arial" w:cs="Arial"/>
                <w:sz w:val="20"/>
                <w:szCs w:val="20"/>
              </w:rPr>
            </w:pPr>
            <w:r>
              <w:rPr>
                <w:rFonts w:ascii="Arial" w:hAnsi="Arial" w:cs="Arial"/>
                <w:sz w:val="20"/>
                <w:szCs w:val="20"/>
              </w:rPr>
              <w:t>Property &amp; Facilities</w:t>
            </w:r>
          </w:p>
        </w:tc>
      </w:tr>
      <w:tr w:rsidR="00E63C1A" w:rsidTr="007B1B1E">
        <w:tc>
          <w:tcPr>
            <w:tcW w:w="1636" w:type="dxa"/>
          </w:tcPr>
          <w:p w:rsidR="00E63C1A" w:rsidRPr="009455DF" w:rsidRDefault="00E63C1A" w:rsidP="00E63C1A">
            <w:pPr>
              <w:rPr>
                <w:rFonts w:ascii="Arial" w:hAnsi="Arial" w:cs="Arial"/>
                <w:sz w:val="20"/>
                <w:szCs w:val="20"/>
              </w:rPr>
            </w:pPr>
            <w:r w:rsidRPr="009455DF">
              <w:rPr>
                <w:rFonts w:ascii="Arial" w:hAnsi="Arial" w:cs="Arial"/>
                <w:sz w:val="20"/>
                <w:szCs w:val="20"/>
              </w:rPr>
              <w:t>John Currie</w:t>
            </w:r>
          </w:p>
        </w:tc>
        <w:tc>
          <w:tcPr>
            <w:tcW w:w="572" w:type="dxa"/>
          </w:tcPr>
          <w:p w:rsidR="00E63C1A" w:rsidRDefault="00E63C1A" w:rsidP="00E63C1A">
            <w:pPr>
              <w:rPr>
                <w:rFonts w:ascii="Arial" w:hAnsi="Arial" w:cs="Arial"/>
                <w:sz w:val="20"/>
                <w:szCs w:val="20"/>
              </w:rPr>
            </w:pPr>
            <w:r>
              <w:rPr>
                <w:rFonts w:ascii="Arial" w:hAnsi="Arial" w:cs="Arial"/>
                <w:sz w:val="20"/>
                <w:szCs w:val="20"/>
              </w:rPr>
              <w:t>JC</w:t>
            </w:r>
          </w:p>
        </w:tc>
        <w:tc>
          <w:tcPr>
            <w:tcW w:w="3457" w:type="dxa"/>
          </w:tcPr>
          <w:p w:rsidR="00E63C1A" w:rsidRDefault="00E63C1A" w:rsidP="00E63C1A">
            <w:pPr>
              <w:rPr>
                <w:rFonts w:ascii="Arial" w:hAnsi="Arial" w:cs="Arial"/>
                <w:sz w:val="20"/>
                <w:szCs w:val="20"/>
              </w:rPr>
            </w:pPr>
            <w:r>
              <w:rPr>
                <w:rFonts w:ascii="Arial" w:hAnsi="Arial" w:cs="Arial"/>
                <w:sz w:val="20"/>
                <w:szCs w:val="20"/>
              </w:rPr>
              <w:t>Director, Scottish Energy Centre</w:t>
            </w:r>
          </w:p>
        </w:tc>
        <w:tc>
          <w:tcPr>
            <w:tcW w:w="3351" w:type="dxa"/>
          </w:tcPr>
          <w:p w:rsidR="00E63C1A" w:rsidRDefault="00E63C1A" w:rsidP="00E63C1A">
            <w:pPr>
              <w:rPr>
                <w:rFonts w:ascii="Arial" w:hAnsi="Arial" w:cs="Arial"/>
                <w:sz w:val="20"/>
                <w:szCs w:val="20"/>
              </w:rPr>
            </w:pPr>
            <w:r>
              <w:rPr>
                <w:rFonts w:ascii="Arial" w:hAnsi="Arial" w:cs="Arial"/>
                <w:sz w:val="20"/>
                <w:szCs w:val="20"/>
              </w:rPr>
              <w:t>FECCI</w:t>
            </w:r>
          </w:p>
        </w:tc>
      </w:tr>
      <w:tr w:rsidR="00E63C1A" w:rsidTr="007B1B1E">
        <w:tc>
          <w:tcPr>
            <w:tcW w:w="1636" w:type="dxa"/>
          </w:tcPr>
          <w:p w:rsidR="00E63C1A" w:rsidRPr="009455DF" w:rsidRDefault="00E63C1A" w:rsidP="00E63C1A">
            <w:pPr>
              <w:rPr>
                <w:rFonts w:ascii="Arial" w:hAnsi="Arial" w:cs="Arial"/>
                <w:sz w:val="20"/>
                <w:szCs w:val="20"/>
              </w:rPr>
            </w:pPr>
            <w:r w:rsidRPr="009455DF">
              <w:rPr>
                <w:rFonts w:ascii="Arial" w:hAnsi="Arial" w:cs="Arial"/>
                <w:sz w:val="20"/>
                <w:szCs w:val="20"/>
              </w:rPr>
              <w:t>Liz Young</w:t>
            </w:r>
          </w:p>
        </w:tc>
        <w:tc>
          <w:tcPr>
            <w:tcW w:w="572" w:type="dxa"/>
          </w:tcPr>
          <w:p w:rsidR="00E63C1A" w:rsidRDefault="00E63C1A" w:rsidP="00E63C1A">
            <w:pPr>
              <w:rPr>
                <w:rFonts w:ascii="Arial" w:hAnsi="Arial" w:cs="Arial"/>
                <w:sz w:val="20"/>
                <w:szCs w:val="20"/>
              </w:rPr>
            </w:pPr>
            <w:r>
              <w:rPr>
                <w:rFonts w:ascii="Arial" w:hAnsi="Arial" w:cs="Arial"/>
                <w:sz w:val="20"/>
                <w:szCs w:val="20"/>
              </w:rPr>
              <w:t>LY</w:t>
            </w:r>
          </w:p>
        </w:tc>
        <w:tc>
          <w:tcPr>
            <w:tcW w:w="3457" w:type="dxa"/>
          </w:tcPr>
          <w:p w:rsidR="00E63C1A" w:rsidRDefault="00E63C1A" w:rsidP="00E63C1A">
            <w:pPr>
              <w:rPr>
                <w:rFonts w:ascii="Arial" w:hAnsi="Arial" w:cs="Arial"/>
                <w:sz w:val="20"/>
                <w:szCs w:val="20"/>
              </w:rPr>
            </w:pPr>
            <w:r>
              <w:rPr>
                <w:rFonts w:ascii="Arial" w:hAnsi="Arial" w:cs="Arial"/>
                <w:sz w:val="20"/>
                <w:szCs w:val="20"/>
              </w:rPr>
              <w:t>Head of Health &amp; Safety</w:t>
            </w:r>
          </w:p>
        </w:tc>
        <w:tc>
          <w:tcPr>
            <w:tcW w:w="3351" w:type="dxa"/>
          </w:tcPr>
          <w:p w:rsidR="00E63C1A" w:rsidRDefault="00E63C1A" w:rsidP="00E63C1A">
            <w:pPr>
              <w:rPr>
                <w:rFonts w:ascii="Arial" w:hAnsi="Arial" w:cs="Arial"/>
                <w:sz w:val="20"/>
                <w:szCs w:val="20"/>
              </w:rPr>
            </w:pPr>
            <w:r>
              <w:rPr>
                <w:rFonts w:ascii="Arial" w:hAnsi="Arial" w:cs="Arial"/>
                <w:sz w:val="20"/>
                <w:szCs w:val="20"/>
              </w:rPr>
              <w:t>Human Resources &amp; Development</w:t>
            </w:r>
          </w:p>
        </w:tc>
      </w:tr>
      <w:tr w:rsidR="00E63C1A" w:rsidTr="007B1B1E">
        <w:tc>
          <w:tcPr>
            <w:tcW w:w="1636" w:type="dxa"/>
          </w:tcPr>
          <w:p w:rsidR="00E63C1A" w:rsidRPr="009455DF" w:rsidRDefault="00E63C1A" w:rsidP="00E63C1A">
            <w:pPr>
              <w:rPr>
                <w:rFonts w:ascii="Arial" w:hAnsi="Arial" w:cs="Arial"/>
                <w:sz w:val="20"/>
                <w:szCs w:val="20"/>
              </w:rPr>
            </w:pPr>
            <w:r w:rsidRPr="009455DF">
              <w:rPr>
                <w:rFonts w:ascii="Arial" w:hAnsi="Arial" w:cs="Arial"/>
                <w:sz w:val="20"/>
                <w:szCs w:val="20"/>
              </w:rPr>
              <w:t>Miles Weaver</w:t>
            </w:r>
          </w:p>
        </w:tc>
        <w:tc>
          <w:tcPr>
            <w:tcW w:w="572" w:type="dxa"/>
          </w:tcPr>
          <w:p w:rsidR="00E63C1A" w:rsidRPr="009455DF" w:rsidRDefault="00E63C1A" w:rsidP="00E63C1A">
            <w:pPr>
              <w:rPr>
                <w:rFonts w:ascii="Arial" w:hAnsi="Arial" w:cs="Arial"/>
                <w:sz w:val="20"/>
                <w:szCs w:val="20"/>
              </w:rPr>
            </w:pPr>
            <w:r w:rsidRPr="009455DF">
              <w:rPr>
                <w:rFonts w:ascii="Arial" w:hAnsi="Arial" w:cs="Arial"/>
                <w:sz w:val="20"/>
                <w:szCs w:val="20"/>
              </w:rPr>
              <w:t>MW</w:t>
            </w:r>
          </w:p>
        </w:tc>
        <w:tc>
          <w:tcPr>
            <w:tcW w:w="3457" w:type="dxa"/>
          </w:tcPr>
          <w:p w:rsidR="00E63C1A" w:rsidRPr="009455DF" w:rsidRDefault="00E63C1A" w:rsidP="00E63C1A">
            <w:pPr>
              <w:rPr>
                <w:rFonts w:ascii="Arial" w:hAnsi="Arial" w:cs="Arial"/>
                <w:sz w:val="20"/>
                <w:szCs w:val="20"/>
              </w:rPr>
            </w:pPr>
            <w:r w:rsidRPr="009455DF">
              <w:rPr>
                <w:rFonts w:ascii="Arial" w:hAnsi="Arial" w:cs="Arial"/>
                <w:sz w:val="20"/>
                <w:szCs w:val="20"/>
              </w:rPr>
              <w:t>Lecturer</w:t>
            </w:r>
          </w:p>
        </w:tc>
        <w:tc>
          <w:tcPr>
            <w:tcW w:w="3351" w:type="dxa"/>
          </w:tcPr>
          <w:p w:rsidR="00E63C1A" w:rsidRDefault="00E63C1A" w:rsidP="00E63C1A">
            <w:pPr>
              <w:rPr>
                <w:rFonts w:ascii="Arial" w:hAnsi="Arial" w:cs="Arial"/>
                <w:sz w:val="20"/>
                <w:szCs w:val="20"/>
              </w:rPr>
            </w:pPr>
            <w:r w:rsidRPr="009455DF">
              <w:rPr>
                <w:rFonts w:ascii="Arial" w:hAnsi="Arial" w:cs="Arial"/>
                <w:sz w:val="20"/>
                <w:szCs w:val="20"/>
              </w:rPr>
              <w:t>The Business School</w:t>
            </w:r>
          </w:p>
        </w:tc>
      </w:tr>
    </w:tbl>
    <w:p w:rsidR="00236CC6" w:rsidRDefault="00236CC6" w:rsidP="001749B0">
      <w:pPr>
        <w:spacing w:after="0"/>
        <w:rPr>
          <w:rFonts w:ascii="Arial" w:hAnsi="Arial" w:cs="Arial"/>
          <w:sz w:val="20"/>
          <w:szCs w:val="20"/>
        </w:rPr>
      </w:pPr>
    </w:p>
    <w:p w:rsidR="00236CC6" w:rsidRPr="00236CC6" w:rsidRDefault="00236CC6" w:rsidP="00236CC6">
      <w:pPr>
        <w:spacing w:after="0"/>
        <w:ind w:left="7920"/>
        <w:rPr>
          <w:rFonts w:ascii="Arial" w:hAnsi="Arial" w:cs="Arial"/>
          <w:b/>
          <w:sz w:val="20"/>
          <w:szCs w:val="20"/>
        </w:rPr>
      </w:pPr>
      <w:r>
        <w:rPr>
          <w:rFonts w:ascii="Arial" w:hAnsi="Arial" w:cs="Arial"/>
          <w:b/>
          <w:sz w:val="20"/>
          <w:szCs w:val="20"/>
        </w:rPr>
        <w:t xml:space="preserve">      </w:t>
      </w:r>
      <w:r w:rsidRPr="00236CC6">
        <w:rPr>
          <w:rFonts w:ascii="Arial" w:hAnsi="Arial" w:cs="Arial"/>
          <w:b/>
          <w:sz w:val="20"/>
          <w:szCs w:val="20"/>
        </w:rPr>
        <w:t>Action</w:t>
      </w:r>
    </w:p>
    <w:tbl>
      <w:tblPr>
        <w:tblStyle w:val="TableGrid"/>
        <w:tblW w:w="0" w:type="auto"/>
        <w:tblLook w:val="04A0" w:firstRow="1" w:lastRow="0" w:firstColumn="1" w:lastColumn="0" w:noHBand="0" w:noVBand="1"/>
      </w:tblPr>
      <w:tblGrid>
        <w:gridCol w:w="526"/>
        <w:gridCol w:w="7582"/>
        <w:gridCol w:w="908"/>
      </w:tblGrid>
      <w:tr w:rsidR="00236CC6" w:rsidTr="00236CC6">
        <w:tc>
          <w:tcPr>
            <w:tcW w:w="534" w:type="dxa"/>
          </w:tcPr>
          <w:p w:rsidR="00236CC6" w:rsidRPr="009915D9" w:rsidRDefault="00236CC6" w:rsidP="00236CC6">
            <w:pPr>
              <w:jc w:val="center"/>
              <w:rPr>
                <w:rFonts w:ascii="Arial" w:hAnsi="Arial" w:cs="Arial"/>
                <w:b/>
                <w:sz w:val="20"/>
                <w:szCs w:val="20"/>
              </w:rPr>
            </w:pPr>
            <w:r w:rsidRPr="009915D9">
              <w:rPr>
                <w:rFonts w:ascii="Arial" w:hAnsi="Arial" w:cs="Arial"/>
                <w:b/>
                <w:sz w:val="20"/>
                <w:szCs w:val="20"/>
              </w:rPr>
              <w:t>1</w:t>
            </w:r>
          </w:p>
        </w:tc>
        <w:tc>
          <w:tcPr>
            <w:tcW w:w="7796" w:type="dxa"/>
          </w:tcPr>
          <w:p w:rsidR="00236CC6" w:rsidRPr="009915D9" w:rsidRDefault="00236CC6" w:rsidP="001749B0">
            <w:pPr>
              <w:rPr>
                <w:rFonts w:ascii="Arial" w:hAnsi="Arial" w:cs="Arial"/>
                <w:b/>
                <w:sz w:val="20"/>
                <w:szCs w:val="20"/>
              </w:rPr>
            </w:pPr>
            <w:r w:rsidRPr="009915D9">
              <w:rPr>
                <w:rFonts w:ascii="Arial" w:hAnsi="Arial" w:cs="Arial"/>
                <w:b/>
                <w:sz w:val="20"/>
                <w:szCs w:val="20"/>
              </w:rPr>
              <w:t>Welcome and apologies</w:t>
            </w:r>
          </w:p>
          <w:p w:rsidR="00BB65C2" w:rsidRDefault="00BB65C2" w:rsidP="001749B0">
            <w:pPr>
              <w:rPr>
                <w:rFonts w:ascii="Arial" w:hAnsi="Arial" w:cs="Arial"/>
                <w:sz w:val="20"/>
                <w:szCs w:val="20"/>
              </w:rPr>
            </w:pPr>
          </w:p>
          <w:p w:rsidR="00BB65C2" w:rsidRDefault="009915D9" w:rsidP="001749B0">
            <w:pPr>
              <w:rPr>
                <w:rFonts w:ascii="Arial" w:hAnsi="Arial" w:cs="Arial"/>
                <w:sz w:val="20"/>
                <w:szCs w:val="20"/>
              </w:rPr>
            </w:pPr>
            <w:r>
              <w:rPr>
                <w:rFonts w:ascii="Arial" w:hAnsi="Arial" w:cs="Arial"/>
                <w:sz w:val="20"/>
                <w:szCs w:val="20"/>
              </w:rPr>
              <w:t>GW welcomed everyone to the meeting and noted apologies as above.</w:t>
            </w:r>
          </w:p>
          <w:p w:rsidR="001B4B9B" w:rsidRDefault="001B4B9B" w:rsidP="001749B0">
            <w:pPr>
              <w:rPr>
                <w:rFonts w:ascii="Arial" w:hAnsi="Arial" w:cs="Arial"/>
                <w:sz w:val="20"/>
                <w:szCs w:val="20"/>
              </w:rPr>
            </w:pPr>
          </w:p>
        </w:tc>
        <w:tc>
          <w:tcPr>
            <w:tcW w:w="912" w:type="dxa"/>
          </w:tcPr>
          <w:p w:rsidR="00236CC6" w:rsidRDefault="00236CC6" w:rsidP="001749B0">
            <w:pPr>
              <w:rPr>
                <w:rFonts w:ascii="Arial" w:hAnsi="Arial" w:cs="Arial"/>
                <w:sz w:val="20"/>
                <w:szCs w:val="20"/>
              </w:rPr>
            </w:pPr>
          </w:p>
        </w:tc>
      </w:tr>
      <w:tr w:rsidR="00236CC6" w:rsidTr="00236CC6">
        <w:tc>
          <w:tcPr>
            <w:tcW w:w="534" w:type="dxa"/>
          </w:tcPr>
          <w:p w:rsidR="00236CC6" w:rsidRPr="009915D9" w:rsidRDefault="009915D9" w:rsidP="00236CC6">
            <w:pPr>
              <w:jc w:val="center"/>
              <w:rPr>
                <w:rFonts w:ascii="Arial" w:hAnsi="Arial" w:cs="Arial"/>
                <w:b/>
                <w:sz w:val="20"/>
                <w:szCs w:val="20"/>
              </w:rPr>
            </w:pPr>
            <w:r w:rsidRPr="009915D9">
              <w:rPr>
                <w:rFonts w:ascii="Arial" w:hAnsi="Arial" w:cs="Arial"/>
                <w:b/>
                <w:sz w:val="20"/>
                <w:szCs w:val="20"/>
              </w:rPr>
              <w:t>2</w:t>
            </w:r>
          </w:p>
        </w:tc>
        <w:tc>
          <w:tcPr>
            <w:tcW w:w="7796" w:type="dxa"/>
          </w:tcPr>
          <w:p w:rsidR="00236CC6" w:rsidRPr="009915D9" w:rsidRDefault="009915D9" w:rsidP="001749B0">
            <w:pPr>
              <w:rPr>
                <w:rFonts w:ascii="Arial" w:hAnsi="Arial" w:cs="Arial"/>
                <w:b/>
                <w:sz w:val="20"/>
                <w:szCs w:val="20"/>
              </w:rPr>
            </w:pPr>
            <w:r w:rsidRPr="009915D9">
              <w:rPr>
                <w:rFonts w:ascii="Arial" w:hAnsi="Arial" w:cs="Arial"/>
                <w:b/>
                <w:sz w:val="20"/>
                <w:szCs w:val="20"/>
              </w:rPr>
              <w:t xml:space="preserve">Minutes of the meeting held on Wednesday </w:t>
            </w:r>
            <w:r w:rsidR="00E63C1A">
              <w:rPr>
                <w:rFonts w:ascii="Arial" w:hAnsi="Arial" w:cs="Arial"/>
                <w:b/>
                <w:sz w:val="20"/>
                <w:szCs w:val="20"/>
              </w:rPr>
              <w:t>19 March</w:t>
            </w:r>
            <w:r w:rsidR="009455DF">
              <w:rPr>
                <w:rFonts w:ascii="Arial" w:hAnsi="Arial" w:cs="Arial"/>
                <w:b/>
                <w:sz w:val="20"/>
                <w:szCs w:val="20"/>
              </w:rPr>
              <w:t xml:space="preserve"> 2014</w:t>
            </w:r>
            <w:r w:rsidR="00AC6D55">
              <w:rPr>
                <w:rFonts w:ascii="Arial" w:hAnsi="Arial" w:cs="Arial"/>
                <w:b/>
                <w:sz w:val="20"/>
                <w:szCs w:val="20"/>
              </w:rPr>
              <w:t xml:space="preserve"> (ESAG/14/03/01)</w:t>
            </w:r>
          </w:p>
          <w:p w:rsidR="009915D9" w:rsidRDefault="009915D9" w:rsidP="001749B0">
            <w:pPr>
              <w:rPr>
                <w:rFonts w:ascii="Arial" w:hAnsi="Arial" w:cs="Arial"/>
                <w:sz w:val="20"/>
                <w:szCs w:val="20"/>
              </w:rPr>
            </w:pPr>
          </w:p>
          <w:p w:rsidR="009915D9" w:rsidRDefault="009455DF" w:rsidP="001749B0">
            <w:pPr>
              <w:rPr>
                <w:rFonts w:ascii="Arial" w:hAnsi="Arial" w:cs="Arial"/>
                <w:sz w:val="20"/>
                <w:szCs w:val="20"/>
              </w:rPr>
            </w:pPr>
            <w:r>
              <w:rPr>
                <w:rFonts w:ascii="Arial" w:hAnsi="Arial" w:cs="Arial"/>
                <w:sz w:val="20"/>
                <w:szCs w:val="20"/>
              </w:rPr>
              <w:t>Approved.</w:t>
            </w:r>
          </w:p>
          <w:p w:rsidR="001B4B9B" w:rsidRDefault="001B4B9B" w:rsidP="001749B0">
            <w:pPr>
              <w:rPr>
                <w:rFonts w:ascii="Arial" w:hAnsi="Arial" w:cs="Arial"/>
                <w:sz w:val="20"/>
                <w:szCs w:val="20"/>
              </w:rPr>
            </w:pPr>
          </w:p>
        </w:tc>
        <w:tc>
          <w:tcPr>
            <w:tcW w:w="912" w:type="dxa"/>
          </w:tcPr>
          <w:p w:rsidR="00236CC6" w:rsidRDefault="00236CC6" w:rsidP="001749B0">
            <w:pPr>
              <w:rPr>
                <w:rFonts w:ascii="Arial" w:hAnsi="Arial" w:cs="Arial"/>
                <w:sz w:val="20"/>
                <w:szCs w:val="20"/>
              </w:rPr>
            </w:pPr>
          </w:p>
        </w:tc>
      </w:tr>
      <w:tr w:rsidR="00AC6D55" w:rsidTr="00236CC6">
        <w:tc>
          <w:tcPr>
            <w:tcW w:w="534" w:type="dxa"/>
          </w:tcPr>
          <w:p w:rsidR="00AC6D55" w:rsidRDefault="00AC6D55" w:rsidP="00236CC6">
            <w:pPr>
              <w:jc w:val="center"/>
              <w:rPr>
                <w:rFonts w:ascii="Arial" w:hAnsi="Arial" w:cs="Arial"/>
                <w:b/>
                <w:sz w:val="20"/>
                <w:szCs w:val="20"/>
              </w:rPr>
            </w:pPr>
            <w:r>
              <w:rPr>
                <w:rFonts w:ascii="Arial" w:hAnsi="Arial" w:cs="Arial"/>
                <w:b/>
                <w:sz w:val="20"/>
                <w:szCs w:val="20"/>
              </w:rPr>
              <w:t>3</w:t>
            </w:r>
          </w:p>
          <w:p w:rsidR="00AC6D55" w:rsidRDefault="00AC6D55" w:rsidP="00236CC6">
            <w:pPr>
              <w:jc w:val="center"/>
              <w:rPr>
                <w:rFonts w:ascii="Arial" w:hAnsi="Arial" w:cs="Arial"/>
                <w:b/>
                <w:sz w:val="20"/>
                <w:szCs w:val="20"/>
              </w:rPr>
            </w:pPr>
          </w:p>
          <w:p w:rsidR="00AC6D55" w:rsidRPr="009915D9" w:rsidRDefault="00AC6D55" w:rsidP="00236CC6">
            <w:pPr>
              <w:jc w:val="center"/>
              <w:rPr>
                <w:rFonts w:ascii="Arial" w:hAnsi="Arial" w:cs="Arial"/>
                <w:b/>
                <w:sz w:val="20"/>
                <w:szCs w:val="20"/>
              </w:rPr>
            </w:pPr>
          </w:p>
        </w:tc>
        <w:tc>
          <w:tcPr>
            <w:tcW w:w="7796" w:type="dxa"/>
          </w:tcPr>
          <w:p w:rsidR="00AC6D55" w:rsidRDefault="00AC6D55" w:rsidP="001749B0">
            <w:pPr>
              <w:rPr>
                <w:rFonts w:ascii="Arial" w:hAnsi="Arial" w:cs="Arial"/>
                <w:b/>
                <w:sz w:val="20"/>
                <w:szCs w:val="20"/>
              </w:rPr>
            </w:pPr>
            <w:r>
              <w:rPr>
                <w:rFonts w:ascii="Arial" w:hAnsi="Arial" w:cs="Arial"/>
                <w:b/>
                <w:sz w:val="20"/>
                <w:szCs w:val="20"/>
              </w:rPr>
              <w:t>Matters arising, including tracker sheet (ESAG/14/03/02)</w:t>
            </w:r>
          </w:p>
          <w:p w:rsidR="00AC6D55" w:rsidRDefault="00AC6D55" w:rsidP="001749B0">
            <w:pPr>
              <w:rPr>
                <w:rFonts w:ascii="Arial" w:hAnsi="Arial" w:cs="Arial"/>
                <w:b/>
                <w:sz w:val="20"/>
                <w:szCs w:val="20"/>
              </w:rPr>
            </w:pPr>
          </w:p>
          <w:p w:rsidR="00AC6D55" w:rsidRDefault="00AC6D55" w:rsidP="001749B0">
            <w:pPr>
              <w:rPr>
                <w:rFonts w:ascii="Arial" w:hAnsi="Arial" w:cs="Arial"/>
                <w:sz w:val="20"/>
                <w:szCs w:val="20"/>
              </w:rPr>
            </w:pPr>
            <w:r>
              <w:rPr>
                <w:rFonts w:ascii="Arial" w:hAnsi="Arial" w:cs="Arial"/>
                <w:sz w:val="20"/>
                <w:szCs w:val="20"/>
              </w:rPr>
              <w:t>General agreement to delete items from the tracker if not live.</w:t>
            </w:r>
          </w:p>
          <w:p w:rsidR="00AC6D55" w:rsidRDefault="00AC6D55" w:rsidP="001749B0">
            <w:pPr>
              <w:rPr>
                <w:rFonts w:ascii="Arial" w:hAnsi="Arial" w:cs="Arial"/>
                <w:sz w:val="20"/>
                <w:szCs w:val="20"/>
              </w:rPr>
            </w:pPr>
          </w:p>
          <w:p w:rsidR="008314B8" w:rsidRDefault="00B82F5B" w:rsidP="001749B0">
            <w:pPr>
              <w:rPr>
                <w:rFonts w:ascii="Arial" w:hAnsi="Arial" w:cs="Arial"/>
                <w:sz w:val="20"/>
                <w:szCs w:val="20"/>
              </w:rPr>
            </w:pPr>
            <w:r w:rsidRPr="008314B8">
              <w:rPr>
                <w:rFonts w:ascii="Arial" w:hAnsi="Arial" w:cs="Arial"/>
                <w:b/>
                <w:sz w:val="20"/>
                <w:szCs w:val="20"/>
              </w:rPr>
              <w:t>1</w:t>
            </w:r>
            <w:r>
              <w:rPr>
                <w:rFonts w:ascii="Arial" w:hAnsi="Arial" w:cs="Arial"/>
                <w:sz w:val="20"/>
                <w:szCs w:val="20"/>
              </w:rPr>
              <w:t>: JP to contact MH regarding the placement.</w:t>
            </w:r>
            <w:r w:rsidR="008314B8">
              <w:rPr>
                <w:rFonts w:ascii="Arial" w:hAnsi="Arial" w:cs="Arial"/>
                <w:sz w:val="20"/>
                <w:szCs w:val="20"/>
              </w:rPr>
              <w:t xml:space="preserve">  In addition, </w:t>
            </w:r>
            <w:r>
              <w:rPr>
                <w:rFonts w:ascii="Arial" w:hAnsi="Arial" w:cs="Arial"/>
                <w:sz w:val="20"/>
                <w:szCs w:val="20"/>
              </w:rPr>
              <w:t>MH noted that he applied</w:t>
            </w:r>
            <w:r w:rsidR="008314B8">
              <w:rPr>
                <w:rFonts w:ascii="Arial" w:hAnsi="Arial" w:cs="Arial"/>
                <w:sz w:val="20"/>
                <w:szCs w:val="20"/>
              </w:rPr>
              <w:t xml:space="preserve"> to the 50</w:t>
            </w:r>
            <w:r w:rsidR="008314B8" w:rsidRPr="008314B8">
              <w:rPr>
                <w:rFonts w:ascii="Arial" w:hAnsi="Arial" w:cs="Arial"/>
                <w:sz w:val="20"/>
                <w:szCs w:val="20"/>
                <w:vertAlign w:val="superscript"/>
              </w:rPr>
              <w:t>th</w:t>
            </w:r>
            <w:r w:rsidR="008314B8">
              <w:rPr>
                <w:rFonts w:ascii="Arial" w:hAnsi="Arial" w:cs="Arial"/>
                <w:sz w:val="20"/>
                <w:szCs w:val="20"/>
              </w:rPr>
              <w:t xml:space="preserve"> anniversary fund for funding to support the Mikoko Pamoja project.  No reply to date.</w:t>
            </w:r>
            <w:r w:rsidR="007B1B1E">
              <w:rPr>
                <w:rFonts w:ascii="Arial" w:hAnsi="Arial" w:cs="Arial"/>
                <w:sz w:val="20"/>
                <w:szCs w:val="20"/>
              </w:rPr>
              <w:t xml:space="preserve">  Will raise at next ESAG meeting if no response received from the 50</w:t>
            </w:r>
            <w:r w:rsidR="007B1B1E" w:rsidRPr="007B1B1E">
              <w:rPr>
                <w:rFonts w:ascii="Arial" w:hAnsi="Arial" w:cs="Arial"/>
                <w:sz w:val="20"/>
                <w:szCs w:val="20"/>
                <w:vertAlign w:val="superscript"/>
              </w:rPr>
              <w:t>th</w:t>
            </w:r>
            <w:r w:rsidR="007B1B1E">
              <w:rPr>
                <w:rFonts w:ascii="Arial" w:hAnsi="Arial" w:cs="Arial"/>
                <w:sz w:val="20"/>
                <w:szCs w:val="20"/>
              </w:rPr>
              <w:t xml:space="preserve"> anniversary fund.</w:t>
            </w:r>
          </w:p>
          <w:p w:rsidR="0056519C" w:rsidRDefault="0056519C" w:rsidP="001749B0">
            <w:pPr>
              <w:rPr>
                <w:rFonts w:ascii="Arial" w:hAnsi="Arial" w:cs="Arial"/>
                <w:sz w:val="20"/>
                <w:szCs w:val="20"/>
              </w:rPr>
            </w:pPr>
          </w:p>
          <w:p w:rsidR="00AC6D55" w:rsidRDefault="00B82F5B" w:rsidP="001749B0">
            <w:pPr>
              <w:rPr>
                <w:rFonts w:ascii="Arial" w:hAnsi="Arial" w:cs="Arial"/>
                <w:sz w:val="20"/>
                <w:szCs w:val="20"/>
              </w:rPr>
            </w:pPr>
            <w:r w:rsidRPr="008314B8">
              <w:rPr>
                <w:rFonts w:ascii="Arial" w:hAnsi="Arial" w:cs="Arial"/>
                <w:b/>
                <w:sz w:val="20"/>
                <w:szCs w:val="20"/>
              </w:rPr>
              <w:t>2</w:t>
            </w:r>
            <w:r>
              <w:rPr>
                <w:rFonts w:ascii="Arial" w:hAnsi="Arial" w:cs="Arial"/>
                <w:sz w:val="20"/>
                <w:szCs w:val="20"/>
              </w:rPr>
              <w:t xml:space="preserve">: </w:t>
            </w:r>
            <w:r w:rsidR="00AC6D55">
              <w:rPr>
                <w:rFonts w:ascii="Arial" w:hAnsi="Arial" w:cs="Arial"/>
                <w:sz w:val="20"/>
                <w:szCs w:val="20"/>
              </w:rPr>
              <w:t>JP and RC to investigate as part of the EMS.</w:t>
            </w:r>
          </w:p>
          <w:p w:rsidR="0056519C" w:rsidRDefault="0056519C" w:rsidP="001749B0">
            <w:pPr>
              <w:rPr>
                <w:rFonts w:ascii="Arial" w:hAnsi="Arial" w:cs="Arial"/>
                <w:sz w:val="20"/>
                <w:szCs w:val="20"/>
              </w:rPr>
            </w:pPr>
          </w:p>
          <w:p w:rsidR="00AC6D55" w:rsidRDefault="00B82F5B" w:rsidP="001749B0">
            <w:pPr>
              <w:rPr>
                <w:rFonts w:ascii="Arial" w:hAnsi="Arial" w:cs="Arial"/>
                <w:sz w:val="20"/>
                <w:szCs w:val="20"/>
              </w:rPr>
            </w:pPr>
            <w:r w:rsidRPr="008314B8">
              <w:rPr>
                <w:rFonts w:ascii="Arial" w:hAnsi="Arial" w:cs="Arial"/>
                <w:b/>
                <w:sz w:val="20"/>
                <w:szCs w:val="20"/>
              </w:rPr>
              <w:t>3</w:t>
            </w:r>
            <w:r>
              <w:rPr>
                <w:rFonts w:ascii="Arial" w:hAnsi="Arial" w:cs="Arial"/>
                <w:sz w:val="20"/>
                <w:szCs w:val="20"/>
              </w:rPr>
              <w:t xml:space="preserve">: </w:t>
            </w:r>
            <w:r w:rsidR="00AC6D55">
              <w:rPr>
                <w:rFonts w:ascii="Arial" w:hAnsi="Arial" w:cs="Arial"/>
                <w:sz w:val="20"/>
                <w:szCs w:val="20"/>
              </w:rPr>
              <w:t>Will be raised by GF under item 5.</w:t>
            </w:r>
          </w:p>
          <w:p w:rsidR="0056519C" w:rsidRDefault="0056519C" w:rsidP="001749B0">
            <w:pPr>
              <w:rPr>
                <w:rFonts w:ascii="Arial" w:hAnsi="Arial" w:cs="Arial"/>
                <w:sz w:val="20"/>
                <w:szCs w:val="20"/>
              </w:rPr>
            </w:pPr>
          </w:p>
          <w:p w:rsidR="00AC6D55" w:rsidRDefault="0056519C" w:rsidP="001749B0">
            <w:pPr>
              <w:rPr>
                <w:rFonts w:ascii="Arial" w:hAnsi="Arial" w:cs="Arial"/>
                <w:sz w:val="20"/>
                <w:szCs w:val="20"/>
              </w:rPr>
            </w:pPr>
            <w:r w:rsidRPr="008314B8">
              <w:rPr>
                <w:rFonts w:ascii="Arial" w:hAnsi="Arial" w:cs="Arial"/>
                <w:b/>
                <w:sz w:val="20"/>
                <w:szCs w:val="20"/>
              </w:rPr>
              <w:t>4</w:t>
            </w:r>
            <w:r>
              <w:rPr>
                <w:rFonts w:ascii="Arial" w:hAnsi="Arial" w:cs="Arial"/>
                <w:sz w:val="20"/>
                <w:szCs w:val="20"/>
              </w:rPr>
              <w:t>: JP to investigate further and develop a proposal covering what the development of a ‘Travel Group’ actually means.  DC queried if JA had estimated the cost of reinstating the intercampus bus.  GW noted that the last intercampus bus was basically a few seats in the University mail van.  The service didn’t work and was expensive so it was stopped.  GW noted that the issue of intercampus travel is being looked at through the Estates Strategy, in terms of minimising the need for bulk student movement between campuses.  General agreement that we must also consider technology as a way of minimising unnecessary business travel.</w:t>
            </w:r>
          </w:p>
          <w:p w:rsidR="0056519C" w:rsidRDefault="0056519C" w:rsidP="001749B0">
            <w:pPr>
              <w:rPr>
                <w:rFonts w:ascii="Arial" w:hAnsi="Arial" w:cs="Arial"/>
                <w:sz w:val="20"/>
                <w:szCs w:val="20"/>
              </w:rPr>
            </w:pPr>
          </w:p>
          <w:p w:rsidR="00B82F5B" w:rsidRDefault="00B82F5B" w:rsidP="001749B0">
            <w:pPr>
              <w:rPr>
                <w:rFonts w:ascii="Arial" w:hAnsi="Arial" w:cs="Arial"/>
                <w:sz w:val="20"/>
                <w:szCs w:val="20"/>
              </w:rPr>
            </w:pPr>
            <w:r w:rsidRPr="008314B8">
              <w:rPr>
                <w:rFonts w:ascii="Arial" w:hAnsi="Arial" w:cs="Arial"/>
                <w:b/>
                <w:sz w:val="20"/>
                <w:szCs w:val="20"/>
              </w:rPr>
              <w:t>5</w:t>
            </w:r>
            <w:r>
              <w:rPr>
                <w:rFonts w:ascii="Arial" w:hAnsi="Arial" w:cs="Arial"/>
                <w:sz w:val="20"/>
                <w:szCs w:val="20"/>
              </w:rPr>
              <w:t>: GF, RC and JP to develop a draft remit to present at the next meeting.</w:t>
            </w:r>
            <w:r w:rsidR="008314B8">
              <w:rPr>
                <w:rFonts w:ascii="Arial" w:hAnsi="Arial" w:cs="Arial"/>
                <w:sz w:val="20"/>
                <w:szCs w:val="20"/>
              </w:rPr>
              <w:t xml:space="preserve">  Remit to align with the requirements of the Environmental Management System.</w:t>
            </w:r>
          </w:p>
          <w:p w:rsidR="008314B8" w:rsidRDefault="008314B8" w:rsidP="001749B0">
            <w:pPr>
              <w:rPr>
                <w:rFonts w:ascii="Arial" w:hAnsi="Arial" w:cs="Arial"/>
                <w:sz w:val="20"/>
                <w:szCs w:val="20"/>
              </w:rPr>
            </w:pPr>
          </w:p>
          <w:p w:rsidR="00B82F5B" w:rsidRDefault="00B82F5B" w:rsidP="001749B0">
            <w:pPr>
              <w:rPr>
                <w:rFonts w:ascii="Arial" w:hAnsi="Arial" w:cs="Arial"/>
                <w:sz w:val="20"/>
                <w:szCs w:val="20"/>
              </w:rPr>
            </w:pPr>
            <w:r w:rsidRPr="008314B8">
              <w:rPr>
                <w:rFonts w:ascii="Arial" w:hAnsi="Arial" w:cs="Arial"/>
                <w:b/>
                <w:sz w:val="20"/>
                <w:szCs w:val="20"/>
              </w:rPr>
              <w:t>6</w:t>
            </w:r>
            <w:r>
              <w:rPr>
                <w:rFonts w:ascii="Arial" w:hAnsi="Arial" w:cs="Arial"/>
                <w:sz w:val="20"/>
                <w:szCs w:val="20"/>
              </w:rPr>
              <w:t>: Remove from action tracker.</w:t>
            </w:r>
          </w:p>
          <w:p w:rsidR="008314B8" w:rsidRDefault="008314B8" w:rsidP="001749B0">
            <w:pPr>
              <w:rPr>
                <w:rFonts w:ascii="Arial" w:hAnsi="Arial" w:cs="Arial"/>
                <w:sz w:val="20"/>
                <w:szCs w:val="20"/>
              </w:rPr>
            </w:pPr>
          </w:p>
          <w:p w:rsidR="00B82F5B" w:rsidRDefault="00B82F5B" w:rsidP="001749B0">
            <w:pPr>
              <w:rPr>
                <w:rFonts w:ascii="Arial" w:hAnsi="Arial" w:cs="Arial"/>
                <w:sz w:val="20"/>
                <w:szCs w:val="20"/>
              </w:rPr>
            </w:pPr>
            <w:r w:rsidRPr="008314B8">
              <w:rPr>
                <w:rFonts w:ascii="Arial" w:hAnsi="Arial" w:cs="Arial"/>
                <w:b/>
                <w:sz w:val="20"/>
                <w:szCs w:val="20"/>
              </w:rPr>
              <w:t>7</w:t>
            </w:r>
            <w:r>
              <w:rPr>
                <w:rFonts w:ascii="Arial" w:hAnsi="Arial" w:cs="Arial"/>
                <w:sz w:val="20"/>
                <w:szCs w:val="20"/>
              </w:rPr>
              <w:t>: Remove from action tracker.</w:t>
            </w:r>
          </w:p>
          <w:p w:rsidR="008314B8" w:rsidRDefault="008314B8" w:rsidP="001749B0">
            <w:pPr>
              <w:rPr>
                <w:rFonts w:ascii="Arial" w:hAnsi="Arial" w:cs="Arial"/>
                <w:sz w:val="20"/>
                <w:szCs w:val="20"/>
              </w:rPr>
            </w:pPr>
          </w:p>
          <w:p w:rsidR="00B82F5B" w:rsidRDefault="00B82F5B" w:rsidP="001749B0">
            <w:pPr>
              <w:rPr>
                <w:rFonts w:ascii="Arial" w:hAnsi="Arial" w:cs="Arial"/>
                <w:sz w:val="20"/>
                <w:szCs w:val="20"/>
              </w:rPr>
            </w:pPr>
            <w:r w:rsidRPr="008314B8">
              <w:rPr>
                <w:rFonts w:ascii="Arial" w:hAnsi="Arial" w:cs="Arial"/>
                <w:b/>
                <w:sz w:val="20"/>
                <w:szCs w:val="20"/>
              </w:rPr>
              <w:t>8</w:t>
            </w:r>
            <w:r>
              <w:rPr>
                <w:rFonts w:ascii="Arial" w:hAnsi="Arial" w:cs="Arial"/>
                <w:sz w:val="20"/>
                <w:szCs w:val="20"/>
              </w:rPr>
              <w:t>: JP to match links with 2020 Strategy.  Estate</w:t>
            </w:r>
            <w:r w:rsidR="008314B8">
              <w:rPr>
                <w:rFonts w:ascii="Arial" w:hAnsi="Arial" w:cs="Arial"/>
                <w:sz w:val="20"/>
                <w:szCs w:val="20"/>
              </w:rPr>
              <w:t>s Strategy will be finalised by Court by Summer 2015.  Through the updated Estates Strategy, environmental sustainability will be one of the criteria used to assess all planned/proposed projects.</w:t>
            </w:r>
          </w:p>
          <w:p w:rsidR="008314B8" w:rsidRDefault="008314B8" w:rsidP="001749B0">
            <w:pPr>
              <w:rPr>
                <w:rFonts w:ascii="Arial" w:hAnsi="Arial" w:cs="Arial"/>
                <w:sz w:val="20"/>
                <w:szCs w:val="20"/>
              </w:rPr>
            </w:pPr>
          </w:p>
          <w:p w:rsidR="00B82F5B" w:rsidRDefault="00B82F5B" w:rsidP="001749B0">
            <w:pPr>
              <w:rPr>
                <w:rFonts w:ascii="Arial" w:hAnsi="Arial" w:cs="Arial"/>
                <w:sz w:val="20"/>
                <w:szCs w:val="20"/>
              </w:rPr>
            </w:pPr>
            <w:r>
              <w:rPr>
                <w:rFonts w:ascii="Arial" w:hAnsi="Arial" w:cs="Arial"/>
                <w:sz w:val="20"/>
                <w:szCs w:val="20"/>
              </w:rPr>
              <w:t>9: Fair Trade Policy to be updated, with Napier Students’ Association.</w:t>
            </w:r>
          </w:p>
          <w:p w:rsidR="008314B8" w:rsidRDefault="008314B8" w:rsidP="001749B0">
            <w:pPr>
              <w:rPr>
                <w:rFonts w:ascii="Arial" w:hAnsi="Arial" w:cs="Arial"/>
                <w:sz w:val="20"/>
                <w:szCs w:val="20"/>
              </w:rPr>
            </w:pPr>
          </w:p>
          <w:p w:rsidR="00B82F5B" w:rsidRDefault="00B82F5B" w:rsidP="001749B0">
            <w:pPr>
              <w:rPr>
                <w:rFonts w:ascii="Arial" w:hAnsi="Arial" w:cs="Arial"/>
                <w:sz w:val="20"/>
                <w:szCs w:val="20"/>
              </w:rPr>
            </w:pPr>
            <w:r>
              <w:rPr>
                <w:rFonts w:ascii="Arial" w:hAnsi="Arial" w:cs="Arial"/>
                <w:sz w:val="20"/>
                <w:szCs w:val="20"/>
              </w:rPr>
              <w:t>10: JP to discuss Policy with Sandra Duncan.</w:t>
            </w:r>
            <w:r w:rsidR="008314B8">
              <w:rPr>
                <w:rFonts w:ascii="Arial" w:hAnsi="Arial" w:cs="Arial"/>
                <w:sz w:val="20"/>
                <w:szCs w:val="20"/>
              </w:rPr>
              <w:t xml:space="preserve">  Remove from action tracker.</w:t>
            </w:r>
          </w:p>
          <w:p w:rsidR="008314B8" w:rsidRDefault="008314B8" w:rsidP="001749B0">
            <w:pPr>
              <w:rPr>
                <w:rFonts w:ascii="Arial" w:hAnsi="Arial" w:cs="Arial"/>
                <w:sz w:val="20"/>
                <w:szCs w:val="20"/>
              </w:rPr>
            </w:pPr>
          </w:p>
          <w:p w:rsidR="00B82F5B" w:rsidRDefault="00B82F5B" w:rsidP="001749B0">
            <w:pPr>
              <w:rPr>
                <w:rFonts w:ascii="Arial" w:hAnsi="Arial" w:cs="Arial"/>
                <w:sz w:val="20"/>
                <w:szCs w:val="20"/>
              </w:rPr>
            </w:pPr>
            <w:r>
              <w:rPr>
                <w:rFonts w:ascii="Arial" w:hAnsi="Arial" w:cs="Arial"/>
                <w:sz w:val="20"/>
                <w:szCs w:val="20"/>
              </w:rPr>
              <w:t>11: Conference.  All ESAG members to be encouraged to contact JP</w:t>
            </w:r>
            <w:r w:rsidR="008314B8">
              <w:rPr>
                <w:rFonts w:ascii="Arial" w:hAnsi="Arial" w:cs="Arial"/>
                <w:sz w:val="20"/>
                <w:szCs w:val="20"/>
              </w:rPr>
              <w:t xml:space="preserve"> with any suggestions for the event</w:t>
            </w:r>
            <w:r>
              <w:rPr>
                <w:rFonts w:ascii="Arial" w:hAnsi="Arial" w:cs="Arial"/>
                <w:sz w:val="20"/>
                <w:szCs w:val="20"/>
              </w:rPr>
              <w:t>.</w:t>
            </w:r>
            <w:r w:rsidR="008314B8">
              <w:rPr>
                <w:rFonts w:ascii="Arial" w:hAnsi="Arial" w:cs="Arial"/>
                <w:sz w:val="20"/>
                <w:szCs w:val="20"/>
              </w:rPr>
              <w:t xml:space="preserve">  Add as an agenda item</w:t>
            </w:r>
            <w:r w:rsidR="00D8177E">
              <w:rPr>
                <w:rFonts w:ascii="Arial" w:hAnsi="Arial" w:cs="Arial"/>
                <w:sz w:val="20"/>
                <w:szCs w:val="20"/>
              </w:rPr>
              <w:t xml:space="preserve"> for the next ESAG meeting.  JP to develop a proposal with GW to ensure commitment for the event.</w:t>
            </w:r>
            <w:r w:rsidR="008314B8">
              <w:rPr>
                <w:rFonts w:ascii="Arial" w:hAnsi="Arial" w:cs="Arial"/>
                <w:sz w:val="20"/>
                <w:szCs w:val="20"/>
              </w:rPr>
              <w:t xml:space="preserve"> </w:t>
            </w:r>
          </w:p>
          <w:p w:rsidR="008314B8" w:rsidRDefault="008314B8" w:rsidP="001749B0">
            <w:pPr>
              <w:rPr>
                <w:rFonts w:ascii="Arial" w:hAnsi="Arial" w:cs="Arial"/>
                <w:sz w:val="20"/>
                <w:szCs w:val="20"/>
              </w:rPr>
            </w:pPr>
          </w:p>
          <w:p w:rsidR="00B82F5B" w:rsidRDefault="00D8177E" w:rsidP="001749B0">
            <w:pPr>
              <w:rPr>
                <w:rFonts w:ascii="Arial" w:hAnsi="Arial" w:cs="Arial"/>
                <w:sz w:val="20"/>
                <w:szCs w:val="20"/>
              </w:rPr>
            </w:pPr>
            <w:r>
              <w:rPr>
                <w:rFonts w:ascii="Arial" w:hAnsi="Arial" w:cs="Arial"/>
                <w:sz w:val="20"/>
                <w:szCs w:val="20"/>
              </w:rPr>
              <w:t>12: JP to contact LY.  Health &amp; Safety Executive Committee</w:t>
            </w:r>
          </w:p>
          <w:p w:rsidR="00D8177E" w:rsidRDefault="00D8177E" w:rsidP="001749B0">
            <w:pPr>
              <w:rPr>
                <w:rFonts w:ascii="Arial" w:hAnsi="Arial" w:cs="Arial"/>
                <w:sz w:val="20"/>
                <w:szCs w:val="20"/>
              </w:rPr>
            </w:pPr>
          </w:p>
          <w:p w:rsidR="00B82F5B" w:rsidRDefault="00B82F5B" w:rsidP="001749B0">
            <w:pPr>
              <w:rPr>
                <w:rFonts w:ascii="Arial" w:hAnsi="Arial" w:cs="Arial"/>
                <w:sz w:val="20"/>
                <w:szCs w:val="20"/>
              </w:rPr>
            </w:pPr>
            <w:r>
              <w:rPr>
                <w:rFonts w:ascii="Arial" w:hAnsi="Arial" w:cs="Arial"/>
                <w:sz w:val="20"/>
                <w:szCs w:val="20"/>
              </w:rPr>
              <w:t>13: JP to develop brief plan for the potential development of ESAG.</w:t>
            </w:r>
          </w:p>
          <w:p w:rsidR="009C3B56" w:rsidRPr="00AC6D55" w:rsidRDefault="009C3B56" w:rsidP="001749B0">
            <w:pPr>
              <w:rPr>
                <w:rFonts w:ascii="Arial" w:hAnsi="Arial" w:cs="Arial"/>
                <w:sz w:val="20"/>
                <w:szCs w:val="20"/>
              </w:rPr>
            </w:pPr>
          </w:p>
        </w:tc>
        <w:tc>
          <w:tcPr>
            <w:tcW w:w="912" w:type="dxa"/>
          </w:tcPr>
          <w:p w:rsidR="00AC6D55" w:rsidRDefault="00AC6D55" w:rsidP="007B1B1E">
            <w:pPr>
              <w:jc w:val="center"/>
              <w:rPr>
                <w:rFonts w:ascii="Arial" w:hAnsi="Arial" w:cs="Arial"/>
                <w:sz w:val="20"/>
                <w:szCs w:val="20"/>
              </w:rPr>
            </w:pP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r>
              <w:rPr>
                <w:rFonts w:ascii="Arial" w:hAnsi="Arial" w:cs="Arial"/>
                <w:sz w:val="20"/>
                <w:szCs w:val="20"/>
              </w:rPr>
              <w:t>JP</w:t>
            </w: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r>
              <w:rPr>
                <w:rFonts w:ascii="Arial" w:hAnsi="Arial" w:cs="Arial"/>
                <w:sz w:val="20"/>
                <w:szCs w:val="20"/>
              </w:rPr>
              <w:t>JP,RC</w:t>
            </w: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r>
              <w:rPr>
                <w:rFonts w:ascii="Arial" w:hAnsi="Arial" w:cs="Arial"/>
                <w:sz w:val="20"/>
                <w:szCs w:val="20"/>
              </w:rPr>
              <w:t>JP</w:t>
            </w: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r>
              <w:rPr>
                <w:rFonts w:ascii="Arial" w:hAnsi="Arial" w:cs="Arial"/>
                <w:sz w:val="20"/>
                <w:szCs w:val="20"/>
              </w:rPr>
              <w:t>GF, RC, JP</w:t>
            </w: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r>
              <w:rPr>
                <w:rFonts w:ascii="Arial" w:hAnsi="Arial" w:cs="Arial"/>
                <w:sz w:val="20"/>
                <w:szCs w:val="20"/>
              </w:rPr>
              <w:t>JP</w:t>
            </w: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r>
              <w:rPr>
                <w:rFonts w:ascii="Arial" w:hAnsi="Arial" w:cs="Arial"/>
                <w:sz w:val="20"/>
                <w:szCs w:val="20"/>
              </w:rPr>
              <w:t>JP</w:t>
            </w: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r>
              <w:rPr>
                <w:rFonts w:ascii="Arial" w:hAnsi="Arial" w:cs="Arial"/>
                <w:sz w:val="20"/>
                <w:szCs w:val="20"/>
              </w:rPr>
              <w:t>JP</w:t>
            </w: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r>
              <w:rPr>
                <w:rFonts w:ascii="Arial" w:hAnsi="Arial" w:cs="Arial"/>
                <w:sz w:val="20"/>
                <w:szCs w:val="20"/>
              </w:rPr>
              <w:t>All</w:t>
            </w: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r>
              <w:rPr>
                <w:rFonts w:ascii="Arial" w:hAnsi="Arial" w:cs="Arial"/>
                <w:sz w:val="20"/>
                <w:szCs w:val="20"/>
              </w:rPr>
              <w:t>JP</w:t>
            </w: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r>
              <w:rPr>
                <w:rFonts w:ascii="Arial" w:hAnsi="Arial" w:cs="Arial"/>
                <w:sz w:val="20"/>
                <w:szCs w:val="20"/>
              </w:rPr>
              <w:t>JP</w:t>
            </w:r>
          </w:p>
        </w:tc>
      </w:tr>
      <w:tr w:rsidR="00D8177E" w:rsidTr="00236CC6">
        <w:tc>
          <w:tcPr>
            <w:tcW w:w="534" w:type="dxa"/>
          </w:tcPr>
          <w:p w:rsidR="00D8177E" w:rsidRDefault="00D8177E" w:rsidP="00236CC6">
            <w:pPr>
              <w:jc w:val="center"/>
              <w:rPr>
                <w:rFonts w:ascii="Arial" w:hAnsi="Arial" w:cs="Arial"/>
                <w:b/>
                <w:sz w:val="20"/>
                <w:szCs w:val="20"/>
              </w:rPr>
            </w:pPr>
            <w:r>
              <w:rPr>
                <w:rFonts w:ascii="Arial" w:hAnsi="Arial" w:cs="Arial"/>
                <w:b/>
                <w:sz w:val="20"/>
                <w:szCs w:val="20"/>
              </w:rPr>
              <w:lastRenderedPageBreak/>
              <w:t>4</w:t>
            </w:r>
          </w:p>
        </w:tc>
        <w:tc>
          <w:tcPr>
            <w:tcW w:w="7796" w:type="dxa"/>
          </w:tcPr>
          <w:p w:rsidR="00D8177E" w:rsidRDefault="00D8177E" w:rsidP="001749B0">
            <w:pPr>
              <w:rPr>
                <w:rFonts w:ascii="Arial" w:hAnsi="Arial" w:cs="Arial"/>
                <w:b/>
                <w:sz w:val="20"/>
                <w:szCs w:val="20"/>
              </w:rPr>
            </w:pPr>
            <w:r>
              <w:rPr>
                <w:rFonts w:ascii="Arial" w:hAnsi="Arial" w:cs="Arial"/>
                <w:b/>
                <w:sz w:val="20"/>
                <w:szCs w:val="20"/>
              </w:rPr>
              <w:t>Environmental Management System Progression</w:t>
            </w:r>
          </w:p>
          <w:p w:rsidR="00D8177E" w:rsidRDefault="00D8177E" w:rsidP="001749B0">
            <w:pPr>
              <w:rPr>
                <w:rFonts w:ascii="Arial" w:hAnsi="Arial" w:cs="Arial"/>
                <w:b/>
                <w:sz w:val="20"/>
                <w:szCs w:val="20"/>
              </w:rPr>
            </w:pPr>
          </w:p>
          <w:p w:rsidR="00D8177E" w:rsidRDefault="00D8177E" w:rsidP="001749B0">
            <w:pPr>
              <w:rPr>
                <w:rFonts w:ascii="Arial" w:hAnsi="Arial" w:cs="Arial"/>
                <w:b/>
                <w:sz w:val="20"/>
                <w:szCs w:val="20"/>
              </w:rPr>
            </w:pPr>
            <w:r>
              <w:rPr>
                <w:rFonts w:ascii="Arial" w:hAnsi="Arial" w:cs="Arial"/>
                <w:b/>
                <w:sz w:val="20"/>
                <w:szCs w:val="20"/>
              </w:rPr>
              <w:t>Silver EcoCampus Assessment (ESAG/14/03/03)</w:t>
            </w:r>
          </w:p>
          <w:p w:rsidR="00D8177E" w:rsidRPr="00D8177E" w:rsidRDefault="00D8177E" w:rsidP="001749B0">
            <w:pPr>
              <w:rPr>
                <w:rFonts w:ascii="Arial" w:hAnsi="Arial" w:cs="Arial"/>
                <w:sz w:val="20"/>
                <w:szCs w:val="20"/>
              </w:rPr>
            </w:pPr>
          </w:p>
          <w:p w:rsidR="00D8177E" w:rsidRDefault="00D8177E" w:rsidP="001749B0">
            <w:pPr>
              <w:rPr>
                <w:rFonts w:ascii="Arial" w:hAnsi="Arial" w:cs="Arial"/>
                <w:sz w:val="20"/>
                <w:szCs w:val="20"/>
              </w:rPr>
            </w:pPr>
            <w:r>
              <w:rPr>
                <w:rFonts w:ascii="Arial" w:hAnsi="Arial" w:cs="Arial"/>
                <w:sz w:val="20"/>
                <w:szCs w:val="20"/>
              </w:rPr>
              <w:t>JP spoke t</w:t>
            </w:r>
            <w:r w:rsidR="009C3B56">
              <w:rPr>
                <w:rFonts w:ascii="Arial" w:hAnsi="Arial" w:cs="Arial"/>
                <w:sz w:val="20"/>
                <w:szCs w:val="20"/>
              </w:rPr>
              <w:t>hrough the document provided highlighting</w:t>
            </w:r>
            <w:r>
              <w:rPr>
                <w:rFonts w:ascii="Arial" w:hAnsi="Arial" w:cs="Arial"/>
                <w:sz w:val="20"/>
                <w:szCs w:val="20"/>
              </w:rPr>
              <w:t xml:space="preserve"> the main areas of success, and</w:t>
            </w:r>
            <w:r w:rsidR="009C3B56">
              <w:rPr>
                <w:rFonts w:ascii="Arial" w:hAnsi="Arial" w:cs="Arial"/>
                <w:sz w:val="20"/>
                <w:szCs w:val="20"/>
              </w:rPr>
              <w:t xml:space="preserve"> explaining</w:t>
            </w:r>
            <w:r>
              <w:rPr>
                <w:rFonts w:ascii="Arial" w:hAnsi="Arial" w:cs="Arial"/>
                <w:sz w:val="20"/>
                <w:szCs w:val="20"/>
              </w:rPr>
              <w:t xml:space="preserve"> the gaps identified</w:t>
            </w:r>
            <w:r w:rsidR="009C3B56">
              <w:rPr>
                <w:rFonts w:ascii="Arial" w:hAnsi="Arial" w:cs="Arial"/>
                <w:sz w:val="20"/>
                <w:szCs w:val="20"/>
              </w:rPr>
              <w:t xml:space="preserve"> by Alex Hobbins from EcoCampus during the physical assessment of Bainfield, Sighthill and all documents provided to the EcoCampus team.</w:t>
            </w:r>
          </w:p>
          <w:p w:rsidR="00D8177E" w:rsidRDefault="00D8177E" w:rsidP="001749B0">
            <w:pPr>
              <w:rPr>
                <w:rFonts w:ascii="Arial" w:hAnsi="Arial" w:cs="Arial"/>
                <w:sz w:val="20"/>
                <w:szCs w:val="20"/>
              </w:rPr>
            </w:pPr>
          </w:p>
          <w:p w:rsidR="00D8177E" w:rsidRPr="00D8177E" w:rsidRDefault="00D8177E" w:rsidP="001749B0">
            <w:pPr>
              <w:rPr>
                <w:rFonts w:ascii="Arial" w:hAnsi="Arial" w:cs="Arial"/>
                <w:b/>
                <w:sz w:val="20"/>
                <w:szCs w:val="20"/>
              </w:rPr>
            </w:pPr>
            <w:r w:rsidRPr="00D8177E">
              <w:rPr>
                <w:rFonts w:ascii="Arial" w:hAnsi="Arial" w:cs="Arial"/>
                <w:b/>
                <w:sz w:val="20"/>
                <w:szCs w:val="20"/>
              </w:rPr>
              <w:t>Gold Criteria (ESAG/14/03/03)</w:t>
            </w:r>
          </w:p>
          <w:p w:rsidR="00D8177E" w:rsidRDefault="00D8177E" w:rsidP="001749B0">
            <w:pPr>
              <w:rPr>
                <w:rFonts w:ascii="Arial" w:hAnsi="Arial" w:cs="Arial"/>
                <w:sz w:val="20"/>
                <w:szCs w:val="20"/>
              </w:rPr>
            </w:pPr>
          </w:p>
          <w:p w:rsidR="00D8177E" w:rsidRDefault="00D8177E" w:rsidP="001749B0">
            <w:pPr>
              <w:rPr>
                <w:rFonts w:ascii="Arial" w:hAnsi="Arial" w:cs="Arial"/>
                <w:sz w:val="20"/>
                <w:szCs w:val="20"/>
              </w:rPr>
            </w:pPr>
            <w:r>
              <w:rPr>
                <w:rFonts w:ascii="Arial" w:hAnsi="Arial" w:cs="Arial"/>
                <w:sz w:val="20"/>
                <w:szCs w:val="20"/>
              </w:rPr>
              <w:t>As per the Silver award criteria, JP spoke through the requirements of the Gold EcoCampus award and highlighted the key areas for development progressing towards the next stage of the EcoCampus and Environmental Management System development.  Aim of gaining Gold status by December 2014.</w:t>
            </w:r>
          </w:p>
          <w:p w:rsidR="00D8177E" w:rsidRDefault="00D8177E" w:rsidP="001749B0">
            <w:pPr>
              <w:rPr>
                <w:rFonts w:ascii="Arial" w:hAnsi="Arial" w:cs="Arial"/>
                <w:sz w:val="20"/>
                <w:szCs w:val="20"/>
              </w:rPr>
            </w:pPr>
          </w:p>
          <w:p w:rsidR="00D8177E" w:rsidRDefault="00D8177E" w:rsidP="001749B0">
            <w:pPr>
              <w:rPr>
                <w:rFonts w:ascii="Arial" w:hAnsi="Arial" w:cs="Arial"/>
                <w:sz w:val="20"/>
                <w:szCs w:val="20"/>
              </w:rPr>
            </w:pPr>
            <w:r>
              <w:rPr>
                <w:rFonts w:ascii="Arial" w:hAnsi="Arial" w:cs="Arial"/>
                <w:sz w:val="20"/>
                <w:szCs w:val="20"/>
              </w:rPr>
              <w:t>GW noted that, in terms of the Emergency Response Procedures</w:t>
            </w:r>
            <w:r w:rsidR="009C3B56">
              <w:rPr>
                <w:rFonts w:ascii="Arial" w:hAnsi="Arial" w:cs="Arial"/>
                <w:sz w:val="20"/>
                <w:szCs w:val="20"/>
              </w:rPr>
              <w:t xml:space="preserve"> (ERP)</w:t>
            </w:r>
            <w:r>
              <w:rPr>
                <w:rFonts w:ascii="Arial" w:hAnsi="Arial" w:cs="Arial"/>
                <w:sz w:val="20"/>
                <w:szCs w:val="20"/>
              </w:rPr>
              <w:t>,</w:t>
            </w:r>
            <w:r w:rsidR="009C3B56">
              <w:rPr>
                <w:rFonts w:ascii="Arial" w:hAnsi="Arial" w:cs="Arial"/>
                <w:sz w:val="20"/>
                <w:szCs w:val="20"/>
              </w:rPr>
              <w:t xml:space="preserve"> clause 3.7 (Emergency Preparedness and Response)</w:t>
            </w:r>
            <w:r>
              <w:rPr>
                <w:rFonts w:ascii="Arial" w:hAnsi="Arial" w:cs="Arial"/>
                <w:sz w:val="20"/>
                <w:szCs w:val="20"/>
              </w:rPr>
              <w:t xml:space="preserve"> </w:t>
            </w:r>
            <w:r w:rsidR="009C3B56">
              <w:rPr>
                <w:rFonts w:ascii="Arial" w:hAnsi="Arial" w:cs="Arial"/>
                <w:sz w:val="20"/>
                <w:szCs w:val="20"/>
              </w:rPr>
              <w:t>environmental impact should be considered and added but as per the current document, the number of ERP’s should be managed appropriately and not developed unnecessarily.</w:t>
            </w:r>
          </w:p>
          <w:p w:rsidR="009C3B56" w:rsidRDefault="009C3B56" w:rsidP="001749B0">
            <w:pPr>
              <w:rPr>
                <w:rFonts w:ascii="Arial" w:hAnsi="Arial" w:cs="Arial"/>
                <w:sz w:val="20"/>
                <w:szCs w:val="20"/>
              </w:rPr>
            </w:pPr>
          </w:p>
          <w:p w:rsidR="009C3B56" w:rsidRPr="009C3B56" w:rsidRDefault="009C3B56" w:rsidP="001749B0">
            <w:pPr>
              <w:rPr>
                <w:rFonts w:ascii="Arial" w:hAnsi="Arial" w:cs="Arial"/>
                <w:b/>
                <w:sz w:val="20"/>
                <w:szCs w:val="20"/>
              </w:rPr>
            </w:pPr>
            <w:r w:rsidRPr="009C3B56">
              <w:rPr>
                <w:rFonts w:ascii="Arial" w:hAnsi="Arial" w:cs="Arial"/>
                <w:b/>
                <w:sz w:val="20"/>
                <w:szCs w:val="20"/>
              </w:rPr>
              <w:t>Environmental Sustainability Policy (ESAG/14/03/14)</w:t>
            </w:r>
          </w:p>
          <w:p w:rsidR="009C3B56" w:rsidRDefault="009C3B56" w:rsidP="001749B0">
            <w:pPr>
              <w:rPr>
                <w:rFonts w:ascii="Arial" w:hAnsi="Arial" w:cs="Arial"/>
                <w:sz w:val="20"/>
                <w:szCs w:val="20"/>
              </w:rPr>
            </w:pPr>
          </w:p>
          <w:p w:rsidR="009C3B56" w:rsidRPr="00D8177E" w:rsidRDefault="009C3B56" w:rsidP="001749B0">
            <w:pPr>
              <w:rPr>
                <w:rFonts w:ascii="Arial" w:hAnsi="Arial" w:cs="Arial"/>
                <w:sz w:val="20"/>
                <w:szCs w:val="20"/>
              </w:rPr>
            </w:pPr>
            <w:r>
              <w:rPr>
                <w:rFonts w:ascii="Arial" w:hAnsi="Arial" w:cs="Arial"/>
                <w:sz w:val="20"/>
                <w:szCs w:val="20"/>
              </w:rPr>
              <w:t>MH noted that the Policy should map link</w:t>
            </w:r>
            <w:r w:rsidR="007B1B1E">
              <w:rPr>
                <w:rFonts w:ascii="Arial" w:hAnsi="Arial" w:cs="Arial"/>
                <w:sz w:val="20"/>
                <w:szCs w:val="20"/>
              </w:rPr>
              <w:t>s with the 2020 Strategy, highlighting</w:t>
            </w:r>
            <w:r>
              <w:rPr>
                <w:rFonts w:ascii="Arial" w:hAnsi="Arial" w:cs="Arial"/>
                <w:sz w:val="20"/>
                <w:szCs w:val="20"/>
              </w:rPr>
              <w:t xml:space="preserve"> that the attention of the University will be driven over the next five years by the 2020 Strategy.  GW happy to approve the suggested minor alterations to the Environmental Sustainability Policy but noted that it must be revisited in the next 12 months to ensure it is future-proof.  Now that the updates are agreed, JP will re-write the Policy online, inserting hyperlinks where appropriate to ensure that the document is ‘live’.</w:t>
            </w:r>
          </w:p>
          <w:p w:rsidR="00D8177E" w:rsidRDefault="00D8177E" w:rsidP="001749B0">
            <w:pPr>
              <w:rPr>
                <w:rFonts w:ascii="Arial" w:hAnsi="Arial" w:cs="Arial"/>
                <w:b/>
                <w:sz w:val="20"/>
                <w:szCs w:val="20"/>
              </w:rPr>
            </w:pPr>
          </w:p>
        </w:tc>
        <w:tc>
          <w:tcPr>
            <w:tcW w:w="912" w:type="dxa"/>
          </w:tcPr>
          <w:p w:rsidR="00D8177E" w:rsidRDefault="00D8177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7B1B1E">
            <w:pPr>
              <w:jc w:val="center"/>
              <w:rPr>
                <w:rFonts w:ascii="Arial" w:hAnsi="Arial" w:cs="Arial"/>
                <w:sz w:val="20"/>
                <w:szCs w:val="20"/>
              </w:rPr>
            </w:pPr>
            <w:r>
              <w:rPr>
                <w:rFonts w:ascii="Arial" w:hAnsi="Arial" w:cs="Arial"/>
                <w:sz w:val="20"/>
                <w:szCs w:val="20"/>
              </w:rPr>
              <w:t>JP</w:t>
            </w:r>
          </w:p>
        </w:tc>
      </w:tr>
      <w:tr w:rsidR="009C3B56" w:rsidTr="00236CC6">
        <w:tc>
          <w:tcPr>
            <w:tcW w:w="534" w:type="dxa"/>
          </w:tcPr>
          <w:p w:rsidR="009C3B56" w:rsidRDefault="009C3B56" w:rsidP="00236CC6">
            <w:pPr>
              <w:jc w:val="center"/>
              <w:rPr>
                <w:rFonts w:ascii="Arial" w:hAnsi="Arial" w:cs="Arial"/>
                <w:b/>
                <w:sz w:val="20"/>
                <w:szCs w:val="20"/>
              </w:rPr>
            </w:pPr>
            <w:r>
              <w:rPr>
                <w:rFonts w:ascii="Arial" w:hAnsi="Arial" w:cs="Arial"/>
                <w:b/>
                <w:sz w:val="20"/>
                <w:szCs w:val="20"/>
              </w:rPr>
              <w:t>5</w:t>
            </w:r>
          </w:p>
        </w:tc>
        <w:tc>
          <w:tcPr>
            <w:tcW w:w="7796" w:type="dxa"/>
          </w:tcPr>
          <w:p w:rsidR="009C3B56" w:rsidRDefault="009C3B56" w:rsidP="001749B0">
            <w:pPr>
              <w:rPr>
                <w:rFonts w:ascii="Arial" w:hAnsi="Arial" w:cs="Arial"/>
                <w:b/>
                <w:sz w:val="20"/>
                <w:szCs w:val="20"/>
              </w:rPr>
            </w:pPr>
            <w:r>
              <w:rPr>
                <w:rFonts w:ascii="Arial" w:hAnsi="Arial" w:cs="Arial"/>
                <w:b/>
                <w:sz w:val="20"/>
                <w:szCs w:val="20"/>
              </w:rPr>
              <w:t>Sustainability Office Update</w:t>
            </w:r>
          </w:p>
          <w:p w:rsidR="009C3B56" w:rsidRDefault="009C3B56" w:rsidP="001749B0">
            <w:pPr>
              <w:rPr>
                <w:rFonts w:ascii="Arial" w:hAnsi="Arial" w:cs="Arial"/>
                <w:b/>
                <w:sz w:val="20"/>
                <w:szCs w:val="20"/>
              </w:rPr>
            </w:pPr>
          </w:p>
          <w:p w:rsidR="009C3B56" w:rsidRDefault="009C3B56" w:rsidP="001749B0">
            <w:pPr>
              <w:rPr>
                <w:rFonts w:ascii="Arial" w:hAnsi="Arial" w:cs="Arial"/>
                <w:b/>
                <w:sz w:val="20"/>
                <w:szCs w:val="20"/>
              </w:rPr>
            </w:pPr>
            <w:r>
              <w:rPr>
                <w:rFonts w:ascii="Arial" w:hAnsi="Arial" w:cs="Arial"/>
                <w:b/>
                <w:sz w:val="20"/>
                <w:szCs w:val="20"/>
              </w:rPr>
              <w:t>Carbon Management Plan</w:t>
            </w:r>
          </w:p>
          <w:p w:rsidR="009C3B56" w:rsidRPr="009C3B56" w:rsidRDefault="009C3B56" w:rsidP="001749B0">
            <w:pPr>
              <w:rPr>
                <w:rFonts w:ascii="Arial" w:hAnsi="Arial" w:cs="Arial"/>
                <w:sz w:val="20"/>
                <w:szCs w:val="20"/>
              </w:rPr>
            </w:pPr>
          </w:p>
          <w:p w:rsidR="00316026" w:rsidRDefault="009C3B56" w:rsidP="001749B0">
            <w:pPr>
              <w:rPr>
                <w:rFonts w:ascii="Arial" w:hAnsi="Arial" w:cs="Arial"/>
                <w:sz w:val="20"/>
                <w:szCs w:val="20"/>
              </w:rPr>
            </w:pPr>
            <w:r>
              <w:rPr>
                <w:rFonts w:ascii="Arial" w:hAnsi="Arial" w:cs="Arial"/>
                <w:sz w:val="20"/>
                <w:szCs w:val="20"/>
              </w:rPr>
              <w:t>GF noted that he, RC and JP are working on the Plan to reshape it beyond 2014/15 to set realistic targets and actions for moving ahead.  To be discussed at the next ESAG meeting.</w:t>
            </w:r>
            <w:r w:rsidR="00316026">
              <w:rPr>
                <w:rFonts w:ascii="Arial" w:hAnsi="Arial" w:cs="Arial"/>
                <w:sz w:val="20"/>
                <w:szCs w:val="20"/>
              </w:rPr>
              <w:t xml:space="preserve">  The updated Plan should also meet the requirements of </w:t>
            </w:r>
            <w:r w:rsidR="00316026">
              <w:rPr>
                <w:rFonts w:ascii="Arial" w:hAnsi="Arial" w:cs="Arial"/>
                <w:sz w:val="20"/>
                <w:szCs w:val="20"/>
              </w:rPr>
              <w:lastRenderedPageBreak/>
              <w:t>the updated Estates Strategy.  GW keen to develop a range of measures that fit the need of the organisation, but do not pin the</w:t>
            </w:r>
            <w:r w:rsidR="007B1B1E">
              <w:rPr>
                <w:rFonts w:ascii="Arial" w:hAnsi="Arial" w:cs="Arial"/>
                <w:sz w:val="20"/>
                <w:szCs w:val="20"/>
              </w:rPr>
              <w:t xml:space="preserve"> organisation down.  MH noted the importance of reporting</w:t>
            </w:r>
            <w:r w:rsidR="00316026">
              <w:rPr>
                <w:rFonts w:ascii="Arial" w:hAnsi="Arial" w:cs="Arial"/>
                <w:sz w:val="20"/>
                <w:szCs w:val="20"/>
              </w:rPr>
              <w:t xml:space="preserve"> absolute carbon reduction figures to really highlight achievement in reducing carbon emissions at the University.  RC noted that reductions, including absolute reductions are progressing overall throughout the University estate.</w:t>
            </w:r>
          </w:p>
          <w:p w:rsidR="00316026" w:rsidRDefault="00316026" w:rsidP="001749B0">
            <w:pPr>
              <w:rPr>
                <w:rFonts w:ascii="Arial" w:hAnsi="Arial" w:cs="Arial"/>
                <w:sz w:val="20"/>
                <w:szCs w:val="20"/>
              </w:rPr>
            </w:pPr>
          </w:p>
          <w:p w:rsidR="00316026" w:rsidRDefault="00316026" w:rsidP="001749B0">
            <w:pPr>
              <w:rPr>
                <w:rFonts w:ascii="Arial" w:hAnsi="Arial" w:cs="Arial"/>
                <w:sz w:val="20"/>
                <w:szCs w:val="20"/>
              </w:rPr>
            </w:pPr>
            <w:r>
              <w:rPr>
                <w:rFonts w:ascii="Arial" w:hAnsi="Arial" w:cs="Arial"/>
                <w:sz w:val="20"/>
                <w:szCs w:val="20"/>
              </w:rPr>
              <w:t>Updated Carbon Management Plan is to be discussed at the next ESAG meeting.</w:t>
            </w:r>
          </w:p>
          <w:p w:rsidR="00316026" w:rsidRDefault="00316026" w:rsidP="001749B0">
            <w:pPr>
              <w:rPr>
                <w:rFonts w:ascii="Arial" w:hAnsi="Arial" w:cs="Arial"/>
                <w:sz w:val="20"/>
                <w:szCs w:val="20"/>
              </w:rPr>
            </w:pPr>
          </w:p>
          <w:p w:rsidR="00316026" w:rsidRPr="00316026" w:rsidRDefault="00316026" w:rsidP="001749B0">
            <w:pPr>
              <w:rPr>
                <w:rFonts w:ascii="Arial" w:hAnsi="Arial" w:cs="Arial"/>
                <w:b/>
                <w:sz w:val="20"/>
                <w:szCs w:val="20"/>
              </w:rPr>
            </w:pPr>
            <w:r w:rsidRPr="00316026">
              <w:rPr>
                <w:rFonts w:ascii="Arial" w:hAnsi="Arial" w:cs="Arial"/>
                <w:b/>
                <w:sz w:val="20"/>
                <w:szCs w:val="20"/>
              </w:rPr>
              <w:t>Energy &amp; Utilities</w:t>
            </w:r>
          </w:p>
          <w:p w:rsidR="00316026" w:rsidRDefault="00316026" w:rsidP="001749B0">
            <w:pPr>
              <w:rPr>
                <w:rFonts w:ascii="Arial" w:hAnsi="Arial" w:cs="Arial"/>
                <w:sz w:val="20"/>
                <w:szCs w:val="20"/>
              </w:rPr>
            </w:pPr>
          </w:p>
          <w:p w:rsidR="00316026" w:rsidRDefault="00316026" w:rsidP="001749B0">
            <w:pPr>
              <w:rPr>
                <w:rFonts w:ascii="Arial" w:hAnsi="Arial" w:cs="Arial"/>
                <w:sz w:val="20"/>
                <w:szCs w:val="20"/>
              </w:rPr>
            </w:pPr>
            <w:r>
              <w:rPr>
                <w:rFonts w:ascii="Arial" w:hAnsi="Arial" w:cs="Arial"/>
                <w:sz w:val="20"/>
                <w:szCs w:val="20"/>
              </w:rPr>
              <w:t>The baseline for all carbon reduction measurements at the University remains 2006/07.  Target for carbon reduction by end of 2013/14 was 30%.  RC noted that his current actual estimate is 37% (some utility information still to be received).  Mild winter over 2013/14 but some additional cooling required over Summer 2014 but another successful year in terms of carbon reduction.</w:t>
            </w:r>
          </w:p>
          <w:p w:rsidR="00316026" w:rsidRDefault="00316026" w:rsidP="001749B0">
            <w:pPr>
              <w:rPr>
                <w:rFonts w:ascii="Arial" w:hAnsi="Arial" w:cs="Arial"/>
                <w:sz w:val="20"/>
                <w:szCs w:val="20"/>
              </w:rPr>
            </w:pPr>
          </w:p>
          <w:p w:rsidR="00316026" w:rsidRDefault="00316026" w:rsidP="001749B0">
            <w:pPr>
              <w:rPr>
                <w:rFonts w:ascii="Arial" w:hAnsi="Arial" w:cs="Arial"/>
                <w:sz w:val="20"/>
                <w:szCs w:val="20"/>
              </w:rPr>
            </w:pPr>
            <w:r>
              <w:rPr>
                <w:rFonts w:ascii="Arial" w:hAnsi="Arial" w:cs="Arial"/>
                <w:sz w:val="20"/>
                <w:szCs w:val="20"/>
              </w:rPr>
              <w:t>2014/15 energy and utilities budget has been set to achieve a reduction of 35% (from 2006/07 baseline).  Will be difficult to meet, especially if there’s a cold 2014/15 winter.</w:t>
            </w:r>
          </w:p>
          <w:p w:rsidR="00316026" w:rsidRDefault="00316026" w:rsidP="001749B0">
            <w:pPr>
              <w:rPr>
                <w:rFonts w:ascii="Arial" w:hAnsi="Arial" w:cs="Arial"/>
                <w:sz w:val="20"/>
                <w:szCs w:val="20"/>
              </w:rPr>
            </w:pPr>
          </w:p>
          <w:p w:rsidR="002710BC" w:rsidRDefault="00316026" w:rsidP="001749B0">
            <w:pPr>
              <w:rPr>
                <w:rFonts w:ascii="Arial" w:hAnsi="Arial" w:cs="Arial"/>
                <w:sz w:val="20"/>
                <w:szCs w:val="20"/>
              </w:rPr>
            </w:pPr>
            <w:r>
              <w:rPr>
                <w:rFonts w:ascii="Arial" w:hAnsi="Arial" w:cs="Arial"/>
                <w:sz w:val="20"/>
                <w:szCs w:val="20"/>
              </w:rPr>
              <w:t>£123,000 planned to be spent through SALIX between April 2014 and March 2015.</w:t>
            </w:r>
            <w:r w:rsidR="002710BC">
              <w:rPr>
                <w:rFonts w:ascii="Arial" w:hAnsi="Arial" w:cs="Arial"/>
                <w:sz w:val="20"/>
                <w:szCs w:val="20"/>
              </w:rPr>
              <w:t xml:space="preserve">  Projects RC is focusing on throughout 2014/15 include revisiting the unrestricted thermostatic radiator valves at Bainfield (currently possible for residents to gain temperatures of 26/26</w:t>
            </w:r>
            <w:r w:rsidR="002710BC" w:rsidRPr="002710BC">
              <w:rPr>
                <w:rFonts w:ascii="Arial" w:hAnsi="Arial" w:cs="Arial"/>
                <w:sz w:val="20"/>
                <w:szCs w:val="20"/>
                <w:vertAlign w:val="superscript"/>
              </w:rPr>
              <w:t>o</w:t>
            </w:r>
            <w:r w:rsidR="002710BC">
              <w:rPr>
                <w:rFonts w:ascii="Arial" w:hAnsi="Arial" w:cs="Arial"/>
                <w:sz w:val="20"/>
                <w:szCs w:val="20"/>
              </w:rPr>
              <w:t xml:space="preserve">C), destratification fans at Craiglockhart and Sighthill, with a focus on lighting throughout the year.  </w:t>
            </w:r>
          </w:p>
          <w:p w:rsidR="002710BC" w:rsidRDefault="002710BC" w:rsidP="001749B0">
            <w:pPr>
              <w:rPr>
                <w:rFonts w:ascii="Arial" w:hAnsi="Arial" w:cs="Arial"/>
                <w:sz w:val="20"/>
                <w:szCs w:val="20"/>
              </w:rPr>
            </w:pPr>
          </w:p>
          <w:p w:rsidR="00316026" w:rsidRDefault="002710BC" w:rsidP="001749B0">
            <w:pPr>
              <w:rPr>
                <w:rFonts w:ascii="Arial" w:hAnsi="Arial" w:cs="Arial"/>
                <w:sz w:val="20"/>
                <w:szCs w:val="20"/>
              </w:rPr>
            </w:pPr>
            <w:r>
              <w:rPr>
                <w:rFonts w:ascii="Arial" w:hAnsi="Arial" w:cs="Arial"/>
                <w:sz w:val="20"/>
                <w:szCs w:val="20"/>
              </w:rPr>
              <w:t>RC noted that there are delays in the development of the solar photovoltaic array at Sighthill due to Building Standards at The City of Edinburgh Council.  Structural report on the building recently submitted.</w:t>
            </w:r>
          </w:p>
          <w:p w:rsidR="002710BC" w:rsidRDefault="002710BC" w:rsidP="001749B0">
            <w:pPr>
              <w:rPr>
                <w:rFonts w:ascii="Arial" w:hAnsi="Arial" w:cs="Arial"/>
                <w:sz w:val="20"/>
                <w:szCs w:val="20"/>
              </w:rPr>
            </w:pPr>
          </w:p>
          <w:p w:rsidR="002710BC" w:rsidRDefault="002710BC" w:rsidP="001749B0">
            <w:pPr>
              <w:rPr>
                <w:rFonts w:ascii="Arial" w:hAnsi="Arial" w:cs="Arial"/>
                <w:sz w:val="20"/>
                <w:szCs w:val="20"/>
              </w:rPr>
            </w:pPr>
            <w:r>
              <w:rPr>
                <w:rFonts w:ascii="Arial" w:hAnsi="Arial" w:cs="Arial"/>
                <w:sz w:val="20"/>
                <w:szCs w:val="20"/>
              </w:rPr>
              <w:t xml:space="preserve">JC is involved with the installation of a fuel cell at Merchiston.  The fuel cell </w:t>
            </w:r>
            <w:r w:rsidR="007B1B1E">
              <w:rPr>
                <w:rFonts w:ascii="Arial" w:hAnsi="Arial" w:cs="Arial"/>
                <w:sz w:val="20"/>
                <w:szCs w:val="20"/>
              </w:rPr>
              <w:t xml:space="preserve">itself </w:t>
            </w:r>
            <w:r>
              <w:rPr>
                <w:rFonts w:ascii="Arial" w:hAnsi="Arial" w:cs="Arial"/>
                <w:sz w:val="20"/>
                <w:szCs w:val="20"/>
              </w:rPr>
              <w:t>will be free, will result in a slight reduction in carbon emissions from the campus, but the greatest value will be to show students and the community the device in operation.  The planned combined heat and power unit should be installed at Merchiston by November.</w:t>
            </w:r>
          </w:p>
          <w:p w:rsidR="002710BC" w:rsidRDefault="002710BC" w:rsidP="001749B0">
            <w:pPr>
              <w:rPr>
                <w:rFonts w:ascii="Arial" w:hAnsi="Arial" w:cs="Arial"/>
                <w:sz w:val="20"/>
                <w:szCs w:val="20"/>
              </w:rPr>
            </w:pPr>
          </w:p>
          <w:p w:rsidR="002710BC" w:rsidRDefault="002710BC" w:rsidP="001749B0">
            <w:pPr>
              <w:rPr>
                <w:rFonts w:ascii="Arial" w:hAnsi="Arial" w:cs="Arial"/>
                <w:sz w:val="20"/>
                <w:szCs w:val="20"/>
              </w:rPr>
            </w:pPr>
            <w:r>
              <w:rPr>
                <w:rFonts w:ascii="Arial" w:hAnsi="Arial" w:cs="Arial"/>
                <w:sz w:val="20"/>
                <w:szCs w:val="20"/>
              </w:rPr>
              <w:t xml:space="preserve">RC noted that he is retiring at Christmas.  GW formally thanked him, on behalf of ESAG, for </w:t>
            </w:r>
            <w:r w:rsidR="00D32BD5">
              <w:rPr>
                <w:rFonts w:ascii="Arial" w:hAnsi="Arial" w:cs="Arial"/>
                <w:sz w:val="20"/>
                <w:szCs w:val="20"/>
              </w:rPr>
              <w:t>his support over the past six years.</w:t>
            </w:r>
          </w:p>
          <w:p w:rsidR="00D32BD5" w:rsidRDefault="00D32BD5" w:rsidP="001749B0">
            <w:pPr>
              <w:rPr>
                <w:rFonts w:ascii="Arial" w:hAnsi="Arial" w:cs="Arial"/>
                <w:sz w:val="20"/>
                <w:szCs w:val="20"/>
              </w:rPr>
            </w:pPr>
          </w:p>
          <w:p w:rsidR="00D32BD5" w:rsidRPr="00D32BD5" w:rsidRDefault="00D32BD5" w:rsidP="001749B0">
            <w:pPr>
              <w:rPr>
                <w:rFonts w:ascii="Arial" w:hAnsi="Arial" w:cs="Arial"/>
                <w:b/>
                <w:sz w:val="20"/>
                <w:szCs w:val="20"/>
              </w:rPr>
            </w:pPr>
            <w:r w:rsidRPr="00D32BD5">
              <w:rPr>
                <w:rFonts w:ascii="Arial" w:hAnsi="Arial" w:cs="Arial"/>
                <w:b/>
                <w:sz w:val="20"/>
                <w:szCs w:val="20"/>
              </w:rPr>
              <w:t>Green League</w:t>
            </w:r>
          </w:p>
          <w:p w:rsidR="00D32BD5" w:rsidRDefault="00D32BD5" w:rsidP="001749B0">
            <w:pPr>
              <w:rPr>
                <w:rFonts w:ascii="Arial" w:hAnsi="Arial" w:cs="Arial"/>
                <w:sz w:val="20"/>
                <w:szCs w:val="20"/>
              </w:rPr>
            </w:pPr>
          </w:p>
          <w:p w:rsidR="00D32BD5" w:rsidRDefault="00D32BD5" w:rsidP="001749B0">
            <w:pPr>
              <w:rPr>
                <w:rFonts w:ascii="Arial" w:hAnsi="Arial" w:cs="Arial"/>
                <w:sz w:val="20"/>
                <w:szCs w:val="20"/>
              </w:rPr>
            </w:pPr>
            <w:r>
              <w:rPr>
                <w:rFonts w:ascii="Arial" w:hAnsi="Arial" w:cs="Arial"/>
                <w:sz w:val="20"/>
                <w:szCs w:val="20"/>
              </w:rPr>
              <w:t>League is extremely volatile.  Promot</w:t>
            </w:r>
            <w:r w:rsidR="007B1B1E">
              <w:rPr>
                <w:rFonts w:ascii="Arial" w:hAnsi="Arial" w:cs="Arial"/>
                <w:sz w:val="20"/>
                <w:szCs w:val="20"/>
              </w:rPr>
              <w:t>ion of environmental achievement</w:t>
            </w:r>
            <w:r>
              <w:rPr>
                <w:rFonts w:ascii="Arial" w:hAnsi="Arial" w:cs="Arial"/>
                <w:sz w:val="20"/>
                <w:szCs w:val="20"/>
              </w:rPr>
              <w:t xml:space="preserve"> at Edinburgh should be associated with EcoCampus and the development of an Environmental Management System, not Green League</w:t>
            </w:r>
            <w:r w:rsidR="007B1B1E">
              <w:rPr>
                <w:rFonts w:ascii="Arial" w:hAnsi="Arial" w:cs="Arial"/>
                <w:sz w:val="20"/>
                <w:szCs w:val="20"/>
              </w:rPr>
              <w:t xml:space="preserve"> on its own</w:t>
            </w:r>
            <w:r>
              <w:rPr>
                <w:rFonts w:ascii="Arial" w:hAnsi="Arial" w:cs="Arial"/>
                <w:sz w:val="20"/>
                <w:szCs w:val="20"/>
              </w:rPr>
              <w:t>.  GF noted that the Association of University Directors of Estates and the Environmental Association for Universities and Colleges will work with People and Planet to develop a secto</w:t>
            </w:r>
            <w:r w:rsidR="007B1B1E">
              <w:rPr>
                <w:rFonts w:ascii="Arial" w:hAnsi="Arial" w:cs="Arial"/>
                <w:sz w:val="20"/>
                <w:szCs w:val="20"/>
              </w:rPr>
              <w:t>r wide, and appropriate, assessment tool with a view of replacing Green League in its current form.</w:t>
            </w:r>
          </w:p>
          <w:p w:rsidR="009C3B56" w:rsidRDefault="009C3B56" w:rsidP="00316026">
            <w:pPr>
              <w:rPr>
                <w:rFonts w:ascii="Arial" w:hAnsi="Arial" w:cs="Arial"/>
                <w:b/>
                <w:sz w:val="20"/>
                <w:szCs w:val="20"/>
              </w:rPr>
            </w:pPr>
          </w:p>
        </w:tc>
        <w:tc>
          <w:tcPr>
            <w:tcW w:w="912" w:type="dxa"/>
          </w:tcPr>
          <w:p w:rsidR="009C3B56" w:rsidRDefault="009C3B56" w:rsidP="001749B0">
            <w:pPr>
              <w:rPr>
                <w:rFonts w:ascii="Arial" w:hAnsi="Arial" w:cs="Arial"/>
                <w:sz w:val="20"/>
                <w:szCs w:val="20"/>
              </w:rPr>
            </w:pPr>
          </w:p>
        </w:tc>
      </w:tr>
      <w:tr w:rsidR="00D32BD5" w:rsidTr="00236CC6">
        <w:tc>
          <w:tcPr>
            <w:tcW w:w="534" w:type="dxa"/>
          </w:tcPr>
          <w:p w:rsidR="00D32BD5" w:rsidRDefault="00D32BD5" w:rsidP="00236CC6">
            <w:pPr>
              <w:jc w:val="center"/>
              <w:rPr>
                <w:rFonts w:ascii="Arial" w:hAnsi="Arial" w:cs="Arial"/>
                <w:b/>
                <w:sz w:val="20"/>
                <w:szCs w:val="20"/>
              </w:rPr>
            </w:pPr>
            <w:r>
              <w:rPr>
                <w:rFonts w:ascii="Arial" w:hAnsi="Arial" w:cs="Arial"/>
                <w:b/>
                <w:sz w:val="20"/>
                <w:szCs w:val="20"/>
              </w:rPr>
              <w:lastRenderedPageBreak/>
              <w:t>6</w:t>
            </w:r>
          </w:p>
        </w:tc>
        <w:tc>
          <w:tcPr>
            <w:tcW w:w="7796" w:type="dxa"/>
          </w:tcPr>
          <w:p w:rsidR="00D32BD5" w:rsidRDefault="00D32BD5" w:rsidP="001749B0">
            <w:pPr>
              <w:rPr>
                <w:rFonts w:ascii="Arial" w:hAnsi="Arial" w:cs="Arial"/>
                <w:b/>
                <w:sz w:val="20"/>
                <w:szCs w:val="20"/>
              </w:rPr>
            </w:pPr>
            <w:r>
              <w:rPr>
                <w:rFonts w:ascii="Arial" w:hAnsi="Arial" w:cs="Arial"/>
                <w:b/>
                <w:sz w:val="20"/>
                <w:szCs w:val="20"/>
              </w:rPr>
              <w:t>2014/15 Meetings</w:t>
            </w:r>
          </w:p>
          <w:p w:rsidR="00D32BD5" w:rsidRPr="00D32BD5" w:rsidRDefault="00D32BD5" w:rsidP="001749B0">
            <w:pPr>
              <w:rPr>
                <w:rFonts w:ascii="Arial" w:hAnsi="Arial" w:cs="Arial"/>
                <w:sz w:val="20"/>
                <w:szCs w:val="20"/>
              </w:rPr>
            </w:pPr>
          </w:p>
          <w:p w:rsidR="00D32BD5" w:rsidRDefault="000F384C" w:rsidP="001749B0">
            <w:pPr>
              <w:rPr>
                <w:rFonts w:ascii="Arial" w:hAnsi="Arial" w:cs="Arial"/>
                <w:sz w:val="20"/>
                <w:szCs w:val="20"/>
              </w:rPr>
            </w:pPr>
            <w:r>
              <w:rPr>
                <w:rFonts w:ascii="Arial" w:hAnsi="Arial" w:cs="Arial"/>
                <w:sz w:val="20"/>
                <w:szCs w:val="20"/>
              </w:rPr>
              <w:t xml:space="preserve">Four </w:t>
            </w:r>
            <w:r w:rsidR="00D32BD5">
              <w:rPr>
                <w:rFonts w:ascii="Arial" w:hAnsi="Arial" w:cs="Arial"/>
                <w:sz w:val="20"/>
                <w:szCs w:val="20"/>
              </w:rPr>
              <w:t>dates to be organised throughout 2014/15.</w:t>
            </w:r>
          </w:p>
          <w:p w:rsidR="000F384C" w:rsidRDefault="000F384C" w:rsidP="001749B0">
            <w:pPr>
              <w:rPr>
                <w:rFonts w:ascii="Arial" w:hAnsi="Arial" w:cs="Arial"/>
                <w:b/>
                <w:sz w:val="20"/>
                <w:szCs w:val="20"/>
              </w:rPr>
            </w:pPr>
          </w:p>
        </w:tc>
        <w:tc>
          <w:tcPr>
            <w:tcW w:w="912" w:type="dxa"/>
          </w:tcPr>
          <w:p w:rsidR="00D32BD5" w:rsidRDefault="00D32BD5" w:rsidP="001749B0">
            <w:pPr>
              <w:rPr>
                <w:rFonts w:ascii="Arial" w:hAnsi="Arial" w:cs="Arial"/>
                <w:sz w:val="20"/>
                <w:szCs w:val="20"/>
              </w:rPr>
            </w:pPr>
          </w:p>
          <w:p w:rsidR="000F384C" w:rsidRDefault="000F384C" w:rsidP="001749B0">
            <w:pPr>
              <w:rPr>
                <w:rFonts w:ascii="Arial" w:hAnsi="Arial" w:cs="Arial"/>
                <w:sz w:val="20"/>
                <w:szCs w:val="20"/>
              </w:rPr>
            </w:pPr>
          </w:p>
          <w:p w:rsidR="000F384C" w:rsidRDefault="000F384C" w:rsidP="000F384C">
            <w:pPr>
              <w:jc w:val="center"/>
              <w:rPr>
                <w:rFonts w:ascii="Arial" w:hAnsi="Arial" w:cs="Arial"/>
                <w:sz w:val="20"/>
                <w:szCs w:val="20"/>
              </w:rPr>
            </w:pPr>
            <w:r>
              <w:rPr>
                <w:rFonts w:ascii="Arial" w:hAnsi="Arial" w:cs="Arial"/>
                <w:sz w:val="20"/>
                <w:szCs w:val="20"/>
              </w:rPr>
              <w:t>JP</w:t>
            </w:r>
          </w:p>
        </w:tc>
      </w:tr>
    </w:tbl>
    <w:p w:rsidR="00564B4F" w:rsidRPr="001749B0" w:rsidRDefault="00564B4F" w:rsidP="001749B0">
      <w:pPr>
        <w:spacing w:after="0"/>
        <w:rPr>
          <w:rFonts w:ascii="Arial" w:hAnsi="Arial" w:cs="Arial"/>
          <w:sz w:val="20"/>
          <w:szCs w:val="20"/>
        </w:rPr>
      </w:pPr>
    </w:p>
    <w:sectPr w:rsidR="00564B4F" w:rsidRPr="00174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B0"/>
    <w:rsid w:val="0005069A"/>
    <w:rsid w:val="00081909"/>
    <w:rsid w:val="000B008E"/>
    <w:rsid w:val="000F384C"/>
    <w:rsid w:val="001749B0"/>
    <w:rsid w:val="001B4B9B"/>
    <w:rsid w:val="001C71AE"/>
    <w:rsid w:val="00236CC6"/>
    <w:rsid w:val="00262BC9"/>
    <w:rsid w:val="002710BC"/>
    <w:rsid w:val="00284665"/>
    <w:rsid w:val="00291362"/>
    <w:rsid w:val="00295C78"/>
    <w:rsid w:val="002C411B"/>
    <w:rsid w:val="002D6FAD"/>
    <w:rsid w:val="0031227F"/>
    <w:rsid w:val="00316026"/>
    <w:rsid w:val="00340DEC"/>
    <w:rsid w:val="003576A1"/>
    <w:rsid w:val="00374318"/>
    <w:rsid w:val="003A295B"/>
    <w:rsid w:val="003B6EFA"/>
    <w:rsid w:val="003E1C16"/>
    <w:rsid w:val="003E7AB6"/>
    <w:rsid w:val="00411F3A"/>
    <w:rsid w:val="00450786"/>
    <w:rsid w:val="00463861"/>
    <w:rsid w:val="004B40ED"/>
    <w:rsid w:val="004F5DCD"/>
    <w:rsid w:val="00523055"/>
    <w:rsid w:val="005447DB"/>
    <w:rsid w:val="00564B4F"/>
    <w:rsid w:val="0056519C"/>
    <w:rsid w:val="005C15CD"/>
    <w:rsid w:val="00676F91"/>
    <w:rsid w:val="006C2DDE"/>
    <w:rsid w:val="006D33CD"/>
    <w:rsid w:val="00703E4A"/>
    <w:rsid w:val="00716D60"/>
    <w:rsid w:val="007274FF"/>
    <w:rsid w:val="00731D17"/>
    <w:rsid w:val="0076605F"/>
    <w:rsid w:val="0077636F"/>
    <w:rsid w:val="00787F53"/>
    <w:rsid w:val="007A5537"/>
    <w:rsid w:val="007B1B1E"/>
    <w:rsid w:val="007B31C2"/>
    <w:rsid w:val="007F1300"/>
    <w:rsid w:val="007F3244"/>
    <w:rsid w:val="008314B8"/>
    <w:rsid w:val="008609E0"/>
    <w:rsid w:val="00921938"/>
    <w:rsid w:val="009455DF"/>
    <w:rsid w:val="009915D9"/>
    <w:rsid w:val="00994C50"/>
    <w:rsid w:val="009C3B56"/>
    <w:rsid w:val="009F1788"/>
    <w:rsid w:val="00A258F1"/>
    <w:rsid w:val="00A435B9"/>
    <w:rsid w:val="00A5622E"/>
    <w:rsid w:val="00A66235"/>
    <w:rsid w:val="00AC6D55"/>
    <w:rsid w:val="00AF38D5"/>
    <w:rsid w:val="00B003FD"/>
    <w:rsid w:val="00B6692B"/>
    <w:rsid w:val="00B81CBF"/>
    <w:rsid w:val="00B82F5B"/>
    <w:rsid w:val="00B93F1A"/>
    <w:rsid w:val="00BB65C2"/>
    <w:rsid w:val="00BE3D5A"/>
    <w:rsid w:val="00BF07C3"/>
    <w:rsid w:val="00C24F94"/>
    <w:rsid w:val="00C25731"/>
    <w:rsid w:val="00CC488F"/>
    <w:rsid w:val="00CD75B6"/>
    <w:rsid w:val="00CE1C3F"/>
    <w:rsid w:val="00CF42DC"/>
    <w:rsid w:val="00D32BD5"/>
    <w:rsid w:val="00D36292"/>
    <w:rsid w:val="00D6172E"/>
    <w:rsid w:val="00D8177E"/>
    <w:rsid w:val="00D824A6"/>
    <w:rsid w:val="00DC4374"/>
    <w:rsid w:val="00E63C1A"/>
    <w:rsid w:val="00EA0966"/>
    <w:rsid w:val="00F509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36EFD-F8BA-4507-8186-11E49C58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1362"/>
    <w:rPr>
      <w:color w:val="0000FF" w:themeColor="hyperlink"/>
      <w:u w:val="single"/>
    </w:rPr>
  </w:style>
  <w:style w:type="paragraph" w:styleId="BalloonText">
    <w:name w:val="Balloon Text"/>
    <w:basedOn w:val="Normal"/>
    <w:link w:val="BalloonTextChar"/>
    <w:uiPriority w:val="99"/>
    <w:semiHidden/>
    <w:unhideWhenUsed/>
    <w:rsid w:val="00374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318"/>
    <w:rPr>
      <w:rFonts w:ascii="Tahoma" w:hAnsi="Tahoma" w:cs="Tahoma"/>
      <w:sz w:val="16"/>
      <w:szCs w:val="16"/>
    </w:rPr>
  </w:style>
  <w:style w:type="paragraph" w:customStyle="1" w:styleId="Default">
    <w:name w:val="Default"/>
    <w:rsid w:val="00A435B9"/>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631579">
      <w:bodyDiv w:val="1"/>
      <w:marLeft w:val="0"/>
      <w:marRight w:val="0"/>
      <w:marTop w:val="0"/>
      <w:marBottom w:val="0"/>
      <w:divBdr>
        <w:top w:val="none" w:sz="0" w:space="0" w:color="auto"/>
        <w:left w:val="none" w:sz="0" w:space="0" w:color="auto"/>
        <w:bottom w:val="none" w:sz="0" w:space="0" w:color="auto"/>
        <w:right w:val="none" w:sz="0" w:space="0" w:color="auto"/>
      </w:divBdr>
    </w:div>
    <w:div w:id="13551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552DAE0C-581B-40B5-A384-2BB60B9BE068}"/>
</file>

<file path=customXml/itemProps2.xml><?xml version="1.0" encoding="utf-8"?>
<ds:datastoreItem xmlns:ds="http://schemas.openxmlformats.org/officeDocument/2006/customXml" ds:itemID="{F651EEAC-C14E-4D19-8ED7-DBA61A074C70}"/>
</file>

<file path=customXml/itemProps3.xml><?xml version="1.0" encoding="utf-8"?>
<ds:datastoreItem xmlns:ds="http://schemas.openxmlformats.org/officeDocument/2006/customXml" ds:itemID="{CF97A7EA-619F-45FF-BB30-5C109C0A62D7}"/>
</file>

<file path=customXml/itemProps4.xml><?xml version="1.0" encoding="utf-8"?>
<ds:datastoreItem xmlns:ds="http://schemas.openxmlformats.org/officeDocument/2006/customXml" ds:itemID="{A192040E-1769-4F24-9EEE-5964AA9B013E}"/>
</file>

<file path=docProps/app.xml><?xml version="1.0" encoding="utf-8"?>
<Properties xmlns="http://schemas.openxmlformats.org/officeDocument/2006/extended-properties" xmlns:vt="http://schemas.openxmlformats.org/officeDocument/2006/docPropsVTypes">
  <Template>Normal.dotm</Template>
  <TotalTime>23</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Pearson</dc:creator>
  <cp:lastModifiedBy>Pearson, Jamie</cp:lastModifiedBy>
  <cp:revision>5</cp:revision>
  <dcterms:created xsi:type="dcterms:W3CDTF">2014-09-30T16:56:00Z</dcterms:created>
  <dcterms:modified xsi:type="dcterms:W3CDTF">2014-10-06T16:50:00Z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