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AFB" w14:textId="3AA12AC1" w:rsidR="0063269C" w:rsidRPr="0068046A" w:rsidRDefault="0063269C" w:rsidP="00983469">
      <w:pPr>
        <w:jc w:val="both"/>
        <w:rPr>
          <w:rFonts w:ascii="Titillium" w:hAnsi="Titillium"/>
          <w:noProof/>
          <w:sz w:val="20"/>
          <w:szCs w:val="20"/>
          <w:lang w:eastAsia="en-GB"/>
        </w:rPr>
      </w:pPr>
    </w:p>
    <w:p w14:paraId="1F3FAB7C" w14:textId="4E8F48CC" w:rsidR="0068046A" w:rsidRPr="0068046A" w:rsidRDefault="0068046A" w:rsidP="0068046A">
      <w:pPr>
        <w:jc w:val="center"/>
        <w:rPr>
          <w:rFonts w:ascii="Titillium" w:hAnsi="Titillium"/>
          <w:b/>
          <w:bCs/>
          <w:sz w:val="28"/>
          <w:szCs w:val="28"/>
        </w:rPr>
      </w:pPr>
      <w:r w:rsidRPr="0068046A">
        <w:rPr>
          <w:rFonts w:ascii="Titillium" w:hAnsi="Titillium"/>
          <w:b/>
          <w:bCs/>
          <w:sz w:val="28"/>
          <w:szCs w:val="28"/>
        </w:rPr>
        <w:t>Policy Statement on Recruitment of Ex-Offenders</w:t>
      </w:r>
      <w:r w:rsidR="005E3073">
        <w:rPr>
          <w:rFonts w:ascii="Titillium" w:hAnsi="Titillium"/>
          <w:b/>
          <w:bCs/>
          <w:sz w:val="28"/>
          <w:szCs w:val="28"/>
        </w:rPr>
        <w:t xml:space="preserve"> and Declaration of Criminal Convictions </w:t>
      </w:r>
      <w:r w:rsidR="00B11F8A">
        <w:rPr>
          <w:rFonts w:ascii="Titillium" w:hAnsi="Titillium"/>
          <w:b/>
          <w:bCs/>
          <w:sz w:val="28"/>
          <w:szCs w:val="28"/>
        </w:rPr>
        <w:t>for Employees</w:t>
      </w:r>
    </w:p>
    <w:p w14:paraId="1B6B442E" w14:textId="68A27455" w:rsidR="00943A9B" w:rsidRPr="0068046A" w:rsidRDefault="00943A9B" w:rsidP="0068046A">
      <w:pPr>
        <w:jc w:val="center"/>
        <w:rPr>
          <w:rFonts w:ascii="Titillium" w:hAnsi="Titillium"/>
          <w:noProof/>
          <w:sz w:val="20"/>
          <w:szCs w:val="20"/>
          <w:lang w:eastAsia="en-GB"/>
        </w:rPr>
      </w:pPr>
    </w:p>
    <w:p w14:paraId="19686000" w14:textId="5D4B009D" w:rsidR="0068046A" w:rsidRPr="0068046A" w:rsidRDefault="0068046A" w:rsidP="0068046A">
      <w:pPr>
        <w:shd w:val="clear" w:color="auto" w:fill="FFFFFF"/>
        <w:spacing w:after="180"/>
        <w:rPr>
          <w:rFonts w:ascii="Titillium" w:hAnsi="Titillium"/>
          <w:color w:val="333333"/>
          <w:sz w:val="20"/>
          <w:szCs w:val="20"/>
        </w:rPr>
      </w:pPr>
      <w:r w:rsidRPr="0068046A">
        <w:rPr>
          <w:rFonts w:ascii="Titillium" w:hAnsi="Titillium"/>
          <w:color w:val="333333"/>
          <w:sz w:val="20"/>
          <w:szCs w:val="20"/>
        </w:rPr>
        <w:t>Th</w:t>
      </w:r>
      <w:r w:rsidR="00130C4F">
        <w:rPr>
          <w:rFonts w:ascii="Titillium" w:hAnsi="Titillium"/>
          <w:color w:val="333333"/>
          <w:sz w:val="20"/>
          <w:szCs w:val="20"/>
        </w:rPr>
        <w:t>is</w:t>
      </w:r>
      <w:r w:rsidRPr="0068046A">
        <w:rPr>
          <w:rFonts w:ascii="Titillium" w:hAnsi="Titillium"/>
          <w:color w:val="333333"/>
          <w:sz w:val="20"/>
          <w:szCs w:val="20"/>
        </w:rPr>
        <w:t xml:space="preserve"> statement is to outline the University’s approach towards employing people who have criminal convictions. </w:t>
      </w:r>
    </w:p>
    <w:p w14:paraId="5437ACBA" w14:textId="77777777" w:rsidR="0068046A" w:rsidRPr="0068046A" w:rsidRDefault="0068046A" w:rsidP="0068046A">
      <w:pPr>
        <w:pStyle w:val="ListParagraph"/>
        <w:numPr>
          <w:ilvl w:val="0"/>
          <w:numId w:val="35"/>
        </w:numPr>
        <w:shd w:val="clear" w:color="auto" w:fill="FFFFFF"/>
        <w:spacing w:after="180"/>
        <w:rPr>
          <w:rFonts w:ascii="Titillium" w:hAnsi="Titillium"/>
          <w:color w:val="333333"/>
          <w:sz w:val="20"/>
          <w:szCs w:val="20"/>
        </w:rPr>
      </w:pPr>
      <w:r w:rsidRPr="0068046A">
        <w:rPr>
          <w:rFonts w:ascii="Titillium" w:hAnsi="Titillium"/>
          <w:color w:val="333333"/>
          <w:sz w:val="20"/>
          <w:szCs w:val="20"/>
        </w:rPr>
        <w:t>The University is committed to equality of opportunity for all job applicants and aims to select people for employment on the basis of their individual skills, abilities, experience, knowledge and, where appropriate, qualifications and training.</w:t>
      </w:r>
    </w:p>
    <w:p w14:paraId="76EA3568" w14:textId="77777777" w:rsidR="0068046A" w:rsidRPr="0068046A" w:rsidRDefault="0068046A" w:rsidP="0068046A">
      <w:pPr>
        <w:pStyle w:val="ListParagraph"/>
        <w:shd w:val="clear" w:color="auto" w:fill="FFFFFF"/>
        <w:spacing w:after="180"/>
        <w:rPr>
          <w:rFonts w:ascii="Titillium" w:hAnsi="Titillium"/>
          <w:color w:val="333333"/>
          <w:sz w:val="20"/>
          <w:szCs w:val="20"/>
        </w:rPr>
      </w:pPr>
    </w:p>
    <w:p w14:paraId="38B98DC3" w14:textId="08C81449" w:rsidR="0068046A" w:rsidRPr="00E70B84" w:rsidRDefault="0068046A" w:rsidP="00217ED4">
      <w:pPr>
        <w:pStyle w:val="ListParagraph"/>
        <w:numPr>
          <w:ilvl w:val="0"/>
          <w:numId w:val="35"/>
        </w:numPr>
        <w:shd w:val="clear" w:color="auto" w:fill="FFFFFF"/>
        <w:spacing w:after="180"/>
        <w:rPr>
          <w:rFonts w:ascii="Titillium" w:hAnsi="Titillium"/>
          <w:sz w:val="20"/>
          <w:szCs w:val="20"/>
        </w:rPr>
      </w:pPr>
      <w:r w:rsidRPr="00E70B84">
        <w:rPr>
          <w:rFonts w:ascii="Titillium" w:hAnsi="Titillium"/>
          <w:sz w:val="20"/>
          <w:szCs w:val="20"/>
        </w:rPr>
        <w:t xml:space="preserve">The University complies fully with the </w:t>
      </w:r>
      <w:hyperlink r:id="rId8" w:history="1">
        <w:r w:rsidRPr="00E70B84">
          <w:rPr>
            <w:rStyle w:val="Hyperlink"/>
            <w:rFonts w:ascii="Titillium" w:hAnsi="Titillium"/>
            <w:sz w:val="20"/>
            <w:szCs w:val="20"/>
          </w:rPr>
          <w:t>Code of Practice</w:t>
        </w:r>
      </w:hyperlink>
      <w:r w:rsidRPr="00E70B84">
        <w:rPr>
          <w:rFonts w:ascii="Titillium" w:hAnsi="Titillium"/>
          <w:sz w:val="20"/>
          <w:szCs w:val="20"/>
        </w:rPr>
        <w:t xml:space="preserve"> (“the Code”) published by the Scottish Ministers under section 1221 of Part V of the Police Act 1997 (“the 1997 Act”) in connection with the use of information provided to registered persons, their nominees and other recipients of information by Disclosure Scotland under Part V of the Police Act 1997, for the purposes of assessing applicants' suitability for employment purposes and other relevant purposes. </w:t>
      </w:r>
    </w:p>
    <w:p w14:paraId="4E2691F0" w14:textId="77777777" w:rsidR="0068046A" w:rsidRPr="0068046A" w:rsidRDefault="0068046A" w:rsidP="0068046A">
      <w:pPr>
        <w:pStyle w:val="ListParagraph"/>
        <w:shd w:val="clear" w:color="auto" w:fill="FFFFFF"/>
        <w:spacing w:after="180"/>
        <w:rPr>
          <w:rFonts w:ascii="Titillium" w:hAnsi="Titillium"/>
          <w:sz w:val="20"/>
          <w:szCs w:val="20"/>
        </w:rPr>
      </w:pPr>
    </w:p>
    <w:p w14:paraId="0733FC35" w14:textId="78BCDBA5" w:rsidR="0068046A" w:rsidRPr="0068046A" w:rsidRDefault="0068046A" w:rsidP="0068046A">
      <w:pPr>
        <w:pStyle w:val="ListParagraph"/>
        <w:numPr>
          <w:ilvl w:val="0"/>
          <w:numId w:val="35"/>
        </w:numPr>
        <w:shd w:val="clear" w:color="auto" w:fill="FFFFFF"/>
        <w:spacing w:after="180"/>
        <w:rPr>
          <w:rFonts w:ascii="Titillium" w:hAnsi="Titillium"/>
          <w:color w:val="333333"/>
          <w:sz w:val="20"/>
          <w:szCs w:val="20"/>
        </w:rPr>
      </w:pPr>
      <w:r w:rsidRPr="009B382F">
        <w:rPr>
          <w:rFonts w:ascii="Titillium" w:hAnsi="Titillium"/>
          <w:sz w:val="20"/>
          <w:szCs w:val="20"/>
        </w:rPr>
        <w:t xml:space="preserve">We undertake to treat all applicants for roles fairly and not to discriminate unfairly against the subject of a disclosure </w:t>
      </w:r>
      <w:proofErr w:type="gramStart"/>
      <w:r w:rsidRPr="009B382F">
        <w:rPr>
          <w:rFonts w:ascii="Titillium" w:hAnsi="Titillium"/>
          <w:sz w:val="20"/>
          <w:szCs w:val="20"/>
        </w:rPr>
        <w:t>on the basis of</w:t>
      </w:r>
      <w:proofErr w:type="gramEnd"/>
      <w:r w:rsidRPr="009B382F">
        <w:rPr>
          <w:rFonts w:ascii="Titillium" w:hAnsi="Titillium"/>
          <w:sz w:val="20"/>
          <w:szCs w:val="20"/>
        </w:rPr>
        <w:t xml:space="preserve"> conviction or other information revealed. </w:t>
      </w:r>
      <w:r w:rsidR="009B382F" w:rsidRPr="009B382F">
        <w:rPr>
          <w:rFonts w:ascii="Titillium" w:hAnsi="Titillium"/>
          <w:color w:val="333333"/>
          <w:sz w:val="20"/>
          <w:szCs w:val="20"/>
          <w:shd w:val="clear" w:color="auto" w:fill="FFFFFF"/>
        </w:rPr>
        <w:t>We will not automatically refuse to employ a particular individual just because they have a previous criminal conviction</w:t>
      </w:r>
      <w:r w:rsidR="009B382F">
        <w:rPr>
          <w:color w:val="333333"/>
          <w:shd w:val="clear" w:color="auto" w:fill="FFFFFF"/>
        </w:rPr>
        <w:t>.</w:t>
      </w:r>
    </w:p>
    <w:p w14:paraId="705F239D" w14:textId="77777777" w:rsidR="0068046A" w:rsidRPr="0068046A" w:rsidRDefault="0068046A" w:rsidP="0068046A">
      <w:pPr>
        <w:pStyle w:val="ListParagraph"/>
        <w:shd w:val="clear" w:color="auto" w:fill="FFFFFF"/>
        <w:spacing w:after="180"/>
        <w:rPr>
          <w:rFonts w:ascii="Titillium" w:hAnsi="Titillium"/>
          <w:color w:val="333333"/>
          <w:sz w:val="20"/>
          <w:szCs w:val="20"/>
        </w:rPr>
      </w:pPr>
    </w:p>
    <w:p w14:paraId="0CE63E3E" w14:textId="77777777" w:rsidR="0068046A" w:rsidRPr="0068046A" w:rsidRDefault="0068046A" w:rsidP="0068046A">
      <w:pPr>
        <w:pStyle w:val="ListParagraph"/>
        <w:numPr>
          <w:ilvl w:val="0"/>
          <w:numId w:val="35"/>
        </w:numPr>
        <w:shd w:val="clear" w:color="auto" w:fill="FFFFFF"/>
        <w:spacing w:after="180"/>
        <w:rPr>
          <w:rFonts w:ascii="Titillium" w:hAnsi="Titillium"/>
          <w:color w:val="333333"/>
          <w:sz w:val="20"/>
          <w:szCs w:val="20"/>
        </w:rPr>
      </w:pPr>
      <w:r w:rsidRPr="0068046A">
        <w:rPr>
          <w:rFonts w:ascii="Titillium" w:hAnsi="Titillium"/>
          <w:sz w:val="20"/>
          <w:szCs w:val="20"/>
        </w:rPr>
        <w:t xml:space="preserve">In line with the </w:t>
      </w:r>
      <w:hyperlink r:id="rId9" w:history="1">
        <w:r w:rsidRPr="0068046A">
          <w:rPr>
            <w:rStyle w:val="Hyperlink"/>
            <w:rFonts w:ascii="Titillium" w:hAnsi="Titillium"/>
            <w:sz w:val="20"/>
            <w:szCs w:val="20"/>
          </w:rPr>
          <w:t>Rehabilitation of Offenders Act 1974</w:t>
        </w:r>
      </w:hyperlink>
      <w:r w:rsidRPr="0068046A">
        <w:rPr>
          <w:rFonts w:ascii="Titillium" w:hAnsi="Titillium"/>
          <w:sz w:val="20"/>
          <w:szCs w:val="20"/>
        </w:rPr>
        <w:t xml:space="preserve">, the University will only ask about convictions which are defined as "unspent" in terms of that Act, unless the nature of the role is such that it is one of the excluded jobs listed in the </w:t>
      </w:r>
      <w:hyperlink r:id="rId10" w:history="1">
        <w:r w:rsidRPr="0068046A">
          <w:rPr>
            <w:rStyle w:val="Hyperlink"/>
            <w:rFonts w:ascii="Titillium" w:hAnsi="Titillium"/>
            <w:sz w:val="20"/>
            <w:szCs w:val="20"/>
          </w:rPr>
          <w:t>Rehabilitation of Offenders Act 1974 ( Exclusions and Exceptions) (Scotland) Order 2013</w:t>
        </w:r>
      </w:hyperlink>
      <w:r w:rsidRPr="0068046A">
        <w:rPr>
          <w:rFonts w:ascii="Titillium" w:hAnsi="Titillium"/>
          <w:sz w:val="20"/>
          <w:szCs w:val="20"/>
        </w:rPr>
        <w:t xml:space="preserve"> we are entitled to ask questions about an individual's entire criminal record and require the applicant to disclose all convictions.  </w:t>
      </w:r>
    </w:p>
    <w:p w14:paraId="77EE7BE7" w14:textId="77777777" w:rsidR="0068046A" w:rsidRPr="0068046A" w:rsidRDefault="0068046A" w:rsidP="0068046A">
      <w:pPr>
        <w:pStyle w:val="ListParagraph"/>
        <w:rPr>
          <w:rFonts w:ascii="Titillium" w:hAnsi="Titillium"/>
          <w:color w:val="000000"/>
          <w:sz w:val="20"/>
          <w:szCs w:val="20"/>
        </w:rPr>
      </w:pPr>
    </w:p>
    <w:p w14:paraId="131453A4" w14:textId="77777777" w:rsidR="0068046A" w:rsidRPr="0068046A" w:rsidRDefault="0068046A" w:rsidP="0068046A">
      <w:pPr>
        <w:pStyle w:val="ListParagraph"/>
        <w:numPr>
          <w:ilvl w:val="0"/>
          <w:numId w:val="35"/>
        </w:numPr>
        <w:shd w:val="clear" w:color="auto" w:fill="FFFFFF"/>
        <w:spacing w:after="180"/>
        <w:rPr>
          <w:rFonts w:ascii="Titillium" w:hAnsi="Titillium"/>
          <w:color w:val="333333"/>
          <w:sz w:val="20"/>
          <w:szCs w:val="20"/>
        </w:rPr>
      </w:pPr>
      <w:r w:rsidRPr="0068046A">
        <w:rPr>
          <w:rFonts w:ascii="Titillium" w:hAnsi="Titillium"/>
          <w:color w:val="000000"/>
          <w:sz w:val="20"/>
          <w:szCs w:val="20"/>
        </w:rPr>
        <w:t xml:space="preserve">Further guidance on the self-disclosure process, what types of convictions require to be disclosed under the Rehabilitation of Offenders Act 1974 and if exempt and the rehabilitation periods in Scotland can be found </w:t>
      </w:r>
      <w:hyperlink r:id="rId11" w:history="1">
        <w:r w:rsidRPr="0068046A">
          <w:rPr>
            <w:rStyle w:val="Hyperlink"/>
            <w:rFonts w:ascii="Titillium" w:hAnsi="Titillium"/>
            <w:sz w:val="20"/>
            <w:szCs w:val="20"/>
          </w:rPr>
          <w:t>here</w:t>
        </w:r>
      </w:hyperlink>
    </w:p>
    <w:p w14:paraId="0DD984D6" w14:textId="77777777" w:rsidR="0068046A" w:rsidRPr="0068046A" w:rsidRDefault="0068046A" w:rsidP="0068046A">
      <w:pPr>
        <w:pStyle w:val="ListParagraph"/>
        <w:shd w:val="clear" w:color="auto" w:fill="FFFFFF"/>
        <w:spacing w:after="180"/>
        <w:rPr>
          <w:rFonts w:ascii="Titillium" w:hAnsi="Titillium"/>
          <w:sz w:val="20"/>
          <w:szCs w:val="20"/>
        </w:rPr>
      </w:pPr>
    </w:p>
    <w:p w14:paraId="22592EF9" w14:textId="33407A7C" w:rsidR="009B382F" w:rsidRPr="009B382F" w:rsidRDefault="0068046A" w:rsidP="009B382F">
      <w:pPr>
        <w:pStyle w:val="ListParagraph"/>
        <w:numPr>
          <w:ilvl w:val="0"/>
          <w:numId w:val="35"/>
        </w:numPr>
        <w:shd w:val="clear" w:color="auto" w:fill="FFFFFF"/>
        <w:spacing w:after="180"/>
        <w:rPr>
          <w:rFonts w:ascii="Titillium" w:hAnsi="Titillium"/>
          <w:sz w:val="20"/>
          <w:szCs w:val="20"/>
        </w:rPr>
      </w:pPr>
      <w:r w:rsidRPr="009B382F">
        <w:rPr>
          <w:rFonts w:ascii="Titillium" w:hAnsi="Titillium"/>
          <w:sz w:val="20"/>
          <w:szCs w:val="20"/>
        </w:rPr>
        <w:t>We will therefore consider ex-offenders</w:t>
      </w:r>
      <w:r w:rsidRPr="009B382F">
        <w:rPr>
          <w:rFonts w:ascii="Calibri" w:hAnsi="Calibri" w:cs="Calibri"/>
          <w:sz w:val="20"/>
          <w:szCs w:val="20"/>
        </w:rPr>
        <w:t> </w:t>
      </w:r>
      <w:r w:rsidRPr="009B382F">
        <w:rPr>
          <w:rFonts w:ascii="Titillium" w:hAnsi="Titillium"/>
          <w:sz w:val="20"/>
          <w:szCs w:val="20"/>
        </w:rPr>
        <w:t xml:space="preserve">for employment on their individual merits; however, this approach will depend on whether the job is or is not exempt from the provisions of the Rehabilitation of Offenders Act 1974 </w:t>
      </w:r>
      <w:r w:rsidR="009B382F" w:rsidRPr="009B382F">
        <w:rPr>
          <w:rFonts w:ascii="Titillium" w:hAnsi="Titillium"/>
          <w:sz w:val="20"/>
          <w:szCs w:val="20"/>
          <w:shd w:val="clear" w:color="auto" w:fill="FFFFFF"/>
        </w:rPr>
        <w:t xml:space="preserve">and if the nature of the offence is relevant to the job for which they have applied.  </w:t>
      </w:r>
      <w:r w:rsidRPr="009B382F">
        <w:rPr>
          <w:rFonts w:ascii="Titillium" w:hAnsi="Titillium"/>
          <w:sz w:val="20"/>
          <w:szCs w:val="20"/>
        </w:rPr>
        <w:t xml:space="preserve">Having a criminal record will not </w:t>
      </w:r>
      <w:r w:rsidR="00A97EC2" w:rsidRPr="009B382F">
        <w:rPr>
          <w:rFonts w:ascii="Titillium" w:hAnsi="Titillium"/>
          <w:sz w:val="20"/>
          <w:szCs w:val="20"/>
        </w:rPr>
        <w:t xml:space="preserve">necessarily </w:t>
      </w:r>
      <w:r w:rsidR="00A97EC2">
        <w:rPr>
          <w:rFonts w:ascii="Titillium" w:hAnsi="Titillium"/>
          <w:sz w:val="20"/>
          <w:szCs w:val="20"/>
        </w:rPr>
        <w:t>automatically</w:t>
      </w:r>
      <w:r w:rsidR="009B382F">
        <w:rPr>
          <w:rFonts w:ascii="Titillium" w:hAnsi="Titillium"/>
          <w:sz w:val="20"/>
          <w:szCs w:val="20"/>
        </w:rPr>
        <w:t xml:space="preserve"> </w:t>
      </w:r>
      <w:r w:rsidRPr="009B382F">
        <w:rPr>
          <w:rFonts w:ascii="Titillium" w:hAnsi="Titillium"/>
          <w:sz w:val="20"/>
          <w:szCs w:val="20"/>
        </w:rPr>
        <w:t>debar someone from working with the University and will be risk assessed separately on an individual basis and will depend on the nature of the role, together with the circumstances and background of their offences</w:t>
      </w:r>
      <w:r w:rsidR="009B382F" w:rsidRPr="009B382F">
        <w:rPr>
          <w:rFonts w:ascii="Titillium" w:hAnsi="Titillium"/>
          <w:sz w:val="20"/>
          <w:szCs w:val="20"/>
        </w:rPr>
        <w:t xml:space="preserve"> and </w:t>
      </w:r>
      <w:r w:rsidR="009B382F">
        <w:rPr>
          <w:rFonts w:ascii="Titillium" w:hAnsi="Titillium"/>
          <w:sz w:val="20"/>
          <w:szCs w:val="20"/>
        </w:rPr>
        <w:t xml:space="preserve">we </w:t>
      </w:r>
      <w:r w:rsidR="009B382F" w:rsidRPr="009B382F">
        <w:rPr>
          <w:rFonts w:ascii="Titillium" w:hAnsi="Titillium"/>
          <w:sz w:val="20"/>
          <w:szCs w:val="20"/>
        </w:rPr>
        <w:t>may, decline to progress the applicant or select the individual for employment</w:t>
      </w:r>
      <w:r w:rsidR="009B382F">
        <w:rPr>
          <w:rFonts w:ascii="Titillium" w:hAnsi="Titillium"/>
          <w:sz w:val="20"/>
          <w:szCs w:val="20"/>
        </w:rPr>
        <w:t xml:space="preserve">. </w:t>
      </w:r>
    </w:p>
    <w:p w14:paraId="67B83F16" w14:textId="77777777" w:rsidR="009B382F" w:rsidRPr="009B382F" w:rsidRDefault="009B382F" w:rsidP="009B382F">
      <w:pPr>
        <w:pStyle w:val="ListParagraph"/>
        <w:shd w:val="clear" w:color="auto" w:fill="FFFFFF"/>
        <w:spacing w:after="180"/>
        <w:rPr>
          <w:rFonts w:ascii="Titillium" w:hAnsi="Titillium"/>
          <w:sz w:val="20"/>
          <w:szCs w:val="20"/>
        </w:rPr>
      </w:pPr>
    </w:p>
    <w:p w14:paraId="41908F97" w14:textId="2B7D5FB2" w:rsidR="0068046A" w:rsidRPr="0068046A" w:rsidRDefault="0068046A" w:rsidP="0068046A">
      <w:pPr>
        <w:pStyle w:val="ListParagraph"/>
        <w:numPr>
          <w:ilvl w:val="0"/>
          <w:numId w:val="35"/>
        </w:numPr>
        <w:shd w:val="clear" w:color="auto" w:fill="FFFFFF"/>
        <w:spacing w:after="180"/>
        <w:rPr>
          <w:rFonts w:ascii="Titillium" w:hAnsi="Titillium"/>
          <w:sz w:val="20"/>
          <w:szCs w:val="20"/>
        </w:rPr>
      </w:pPr>
      <w:r w:rsidRPr="0068046A">
        <w:rPr>
          <w:rFonts w:ascii="Titillium" w:hAnsi="Titillium"/>
          <w:sz w:val="20"/>
          <w:szCs w:val="20"/>
        </w:rPr>
        <w:t xml:space="preserve">We will request a Disclosure only where this is considered proportionate and relevant to the role, as outlined in the </w:t>
      </w:r>
      <w:r w:rsidR="00F854D1">
        <w:rPr>
          <w:rFonts w:ascii="Titillium" w:hAnsi="Titillium"/>
          <w:sz w:val="20"/>
          <w:szCs w:val="20"/>
        </w:rPr>
        <w:t xml:space="preserve"> </w:t>
      </w:r>
      <w:hyperlink r:id="rId12" w:history="1">
        <w:r w:rsidR="00F854D1" w:rsidRPr="00F854D1">
          <w:rPr>
            <w:rStyle w:val="Hyperlink"/>
            <w:rFonts w:ascii="Titillium" w:hAnsi="Titillium"/>
            <w:sz w:val="20"/>
            <w:szCs w:val="20"/>
          </w:rPr>
          <w:t>Protection of Vulnerable Groups Policy</w:t>
        </w:r>
      </w:hyperlink>
      <w:r w:rsidR="00F854D1">
        <w:rPr>
          <w:rFonts w:ascii="Titillium" w:hAnsi="Titillium"/>
          <w:sz w:val="20"/>
          <w:szCs w:val="20"/>
        </w:rPr>
        <w:t>.</w:t>
      </w:r>
      <w:r w:rsidRPr="0068046A">
        <w:rPr>
          <w:rFonts w:ascii="Titillium" w:hAnsi="Titillium"/>
          <w:sz w:val="20"/>
          <w:szCs w:val="20"/>
        </w:rPr>
        <w:t xml:space="preserve">   This will be based on a thorough risk assessment of that role/service and having considered the relevant legislation which determines whether a Basic or Standard Disclosure or registration of the PVG Scheme for regulated work with children and/or Protected Adults is relevant to the role in question. Where a Disclosure is deemed necessary for a role, all applicants will be made aware at the initial recruitment stage that the role will be subject to a Disclosure and that the </w:t>
      </w:r>
      <w:r w:rsidRPr="0068046A">
        <w:rPr>
          <w:rFonts w:ascii="Titillium" w:hAnsi="Titillium"/>
          <w:sz w:val="20"/>
          <w:szCs w:val="20"/>
        </w:rPr>
        <w:lastRenderedPageBreak/>
        <w:t xml:space="preserve">University will request the individual being offered the position to undergo an appropriate Disclosure check/PVG registration. </w:t>
      </w:r>
    </w:p>
    <w:p w14:paraId="61E16A2C" w14:textId="77777777" w:rsidR="0068046A" w:rsidRPr="0068046A" w:rsidRDefault="0068046A" w:rsidP="0068046A">
      <w:pPr>
        <w:pStyle w:val="ListParagraph"/>
        <w:rPr>
          <w:rFonts w:ascii="Titillium" w:hAnsi="Titillium"/>
          <w:sz w:val="20"/>
          <w:szCs w:val="20"/>
        </w:rPr>
      </w:pPr>
    </w:p>
    <w:p w14:paraId="1FB2FD6B" w14:textId="77777777" w:rsidR="0068046A" w:rsidRPr="0068046A" w:rsidRDefault="0068046A" w:rsidP="0068046A">
      <w:pPr>
        <w:pStyle w:val="ListParagraph"/>
        <w:numPr>
          <w:ilvl w:val="0"/>
          <w:numId w:val="35"/>
        </w:numPr>
        <w:shd w:val="clear" w:color="auto" w:fill="FFFFFF"/>
        <w:spacing w:after="180"/>
        <w:rPr>
          <w:rFonts w:ascii="Titillium" w:hAnsi="Titillium"/>
          <w:color w:val="333333"/>
          <w:sz w:val="20"/>
          <w:szCs w:val="20"/>
        </w:rPr>
      </w:pPr>
      <w:r w:rsidRPr="0068046A">
        <w:rPr>
          <w:rFonts w:ascii="Titillium" w:hAnsi="Titillium"/>
          <w:color w:val="000000"/>
          <w:sz w:val="20"/>
          <w:szCs w:val="20"/>
        </w:rPr>
        <w:t>We undertake to ensure that University staff involved in the recruitment process are suitably trained and receive appropriate guidance and training in the relevant legislation relating to employment of ex-offenders (e.g., Rehabilitation of Offenders Act 1974).</w:t>
      </w:r>
    </w:p>
    <w:p w14:paraId="30B0A6C6" w14:textId="77777777" w:rsidR="0068046A" w:rsidRPr="0068046A" w:rsidRDefault="0068046A" w:rsidP="0068046A">
      <w:pPr>
        <w:pStyle w:val="ListParagraph"/>
        <w:rPr>
          <w:rFonts w:ascii="Titillium" w:hAnsi="Titillium"/>
          <w:color w:val="000000"/>
          <w:sz w:val="20"/>
          <w:szCs w:val="20"/>
        </w:rPr>
      </w:pPr>
    </w:p>
    <w:p w14:paraId="03FAB68D" w14:textId="77777777" w:rsidR="0068046A" w:rsidRPr="0068046A" w:rsidRDefault="0068046A" w:rsidP="0068046A">
      <w:pPr>
        <w:pStyle w:val="ListParagraph"/>
        <w:numPr>
          <w:ilvl w:val="0"/>
          <w:numId w:val="35"/>
        </w:numPr>
        <w:shd w:val="clear" w:color="auto" w:fill="FFFFFF"/>
        <w:spacing w:after="180"/>
        <w:rPr>
          <w:rFonts w:ascii="Titillium" w:hAnsi="Titillium"/>
          <w:color w:val="333333"/>
          <w:sz w:val="20"/>
          <w:szCs w:val="20"/>
        </w:rPr>
      </w:pPr>
      <w:r w:rsidRPr="0068046A">
        <w:rPr>
          <w:rFonts w:ascii="Titillium" w:hAnsi="Titillium"/>
          <w:color w:val="000000"/>
          <w:sz w:val="20"/>
          <w:szCs w:val="20"/>
        </w:rPr>
        <w:t xml:space="preserve">Where an applicant makes a self-disclosure at the application stage, an assessment of the applicant’s skills, qualifications and experience will take place first and an initial assessment will take place separately and take account if the role is covered by the Rehabilitation of Offenders Act 1974 and if the role requires a disclosure check or PVG membership. In some cases, dependant on the details of the self-disclosure and stage in process, an initial paper risk assessment may take place and be sufficient or prior to proceeding with any formal offer of employment a documented individual risk assessment discussion will take place with the applicant and a member of HR and the hiring manager. </w:t>
      </w:r>
      <w:r w:rsidRPr="0068046A">
        <w:rPr>
          <w:rFonts w:ascii="Calibri" w:hAnsi="Calibri" w:cs="Calibri"/>
          <w:color w:val="000000"/>
          <w:sz w:val="20"/>
          <w:szCs w:val="20"/>
        </w:rPr>
        <w:t> </w:t>
      </w:r>
    </w:p>
    <w:p w14:paraId="4439F0AD" w14:textId="77777777" w:rsidR="0068046A" w:rsidRPr="0068046A" w:rsidRDefault="0068046A" w:rsidP="0068046A">
      <w:pPr>
        <w:pStyle w:val="ListParagraph"/>
        <w:rPr>
          <w:rFonts w:ascii="Titillium" w:hAnsi="Titillium"/>
          <w:color w:val="333333"/>
          <w:sz w:val="20"/>
          <w:szCs w:val="20"/>
        </w:rPr>
      </w:pPr>
    </w:p>
    <w:p w14:paraId="05675BC6" w14:textId="2E5B94A6" w:rsidR="0068046A" w:rsidRPr="0068046A" w:rsidRDefault="0068046A" w:rsidP="0068046A">
      <w:pPr>
        <w:pStyle w:val="ListParagraph"/>
        <w:numPr>
          <w:ilvl w:val="0"/>
          <w:numId w:val="35"/>
        </w:numPr>
        <w:shd w:val="clear" w:color="auto" w:fill="FFFFFF"/>
        <w:spacing w:after="180"/>
        <w:rPr>
          <w:rFonts w:ascii="Titillium" w:hAnsi="Titillium"/>
          <w:color w:val="333333"/>
          <w:sz w:val="20"/>
          <w:szCs w:val="20"/>
        </w:rPr>
      </w:pPr>
      <w:r w:rsidRPr="0068046A">
        <w:rPr>
          <w:rFonts w:ascii="Titillium" w:hAnsi="Titillium"/>
          <w:sz w:val="20"/>
          <w:szCs w:val="20"/>
        </w:rPr>
        <w:t>We undertake to discuss any matter revealed in a Disclosure Certificate with the subject of that Disclosure before considering withdrawing a conditional offer of employment.</w:t>
      </w:r>
    </w:p>
    <w:p w14:paraId="0A6267F8" w14:textId="77777777" w:rsidR="0068046A" w:rsidRPr="0068046A" w:rsidRDefault="0068046A" w:rsidP="0068046A">
      <w:pPr>
        <w:pStyle w:val="ListParagraph"/>
        <w:shd w:val="clear" w:color="auto" w:fill="FFFFFF"/>
        <w:spacing w:after="180"/>
        <w:rPr>
          <w:rFonts w:ascii="Titillium" w:hAnsi="Titillium"/>
          <w:color w:val="333333"/>
          <w:sz w:val="20"/>
          <w:szCs w:val="20"/>
        </w:rPr>
      </w:pPr>
    </w:p>
    <w:p w14:paraId="518F7BD8" w14:textId="1AD261FF" w:rsidR="00051388" w:rsidRPr="00051388" w:rsidRDefault="0068046A" w:rsidP="00051388">
      <w:pPr>
        <w:pStyle w:val="ListParagraph"/>
        <w:numPr>
          <w:ilvl w:val="0"/>
          <w:numId w:val="35"/>
        </w:numPr>
        <w:jc w:val="both"/>
        <w:rPr>
          <w:rStyle w:val="Hyperlink"/>
          <w:rFonts w:ascii="Titillium" w:hAnsi="Titillium"/>
          <w:color w:val="333333"/>
          <w:sz w:val="20"/>
          <w:szCs w:val="20"/>
          <w:u w:val="none"/>
        </w:rPr>
      </w:pPr>
      <w:r w:rsidRPr="0068046A">
        <w:rPr>
          <w:rFonts w:ascii="Titillium" w:hAnsi="Titillium"/>
          <w:color w:val="333333"/>
          <w:sz w:val="20"/>
          <w:szCs w:val="20"/>
        </w:rPr>
        <w:t xml:space="preserve">The University processes information about an individual's criminal convictions in accordance with </w:t>
      </w:r>
      <w:r w:rsidRPr="00051388">
        <w:rPr>
          <w:rFonts w:ascii="Titillium" w:hAnsi="Titillium"/>
          <w:color w:val="333333"/>
          <w:sz w:val="20"/>
          <w:szCs w:val="20"/>
        </w:rPr>
        <w:t xml:space="preserve">our </w:t>
      </w:r>
      <w:r w:rsidR="00E70B84" w:rsidRPr="00051388">
        <w:rPr>
          <w:rFonts w:ascii="Titillium" w:hAnsi="Titillium"/>
          <w:color w:val="333333"/>
          <w:sz w:val="20"/>
          <w:szCs w:val="20"/>
        </w:rPr>
        <w:t>D</w:t>
      </w:r>
      <w:r w:rsidRPr="00051388">
        <w:rPr>
          <w:rFonts w:ascii="Titillium" w:hAnsi="Titillium"/>
          <w:color w:val="333333"/>
          <w:sz w:val="20"/>
          <w:szCs w:val="20"/>
        </w:rPr>
        <w:t xml:space="preserve">ata </w:t>
      </w:r>
      <w:r w:rsidR="00E70B84" w:rsidRPr="00051388">
        <w:rPr>
          <w:rFonts w:ascii="Titillium" w:hAnsi="Titillium"/>
          <w:color w:val="333333"/>
          <w:sz w:val="20"/>
          <w:szCs w:val="20"/>
        </w:rPr>
        <w:t>P</w:t>
      </w:r>
      <w:r w:rsidRPr="00051388">
        <w:rPr>
          <w:rFonts w:ascii="Titillium" w:hAnsi="Titillium"/>
          <w:color w:val="333333"/>
          <w:sz w:val="20"/>
          <w:szCs w:val="20"/>
        </w:rPr>
        <w:t xml:space="preserve">rotection </w:t>
      </w:r>
      <w:r w:rsidR="00E70B84" w:rsidRPr="00051388">
        <w:rPr>
          <w:rFonts w:ascii="Titillium" w:hAnsi="Titillium"/>
          <w:color w:val="333333"/>
          <w:sz w:val="20"/>
          <w:szCs w:val="20"/>
        </w:rPr>
        <w:t>P</w:t>
      </w:r>
      <w:r w:rsidRPr="00051388">
        <w:rPr>
          <w:rFonts w:ascii="Titillium" w:hAnsi="Titillium"/>
          <w:color w:val="333333"/>
          <w:sz w:val="20"/>
          <w:szCs w:val="20"/>
        </w:rPr>
        <w:t>olicy</w:t>
      </w:r>
      <w:r w:rsidR="00E70B84" w:rsidRPr="00051388">
        <w:rPr>
          <w:rFonts w:ascii="Titillium" w:hAnsi="Titillium"/>
          <w:color w:val="333333"/>
          <w:sz w:val="20"/>
          <w:szCs w:val="20"/>
        </w:rPr>
        <w:t xml:space="preserve">: </w:t>
      </w:r>
      <w:hyperlink r:id="rId13" w:history="1">
        <w:r w:rsidR="00E70B84" w:rsidRPr="00051388">
          <w:rPr>
            <w:rStyle w:val="Hyperlink"/>
            <w:rFonts w:ascii="Titillium" w:eastAsiaTheme="minorEastAsia" w:hAnsi="Titillium" w:cs="Adobe Devanagari"/>
            <w:sz w:val="20"/>
            <w:szCs w:val="20"/>
          </w:rPr>
          <w:t>Data Protection (napier.ac.uk)</w:t>
        </w:r>
      </w:hyperlink>
      <w:r w:rsidR="00051388">
        <w:rPr>
          <w:rStyle w:val="Hyperlink"/>
          <w:rFonts w:ascii="Titillium" w:eastAsiaTheme="minorEastAsia" w:hAnsi="Titillium" w:cs="Adobe Devanagari"/>
          <w:sz w:val="20"/>
          <w:szCs w:val="20"/>
        </w:rPr>
        <w:t xml:space="preserve">. </w:t>
      </w:r>
    </w:p>
    <w:p w14:paraId="130F9C7C" w14:textId="77777777" w:rsidR="00051388" w:rsidRDefault="00051388" w:rsidP="00D37736">
      <w:pPr>
        <w:pStyle w:val="ListParagraph"/>
        <w:numPr>
          <w:ilvl w:val="1"/>
          <w:numId w:val="35"/>
        </w:numPr>
        <w:jc w:val="both"/>
        <w:rPr>
          <w:rFonts w:ascii="Titillium" w:hAnsi="Titillium"/>
          <w:color w:val="333333"/>
          <w:sz w:val="20"/>
          <w:szCs w:val="20"/>
        </w:rPr>
      </w:pPr>
      <w:r w:rsidRPr="00051388">
        <w:rPr>
          <w:rFonts w:ascii="Titillium" w:hAnsi="Titillium"/>
          <w:color w:val="333333"/>
          <w:sz w:val="20"/>
          <w:szCs w:val="20"/>
        </w:rPr>
        <w:t xml:space="preserve"> with Data Protection Legislation- - the following information is provided as required by the Data Protection Act 2018</w:t>
      </w:r>
    </w:p>
    <w:p w14:paraId="39236680" w14:textId="7E8B4B87" w:rsidR="00051388" w:rsidRDefault="00051388" w:rsidP="00051388">
      <w:pPr>
        <w:pStyle w:val="ListParagraph"/>
        <w:numPr>
          <w:ilvl w:val="2"/>
          <w:numId w:val="35"/>
        </w:numPr>
        <w:jc w:val="both"/>
        <w:rPr>
          <w:rFonts w:ascii="Titillium" w:hAnsi="Titillium"/>
          <w:color w:val="333333"/>
          <w:sz w:val="20"/>
          <w:szCs w:val="20"/>
        </w:rPr>
      </w:pPr>
      <w:r w:rsidRPr="00051388">
        <w:rPr>
          <w:rFonts w:ascii="Titillium" w:hAnsi="Titillium"/>
          <w:color w:val="333333"/>
          <w:sz w:val="20"/>
          <w:szCs w:val="20"/>
        </w:rPr>
        <w:t>Security</w:t>
      </w:r>
      <w:r>
        <w:rPr>
          <w:rFonts w:ascii="Titillium" w:hAnsi="Titillium"/>
          <w:color w:val="333333"/>
          <w:sz w:val="20"/>
          <w:szCs w:val="20"/>
        </w:rPr>
        <w:t xml:space="preserve"> - </w:t>
      </w:r>
      <w:r w:rsidRPr="00051388">
        <w:rPr>
          <w:rFonts w:ascii="Titillium" w:hAnsi="Titillium"/>
          <w:color w:val="333333"/>
          <w:sz w:val="20"/>
          <w:szCs w:val="20"/>
        </w:rPr>
        <w:t xml:space="preserve">For services provided locally by Information Services, information is stored on servers located in secure University datacentres. These datacentres are resilient and feature access controls, environmental monitoring, backup power supplies and redundant hardware. Information on these servers is backed up regularly. The University has various data protection and information security policies and procedures to ensure that appropriate organisational and technical measures are in place to protect the privacy or your personal data. The University makes use of </w:t>
      </w:r>
      <w:proofErr w:type="gramStart"/>
      <w:r w:rsidRPr="00051388">
        <w:rPr>
          <w:rFonts w:ascii="Titillium" w:hAnsi="Titillium"/>
          <w:color w:val="333333"/>
          <w:sz w:val="20"/>
          <w:szCs w:val="20"/>
        </w:rPr>
        <w:t>a number of</w:t>
      </w:r>
      <w:proofErr w:type="gramEnd"/>
      <w:r w:rsidRPr="00051388">
        <w:rPr>
          <w:rFonts w:ascii="Titillium" w:hAnsi="Titillium"/>
          <w:color w:val="333333"/>
          <w:sz w:val="20"/>
          <w:szCs w:val="20"/>
        </w:rPr>
        <w:t xml:space="preserve"> third party, including “cloud”, services for information storage and processing. Through procurement and contract management procedures the University ensures that these services have appropriate organisational and technical measures to comply with data protection </w:t>
      </w:r>
      <w:r w:rsidR="00F854D1" w:rsidRPr="00051388">
        <w:rPr>
          <w:rFonts w:ascii="Titillium" w:hAnsi="Titillium"/>
          <w:color w:val="333333"/>
          <w:sz w:val="20"/>
          <w:szCs w:val="20"/>
        </w:rPr>
        <w:t>legislation. Specific</w:t>
      </w:r>
      <w:r w:rsidRPr="00051388">
        <w:rPr>
          <w:rFonts w:ascii="Titillium" w:hAnsi="Titillium"/>
          <w:color w:val="333333"/>
          <w:sz w:val="20"/>
          <w:szCs w:val="20"/>
        </w:rPr>
        <w:t xml:space="preserve"> local processes include secured paper forms and files, password protected e-files, encrypted emails, etc. and the use of </w:t>
      </w:r>
      <w:r w:rsidR="00A97EC2" w:rsidRPr="00051388">
        <w:rPr>
          <w:rFonts w:ascii="Titillium" w:hAnsi="Titillium"/>
          <w:color w:val="333333"/>
          <w:sz w:val="20"/>
          <w:szCs w:val="20"/>
        </w:rPr>
        <w:t>third-party</w:t>
      </w:r>
      <w:r w:rsidRPr="00051388">
        <w:rPr>
          <w:rFonts w:ascii="Titillium" w:hAnsi="Titillium"/>
          <w:color w:val="333333"/>
          <w:sz w:val="20"/>
          <w:szCs w:val="20"/>
        </w:rPr>
        <w:t xml:space="preserve"> systems which the University ensures have the necessary technical and organisational security and contractual measures in place to protect the data. </w:t>
      </w:r>
    </w:p>
    <w:p w14:paraId="68BDCBD7" w14:textId="77777777" w:rsidR="00395455" w:rsidRDefault="00051388" w:rsidP="00395455">
      <w:pPr>
        <w:pStyle w:val="ListParagraph"/>
        <w:numPr>
          <w:ilvl w:val="2"/>
          <w:numId w:val="35"/>
        </w:numPr>
        <w:jc w:val="both"/>
        <w:rPr>
          <w:rFonts w:ascii="Titillium" w:hAnsi="Titillium"/>
          <w:color w:val="333333"/>
          <w:sz w:val="20"/>
          <w:szCs w:val="20"/>
        </w:rPr>
      </w:pPr>
      <w:r w:rsidRPr="00051388">
        <w:rPr>
          <w:rFonts w:ascii="Titillium" w:hAnsi="Titillium"/>
          <w:color w:val="333333"/>
          <w:sz w:val="20"/>
          <w:szCs w:val="20"/>
        </w:rPr>
        <w:t>Lawful, Fair and Transparent</w:t>
      </w:r>
      <w:r>
        <w:rPr>
          <w:rFonts w:ascii="Titillium" w:hAnsi="Titillium"/>
          <w:color w:val="333333"/>
          <w:sz w:val="20"/>
          <w:szCs w:val="20"/>
        </w:rPr>
        <w:t xml:space="preserve"> </w:t>
      </w:r>
      <w:r w:rsidR="00395455">
        <w:rPr>
          <w:rFonts w:ascii="Titillium" w:hAnsi="Titillium"/>
          <w:color w:val="333333"/>
          <w:sz w:val="20"/>
          <w:szCs w:val="20"/>
        </w:rPr>
        <w:t>–</w:t>
      </w:r>
      <w:r>
        <w:rPr>
          <w:rFonts w:ascii="Titillium" w:hAnsi="Titillium"/>
          <w:color w:val="333333"/>
          <w:sz w:val="20"/>
          <w:szCs w:val="20"/>
        </w:rPr>
        <w:t xml:space="preserve"> </w:t>
      </w:r>
      <w:r w:rsidR="00395455">
        <w:rPr>
          <w:rFonts w:ascii="Titillium" w:hAnsi="Titillium"/>
          <w:color w:val="333333"/>
          <w:sz w:val="20"/>
          <w:szCs w:val="20"/>
        </w:rPr>
        <w:t>The l</w:t>
      </w:r>
      <w:r w:rsidRPr="00395455">
        <w:rPr>
          <w:rFonts w:ascii="Titillium" w:hAnsi="Titillium"/>
          <w:color w:val="333333"/>
          <w:sz w:val="20"/>
          <w:szCs w:val="20"/>
        </w:rPr>
        <w:t>egal bases for processing</w:t>
      </w:r>
      <w:r w:rsidR="00395455">
        <w:rPr>
          <w:rFonts w:ascii="Titillium" w:hAnsi="Titillium"/>
          <w:color w:val="333333"/>
          <w:sz w:val="20"/>
          <w:szCs w:val="20"/>
        </w:rPr>
        <w:t xml:space="preserve"> are</w:t>
      </w:r>
      <w:r w:rsidRPr="00395455">
        <w:rPr>
          <w:rFonts w:ascii="Titillium" w:hAnsi="Titillium"/>
          <w:color w:val="333333"/>
          <w:sz w:val="20"/>
          <w:szCs w:val="20"/>
        </w:rPr>
        <w:t xml:space="preserve"> Article 6(1)(e) and Article 9(2)(g) processing is necessary for reasons of substantial public interest, and under the Data Protection Act 2018 Schedule 1 Part 2 S.11 processing is necessary for the exercise of a protective function and S.18 safeguarding (as allowed by Schedule 1 Part 3 S 36).</w:t>
      </w:r>
    </w:p>
    <w:p w14:paraId="7EF78F6C" w14:textId="77777777" w:rsidR="001358A1" w:rsidRDefault="00051388" w:rsidP="001358A1">
      <w:pPr>
        <w:pStyle w:val="ListParagraph"/>
        <w:numPr>
          <w:ilvl w:val="2"/>
          <w:numId w:val="35"/>
        </w:numPr>
        <w:jc w:val="both"/>
        <w:rPr>
          <w:rFonts w:ascii="Titillium" w:hAnsi="Titillium"/>
          <w:color w:val="333333"/>
          <w:sz w:val="20"/>
          <w:szCs w:val="20"/>
        </w:rPr>
      </w:pPr>
      <w:r w:rsidRPr="00395455">
        <w:rPr>
          <w:rFonts w:ascii="Titillium" w:hAnsi="Titillium"/>
          <w:color w:val="333333"/>
          <w:sz w:val="20"/>
          <w:szCs w:val="20"/>
        </w:rPr>
        <w:t>Collected for specified, explicit and legitimate purpo</w:t>
      </w:r>
      <w:r w:rsidR="001358A1">
        <w:rPr>
          <w:rFonts w:ascii="Titillium" w:hAnsi="Titillium"/>
          <w:color w:val="333333"/>
          <w:sz w:val="20"/>
          <w:szCs w:val="20"/>
        </w:rPr>
        <w:t xml:space="preserve">ses - </w:t>
      </w:r>
      <w:r w:rsidRPr="001358A1">
        <w:rPr>
          <w:rFonts w:ascii="Titillium" w:hAnsi="Titillium"/>
          <w:color w:val="333333"/>
          <w:sz w:val="20"/>
          <w:szCs w:val="20"/>
        </w:rPr>
        <w:t>As per this policy. Criminal Convictions data will not be further processed for any other purposes incompatible with those detailed here.</w:t>
      </w:r>
    </w:p>
    <w:p w14:paraId="083F41A2" w14:textId="584BF926" w:rsidR="001358A1" w:rsidRDefault="00051388" w:rsidP="001358A1">
      <w:pPr>
        <w:pStyle w:val="ListParagraph"/>
        <w:numPr>
          <w:ilvl w:val="2"/>
          <w:numId w:val="35"/>
        </w:numPr>
        <w:jc w:val="both"/>
        <w:rPr>
          <w:rFonts w:ascii="Titillium" w:hAnsi="Titillium"/>
          <w:color w:val="333333"/>
          <w:sz w:val="20"/>
          <w:szCs w:val="20"/>
        </w:rPr>
      </w:pPr>
      <w:r w:rsidRPr="001358A1">
        <w:rPr>
          <w:rFonts w:ascii="Titillium" w:hAnsi="Titillium"/>
          <w:color w:val="333333"/>
          <w:sz w:val="20"/>
          <w:szCs w:val="20"/>
        </w:rPr>
        <w:lastRenderedPageBreak/>
        <w:t xml:space="preserve">Adequate, </w:t>
      </w:r>
      <w:proofErr w:type="gramStart"/>
      <w:r w:rsidRPr="001358A1">
        <w:rPr>
          <w:rFonts w:ascii="Titillium" w:hAnsi="Titillium"/>
          <w:color w:val="333333"/>
          <w:sz w:val="20"/>
          <w:szCs w:val="20"/>
        </w:rPr>
        <w:t>relevant</w:t>
      </w:r>
      <w:proofErr w:type="gramEnd"/>
      <w:r w:rsidRPr="001358A1">
        <w:rPr>
          <w:rFonts w:ascii="Titillium" w:hAnsi="Titillium"/>
          <w:color w:val="333333"/>
          <w:sz w:val="20"/>
          <w:szCs w:val="20"/>
        </w:rPr>
        <w:t xml:space="preserve"> and limited</w:t>
      </w:r>
      <w:r w:rsidR="001358A1">
        <w:rPr>
          <w:rFonts w:ascii="Titillium" w:hAnsi="Titillium"/>
          <w:color w:val="333333"/>
          <w:sz w:val="20"/>
          <w:szCs w:val="20"/>
        </w:rPr>
        <w:t xml:space="preserve"> - </w:t>
      </w:r>
      <w:r w:rsidRPr="001358A1">
        <w:rPr>
          <w:rFonts w:ascii="Titillium" w:hAnsi="Titillium"/>
          <w:color w:val="333333"/>
          <w:sz w:val="20"/>
          <w:szCs w:val="20"/>
        </w:rPr>
        <w:t>The University will only collect and process the data necessary for the purposes</w:t>
      </w:r>
      <w:r w:rsidR="001358A1">
        <w:rPr>
          <w:rFonts w:ascii="Titillium" w:hAnsi="Titillium"/>
          <w:color w:val="333333"/>
          <w:sz w:val="20"/>
          <w:szCs w:val="20"/>
        </w:rPr>
        <w:t xml:space="preserve"> </w:t>
      </w:r>
      <w:r w:rsidR="00A97EC2">
        <w:rPr>
          <w:rFonts w:ascii="Titillium" w:hAnsi="Titillium"/>
          <w:color w:val="333333"/>
          <w:sz w:val="20"/>
          <w:szCs w:val="20"/>
        </w:rPr>
        <w:t>e.g.,</w:t>
      </w:r>
      <w:r w:rsidR="001358A1">
        <w:rPr>
          <w:rFonts w:ascii="Titillium" w:hAnsi="Titillium"/>
          <w:color w:val="333333"/>
          <w:sz w:val="20"/>
          <w:szCs w:val="20"/>
        </w:rPr>
        <w:t xml:space="preserve"> job recruitment, as per 7. above.</w:t>
      </w:r>
    </w:p>
    <w:p w14:paraId="641CC20D" w14:textId="3AA659CA" w:rsidR="001358A1" w:rsidRDefault="00051388" w:rsidP="001358A1">
      <w:pPr>
        <w:pStyle w:val="ListParagraph"/>
        <w:numPr>
          <w:ilvl w:val="2"/>
          <w:numId w:val="35"/>
        </w:numPr>
        <w:jc w:val="both"/>
        <w:rPr>
          <w:rFonts w:ascii="Titillium" w:hAnsi="Titillium"/>
          <w:color w:val="333333"/>
          <w:sz w:val="20"/>
          <w:szCs w:val="20"/>
        </w:rPr>
      </w:pPr>
      <w:r w:rsidRPr="001358A1">
        <w:rPr>
          <w:rFonts w:ascii="Titillium" w:hAnsi="Titillium"/>
          <w:color w:val="333333"/>
          <w:sz w:val="20"/>
          <w:szCs w:val="20"/>
        </w:rPr>
        <w:t>Storage limitation</w:t>
      </w:r>
      <w:r w:rsidR="001358A1">
        <w:rPr>
          <w:rFonts w:ascii="Titillium" w:hAnsi="Titillium"/>
          <w:color w:val="333333"/>
          <w:sz w:val="20"/>
          <w:szCs w:val="20"/>
        </w:rPr>
        <w:t xml:space="preserve"> -</w:t>
      </w:r>
      <w:r w:rsidRPr="001358A1">
        <w:rPr>
          <w:rFonts w:ascii="Titillium" w:hAnsi="Titillium"/>
          <w:color w:val="333333"/>
          <w:sz w:val="20"/>
          <w:szCs w:val="20"/>
        </w:rPr>
        <w:t xml:space="preserve"> Criminal Convictions data will not be stored longer than necessary for the purpose of assessing </w:t>
      </w:r>
      <w:r w:rsidR="001358A1">
        <w:rPr>
          <w:rFonts w:ascii="Titillium" w:hAnsi="Titillium"/>
          <w:color w:val="333333"/>
          <w:sz w:val="20"/>
          <w:szCs w:val="20"/>
        </w:rPr>
        <w:t>suitability for recruitment purposes.</w:t>
      </w:r>
      <w:r w:rsidRPr="001358A1">
        <w:rPr>
          <w:rFonts w:ascii="Titillium" w:hAnsi="Titillium"/>
          <w:color w:val="333333"/>
          <w:sz w:val="20"/>
          <w:szCs w:val="20"/>
        </w:rPr>
        <w:t xml:space="preserve"> </w:t>
      </w:r>
      <w:r w:rsidR="001358A1">
        <w:rPr>
          <w:rFonts w:ascii="Titillium" w:hAnsi="Titillium"/>
          <w:color w:val="333333"/>
          <w:sz w:val="20"/>
          <w:szCs w:val="20"/>
        </w:rPr>
        <w:t xml:space="preserve">Information about retention periods for both successful and unsuccessful applicants please see the University Records Retention Schedules here: </w:t>
      </w:r>
      <w:hyperlink r:id="rId14" w:history="1">
        <w:r w:rsidR="001358A1" w:rsidRPr="00051388">
          <w:rPr>
            <w:rStyle w:val="Hyperlink"/>
            <w:rFonts w:ascii="Titillium" w:hAnsi="Titillium"/>
            <w:sz w:val="20"/>
            <w:szCs w:val="20"/>
          </w:rPr>
          <w:t>Records Retention Schedules (napier.ac.uk)</w:t>
        </w:r>
      </w:hyperlink>
      <w:r w:rsidR="001358A1">
        <w:rPr>
          <w:rFonts w:ascii="Titillium" w:hAnsi="Titillium"/>
          <w:color w:val="333333"/>
          <w:sz w:val="20"/>
          <w:szCs w:val="20"/>
        </w:rPr>
        <w:t>.</w:t>
      </w:r>
    </w:p>
    <w:p w14:paraId="685EBA1C" w14:textId="77777777" w:rsidR="001358A1" w:rsidRDefault="001358A1" w:rsidP="001358A1">
      <w:pPr>
        <w:pStyle w:val="ListParagraph"/>
        <w:numPr>
          <w:ilvl w:val="2"/>
          <w:numId w:val="35"/>
        </w:numPr>
        <w:jc w:val="both"/>
        <w:rPr>
          <w:rFonts w:ascii="Titillium" w:hAnsi="Titillium"/>
          <w:color w:val="333333"/>
          <w:sz w:val="20"/>
          <w:szCs w:val="20"/>
        </w:rPr>
      </w:pPr>
      <w:r>
        <w:rPr>
          <w:rFonts w:ascii="Titillium" w:hAnsi="Titillium"/>
          <w:color w:val="333333"/>
          <w:sz w:val="20"/>
          <w:szCs w:val="20"/>
        </w:rPr>
        <w:t>Y</w:t>
      </w:r>
      <w:r w:rsidR="00051388" w:rsidRPr="001358A1">
        <w:rPr>
          <w:rFonts w:ascii="Titillium" w:hAnsi="Titillium"/>
          <w:color w:val="333333"/>
          <w:sz w:val="20"/>
          <w:szCs w:val="20"/>
        </w:rPr>
        <w:t xml:space="preserve">ou have a number of rights available to you with regards to what personal data of yours is held by the University and how it is processed – to find out more about your rights, how to make a request and who to contact if you have any further queries about Data Protection please see the information online using the following URL: </w:t>
      </w:r>
      <w:hyperlink r:id="rId15" w:history="1">
        <w:r w:rsidRPr="00A374D8">
          <w:rPr>
            <w:rStyle w:val="Hyperlink"/>
            <w:rFonts w:ascii="Titillium" w:hAnsi="Titillium"/>
            <w:sz w:val="20"/>
            <w:szCs w:val="20"/>
          </w:rPr>
          <w:t>https://staff.napier.ac.uk/services/governance-compliance/governance/DataProtection/Pages/default.aspx</w:t>
        </w:r>
      </w:hyperlink>
      <w:r>
        <w:rPr>
          <w:rFonts w:ascii="Titillium" w:hAnsi="Titillium"/>
          <w:color w:val="333333"/>
          <w:sz w:val="20"/>
          <w:szCs w:val="20"/>
        </w:rPr>
        <w:t xml:space="preserve">. </w:t>
      </w:r>
    </w:p>
    <w:p w14:paraId="42F7FB72" w14:textId="55468364" w:rsidR="00051388" w:rsidRPr="001358A1" w:rsidRDefault="00051388" w:rsidP="001358A1">
      <w:pPr>
        <w:pStyle w:val="ListParagraph"/>
        <w:numPr>
          <w:ilvl w:val="2"/>
          <w:numId w:val="35"/>
        </w:numPr>
        <w:jc w:val="both"/>
        <w:rPr>
          <w:rFonts w:ascii="Titillium" w:hAnsi="Titillium"/>
          <w:color w:val="333333"/>
          <w:sz w:val="20"/>
          <w:szCs w:val="20"/>
        </w:rPr>
      </w:pPr>
      <w:r w:rsidRPr="001358A1">
        <w:rPr>
          <w:rFonts w:ascii="Titillium" w:hAnsi="Titillium"/>
          <w:color w:val="333333"/>
          <w:sz w:val="20"/>
          <w:szCs w:val="20"/>
        </w:rPr>
        <w:t>Please see the University Privacy Notices at: staff.napier.ac.uk/</w:t>
      </w:r>
      <w:r w:rsidR="00F854D1" w:rsidRPr="001358A1">
        <w:rPr>
          <w:rFonts w:ascii="Titillium" w:hAnsi="Titillium"/>
          <w:color w:val="333333"/>
          <w:sz w:val="20"/>
          <w:szCs w:val="20"/>
        </w:rPr>
        <w:t>statements</w:t>
      </w:r>
    </w:p>
    <w:p w14:paraId="37AADE07" w14:textId="77777777" w:rsidR="0068046A" w:rsidRPr="0068046A" w:rsidRDefault="0068046A" w:rsidP="0068046A">
      <w:pPr>
        <w:pStyle w:val="ListParagraph"/>
        <w:jc w:val="both"/>
        <w:rPr>
          <w:rFonts w:ascii="Titillium" w:hAnsi="Titillium"/>
          <w:sz w:val="20"/>
          <w:szCs w:val="20"/>
        </w:rPr>
      </w:pPr>
    </w:p>
    <w:p w14:paraId="54E4A40A" w14:textId="5CBFFAF2" w:rsidR="005E3073" w:rsidRPr="005E3073" w:rsidRDefault="005E3073" w:rsidP="005E3073">
      <w:pPr>
        <w:pStyle w:val="ListParagraph"/>
        <w:numPr>
          <w:ilvl w:val="0"/>
          <w:numId w:val="35"/>
        </w:numPr>
        <w:shd w:val="clear" w:color="auto" w:fill="FFFFFF"/>
        <w:spacing w:after="180"/>
        <w:rPr>
          <w:rFonts w:ascii="Titillium" w:hAnsi="Titillium"/>
          <w:color w:val="000000"/>
          <w:sz w:val="20"/>
          <w:szCs w:val="20"/>
        </w:rPr>
      </w:pPr>
      <w:r w:rsidRPr="005E3073">
        <w:rPr>
          <w:rFonts w:ascii="Titillium" w:hAnsi="Titillium"/>
          <w:color w:val="000000"/>
          <w:sz w:val="20"/>
          <w:szCs w:val="20"/>
        </w:rPr>
        <w:t xml:space="preserve">All staff are required to disclose </w:t>
      </w:r>
      <w:r>
        <w:rPr>
          <w:rFonts w:ascii="Titillium" w:hAnsi="Titillium"/>
          <w:color w:val="000000"/>
          <w:sz w:val="20"/>
          <w:szCs w:val="20"/>
        </w:rPr>
        <w:t xml:space="preserve">a </w:t>
      </w:r>
      <w:r w:rsidRPr="005E3073">
        <w:rPr>
          <w:rFonts w:ascii="Titillium" w:hAnsi="Titillium"/>
          <w:color w:val="000000"/>
          <w:sz w:val="20"/>
          <w:szCs w:val="20"/>
        </w:rPr>
        <w:t>criminal conviction or charges pending acquired during employment with the University which may be relevant to their position</w:t>
      </w:r>
      <w:r>
        <w:rPr>
          <w:rFonts w:ascii="Titillium" w:hAnsi="Titillium"/>
          <w:color w:val="000000"/>
          <w:sz w:val="20"/>
          <w:szCs w:val="20"/>
        </w:rPr>
        <w:t xml:space="preserve"> and could have an impact on their ability to do their role</w:t>
      </w:r>
      <w:r w:rsidRPr="005E3073">
        <w:rPr>
          <w:rFonts w:ascii="Titillium" w:hAnsi="Titillium"/>
          <w:color w:val="000000"/>
          <w:sz w:val="20"/>
          <w:szCs w:val="20"/>
        </w:rPr>
        <w:t xml:space="preserve"> or that related to violence, </w:t>
      </w:r>
      <w:proofErr w:type="gramStart"/>
      <w:r w:rsidRPr="005E3073">
        <w:rPr>
          <w:rFonts w:ascii="Titillium" w:hAnsi="Titillium"/>
          <w:color w:val="000000"/>
          <w:sz w:val="20"/>
          <w:szCs w:val="20"/>
        </w:rPr>
        <w:t>assault</w:t>
      </w:r>
      <w:proofErr w:type="gramEnd"/>
      <w:r w:rsidR="00124681">
        <w:rPr>
          <w:rFonts w:ascii="Titillium" w:hAnsi="Titillium"/>
          <w:color w:val="000000"/>
          <w:sz w:val="20"/>
          <w:szCs w:val="20"/>
        </w:rPr>
        <w:t xml:space="preserve"> </w:t>
      </w:r>
      <w:r w:rsidRPr="005E3073">
        <w:rPr>
          <w:rFonts w:ascii="Titillium" w:hAnsi="Titillium"/>
          <w:color w:val="000000"/>
          <w:sz w:val="20"/>
          <w:szCs w:val="20"/>
        </w:rPr>
        <w:t xml:space="preserve">or damage to property. </w:t>
      </w:r>
    </w:p>
    <w:p w14:paraId="6275F1BE" w14:textId="77777777" w:rsidR="005E3073" w:rsidRPr="005E3073" w:rsidRDefault="005E3073" w:rsidP="007F3B4B">
      <w:pPr>
        <w:pStyle w:val="ListParagraph"/>
        <w:shd w:val="clear" w:color="auto" w:fill="FFFFFF"/>
        <w:spacing w:after="180"/>
        <w:rPr>
          <w:rFonts w:ascii="Titillium" w:hAnsi="Titillium"/>
          <w:color w:val="000000"/>
          <w:sz w:val="20"/>
          <w:szCs w:val="20"/>
        </w:rPr>
      </w:pPr>
    </w:p>
    <w:p w14:paraId="1DD80D6F" w14:textId="693FA6E1" w:rsidR="00FB1FE8" w:rsidRDefault="005E3073" w:rsidP="00FB1FE8">
      <w:pPr>
        <w:pStyle w:val="ListParagraph"/>
        <w:numPr>
          <w:ilvl w:val="0"/>
          <w:numId w:val="35"/>
        </w:numPr>
        <w:shd w:val="clear" w:color="auto" w:fill="FFFFFF"/>
        <w:spacing w:after="180"/>
        <w:rPr>
          <w:rFonts w:ascii="Titillium" w:hAnsi="Titillium"/>
          <w:color w:val="000000"/>
          <w:sz w:val="20"/>
          <w:szCs w:val="20"/>
        </w:rPr>
      </w:pPr>
      <w:r>
        <w:rPr>
          <w:rFonts w:ascii="Titillium" w:hAnsi="Titillium"/>
          <w:color w:val="000000"/>
          <w:sz w:val="20"/>
          <w:szCs w:val="20"/>
        </w:rPr>
        <w:t>D</w:t>
      </w:r>
      <w:r w:rsidRPr="005E3073">
        <w:rPr>
          <w:rFonts w:ascii="Titillium" w:hAnsi="Titillium"/>
          <w:color w:val="000000"/>
          <w:sz w:val="20"/>
          <w:szCs w:val="20"/>
        </w:rPr>
        <w:t xml:space="preserve">isclosure </w:t>
      </w:r>
      <w:r>
        <w:rPr>
          <w:rFonts w:ascii="Titillium" w:hAnsi="Titillium"/>
          <w:color w:val="000000"/>
          <w:sz w:val="20"/>
          <w:szCs w:val="20"/>
        </w:rPr>
        <w:t>should be</w:t>
      </w:r>
      <w:r w:rsidRPr="005E3073">
        <w:rPr>
          <w:rFonts w:ascii="Titillium" w:hAnsi="Titillium"/>
          <w:color w:val="000000"/>
          <w:sz w:val="20"/>
          <w:szCs w:val="20"/>
        </w:rPr>
        <w:t xml:space="preserve"> made confidentially to the</w:t>
      </w:r>
      <w:r>
        <w:rPr>
          <w:rFonts w:ascii="Titillium" w:hAnsi="Titillium"/>
          <w:color w:val="000000"/>
          <w:sz w:val="20"/>
          <w:szCs w:val="20"/>
        </w:rPr>
        <w:t xml:space="preserve">ir line </w:t>
      </w:r>
      <w:r w:rsidRPr="005E3073">
        <w:rPr>
          <w:rFonts w:ascii="Titillium" w:hAnsi="Titillium"/>
          <w:color w:val="000000"/>
          <w:sz w:val="20"/>
          <w:szCs w:val="20"/>
        </w:rPr>
        <w:t xml:space="preserve">manager who will consider the effect of the offence on the employee's </w:t>
      </w:r>
      <w:r>
        <w:rPr>
          <w:rFonts w:ascii="Titillium" w:hAnsi="Titillium"/>
          <w:color w:val="000000"/>
          <w:sz w:val="20"/>
          <w:szCs w:val="20"/>
        </w:rPr>
        <w:t xml:space="preserve">role e.g., </w:t>
      </w:r>
      <w:r w:rsidRPr="005E3073">
        <w:rPr>
          <w:rFonts w:ascii="Titillium" w:hAnsi="Titillium"/>
          <w:color w:val="000000"/>
          <w:sz w:val="20"/>
          <w:szCs w:val="20"/>
        </w:rPr>
        <w:t xml:space="preserve">convictions relevant to </w:t>
      </w:r>
      <w:r>
        <w:rPr>
          <w:rFonts w:ascii="Titillium" w:hAnsi="Titillium"/>
          <w:color w:val="000000"/>
          <w:sz w:val="20"/>
          <w:szCs w:val="20"/>
        </w:rPr>
        <w:t>roles</w:t>
      </w:r>
      <w:r w:rsidRPr="005E3073">
        <w:rPr>
          <w:rFonts w:ascii="Titillium" w:hAnsi="Titillium"/>
          <w:color w:val="000000"/>
          <w:sz w:val="20"/>
          <w:szCs w:val="20"/>
        </w:rPr>
        <w:t xml:space="preserve"> include a driving offence for a driver, theft or fraud for a finance </w:t>
      </w:r>
      <w:r>
        <w:rPr>
          <w:rFonts w:ascii="Titillium" w:hAnsi="Titillium"/>
          <w:color w:val="000000"/>
          <w:sz w:val="20"/>
          <w:szCs w:val="20"/>
        </w:rPr>
        <w:t>role</w:t>
      </w:r>
      <w:r w:rsidRPr="005E3073">
        <w:rPr>
          <w:rFonts w:ascii="Titillium" w:hAnsi="Titillium"/>
          <w:color w:val="000000"/>
          <w:sz w:val="20"/>
          <w:szCs w:val="20"/>
        </w:rPr>
        <w:t xml:space="preserve">, and convictions relating to vulnerable groups if working in a regulated activity and </w:t>
      </w:r>
      <w:r>
        <w:rPr>
          <w:rFonts w:ascii="Titillium" w:hAnsi="Titillium"/>
          <w:color w:val="000000"/>
          <w:sz w:val="20"/>
          <w:szCs w:val="20"/>
        </w:rPr>
        <w:t xml:space="preserve">the role requires </w:t>
      </w:r>
      <w:r w:rsidRPr="005E3073">
        <w:rPr>
          <w:rFonts w:ascii="Titillium" w:hAnsi="Titillium"/>
          <w:color w:val="000000"/>
          <w:sz w:val="20"/>
          <w:szCs w:val="20"/>
        </w:rPr>
        <w:t>PVG membership.</w:t>
      </w:r>
      <w:r w:rsidR="00FB1FE8">
        <w:rPr>
          <w:rFonts w:ascii="Titillium" w:hAnsi="Titillium"/>
          <w:color w:val="000000"/>
          <w:sz w:val="20"/>
          <w:szCs w:val="20"/>
        </w:rPr>
        <w:t xml:space="preserve"> The line manager should inform the Head of HR Operations of the staff members disclosure and a risk assessment will be carried out</w:t>
      </w:r>
      <w:r w:rsidR="00124681">
        <w:rPr>
          <w:rFonts w:ascii="Titillium" w:hAnsi="Titillium"/>
          <w:color w:val="000000"/>
          <w:sz w:val="20"/>
          <w:szCs w:val="20"/>
        </w:rPr>
        <w:t xml:space="preserve"> to consider the areas listed below and</w:t>
      </w:r>
      <w:r w:rsidR="00FB1FE8">
        <w:rPr>
          <w:rFonts w:ascii="Titillium" w:hAnsi="Titillium"/>
          <w:color w:val="000000"/>
          <w:sz w:val="20"/>
          <w:szCs w:val="20"/>
        </w:rPr>
        <w:t xml:space="preserve"> to inform the next steps and any required actions. </w:t>
      </w:r>
    </w:p>
    <w:p w14:paraId="61F14E19" w14:textId="77777777" w:rsidR="00FB1FE8" w:rsidRPr="007F3B4B" w:rsidRDefault="00FB1FE8" w:rsidP="007F3B4B">
      <w:pPr>
        <w:pStyle w:val="ListParagraph"/>
        <w:rPr>
          <w:rFonts w:ascii="Titillium" w:hAnsi="Titillium"/>
          <w:color w:val="000000"/>
          <w:sz w:val="20"/>
          <w:szCs w:val="20"/>
        </w:rPr>
      </w:pPr>
    </w:p>
    <w:p w14:paraId="70AAC26A" w14:textId="77777777" w:rsidR="00FB1FE8" w:rsidRPr="007F3B4B" w:rsidRDefault="00FB1FE8" w:rsidP="007F3B4B">
      <w:pPr>
        <w:pStyle w:val="ListParagraph"/>
        <w:shd w:val="clear" w:color="auto" w:fill="FFFFFF"/>
        <w:spacing w:after="180"/>
        <w:rPr>
          <w:rFonts w:ascii="Titillium" w:hAnsi="Titillium"/>
          <w:color w:val="000000"/>
          <w:sz w:val="20"/>
          <w:szCs w:val="20"/>
        </w:rPr>
      </w:pPr>
    </w:p>
    <w:p w14:paraId="635FBDBD" w14:textId="5322605C" w:rsidR="005E3073" w:rsidRPr="005E3073" w:rsidRDefault="005E3073" w:rsidP="005E3073">
      <w:pPr>
        <w:pStyle w:val="ListParagraph"/>
        <w:numPr>
          <w:ilvl w:val="0"/>
          <w:numId w:val="35"/>
        </w:numPr>
        <w:shd w:val="clear" w:color="auto" w:fill="FFFFFF"/>
        <w:spacing w:after="180"/>
        <w:rPr>
          <w:rFonts w:ascii="Titillium" w:hAnsi="Titillium"/>
          <w:color w:val="000000"/>
          <w:sz w:val="20"/>
          <w:szCs w:val="20"/>
        </w:rPr>
      </w:pPr>
      <w:r w:rsidRPr="005E3073">
        <w:rPr>
          <w:rFonts w:ascii="Titillium" w:hAnsi="Titillium"/>
          <w:color w:val="000000"/>
          <w:sz w:val="20"/>
          <w:szCs w:val="20"/>
        </w:rPr>
        <w:t xml:space="preserve">If an employee is charged with, or convicted of, a criminal offence (outside of their employment with the University) this will not normally in itself be considered a reason for disciplinary action or an automatic reason for dismissal.  Consideration will be given to the relevance and effect the charge or conviction has on the employee’s suitability / ability to complete their job and their relationship with the University, work colleagues, </w:t>
      </w:r>
      <w:proofErr w:type="gramStart"/>
      <w:r w:rsidRPr="005E3073">
        <w:rPr>
          <w:rFonts w:ascii="Titillium" w:hAnsi="Titillium"/>
          <w:color w:val="000000"/>
          <w:sz w:val="20"/>
          <w:szCs w:val="20"/>
        </w:rPr>
        <w:t>students</w:t>
      </w:r>
      <w:proofErr w:type="gramEnd"/>
      <w:r w:rsidRPr="005E3073">
        <w:rPr>
          <w:rFonts w:ascii="Titillium" w:hAnsi="Titillium"/>
          <w:color w:val="000000"/>
          <w:sz w:val="20"/>
          <w:szCs w:val="20"/>
        </w:rPr>
        <w:t xml:space="preserve"> and customers.  </w:t>
      </w:r>
    </w:p>
    <w:p w14:paraId="6AFEF81D" w14:textId="77777777" w:rsidR="005E3073" w:rsidRPr="005E3073" w:rsidRDefault="005E3073" w:rsidP="007F3B4B">
      <w:pPr>
        <w:pStyle w:val="ListParagraph"/>
        <w:shd w:val="clear" w:color="auto" w:fill="FFFFFF"/>
        <w:spacing w:after="180"/>
        <w:rPr>
          <w:rFonts w:ascii="Titillium" w:hAnsi="Titillium"/>
          <w:color w:val="000000"/>
          <w:sz w:val="20"/>
          <w:szCs w:val="20"/>
        </w:rPr>
      </w:pPr>
    </w:p>
    <w:p w14:paraId="74572474" w14:textId="5281656C" w:rsidR="005E3073" w:rsidRPr="007F3B4B" w:rsidRDefault="005E3073" w:rsidP="007F3B4B">
      <w:pPr>
        <w:pStyle w:val="ListParagraph"/>
        <w:numPr>
          <w:ilvl w:val="0"/>
          <w:numId w:val="35"/>
        </w:numPr>
        <w:shd w:val="clear" w:color="auto" w:fill="FFFFFF"/>
        <w:spacing w:after="180"/>
        <w:rPr>
          <w:rFonts w:ascii="Titillium" w:hAnsi="Titillium"/>
          <w:color w:val="000000"/>
          <w:sz w:val="20"/>
          <w:szCs w:val="20"/>
        </w:rPr>
      </w:pPr>
      <w:r w:rsidRPr="005E3073">
        <w:rPr>
          <w:rFonts w:ascii="Titillium" w:hAnsi="Titillium"/>
          <w:color w:val="000000"/>
          <w:sz w:val="20"/>
          <w:szCs w:val="20"/>
        </w:rPr>
        <w:t>The University will not wait for the outcome of a criminal prosecution in convening a disciplinary hearing and reaching a decision, if it considers that prompt action is required.</w:t>
      </w:r>
    </w:p>
    <w:p w14:paraId="68309EA0" w14:textId="77777777" w:rsidR="00124681" w:rsidRDefault="00124681" w:rsidP="0068046A">
      <w:pPr>
        <w:shd w:val="clear" w:color="auto" w:fill="FFFFFF"/>
        <w:spacing w:after="180"/>
        <w:rPr>
          <w:rFonts w:ascii="Titillium" w:hAnsi="Titillium"/>
        </w:rPr>
      </w:pPr>
    </w:p>
    <w:p w14:paraId="618BD02A" w14:textId="1B2EA9B1" w:rsidR="00124681" w:rsidRPr="007F3B4B" w:rsidRDefault="00124681" w:rsidP="0068046A">
      <w:pPr>
        <w:shd w:val="clear" w:color="auto" w:fill="FFFFFF"/>
        <w:spacing w:after="180"/>
        <w:rPr>
          <w:rFonts w:ascii="Titillium" w:hAnsi="Titillium"/>
          <w:sz w:val="20"/>
          <w:szCs w:val="20"/>
        </w:rPr>
      </w:pPr>
      <w:r w:rsidRPr="007F3B4B">
        <w:rPr>
          <w:rFonts w:ascii="Titillium" w:hAnsi="Titillium"/>
        </w:rPr>
        <w:t xml:space="preserve"> </w:t>
      </w:r>
      <w:r w:rsidRPr="007F3B4B">
        <w:rPr>
          <w:rFonts w:ascii="Titillium" w:hAnsi="Titillium"/>
          <w:sz w:val="20"/>
          <w:szCs w:val="20"/>
        </w:rPr>
        <w:t>Confidentiality</w:t>
      </w:r>
    </w:p>
    <w:p w14:paraId="028C8CD6" w14:textId="77777777" w:rsidR="00124681" w:rsidRPr="007F3B4B" w:rsidRDefault="00124681" w:rsidP="0068046A">
      <w:pPr>
        <w:shd w:val="clear" w:color="auto" w:fill="FFFFFF"/>
        <w:spacing w:after="180"/>
        <w:rPr>
          <w:rFonts w:ascii="Titillium" w:hAnsi="Titillium"/>
          <w:sz w:val="20"/>
          <w:szCs w:val="20"/>
        </w:rPr>
      </w:pPr>
      <w:r w:rsidRPr="007F3B4B">
        <w:rPr>
          <w:rFonts w:ascii="Titillium" w:hAnsi="Titillium"/>
          <w:sz w:val="20"/>
          <w:szCs w:val="20"/>
        </w:rPr>
        <w:t xml:space="preserve">It is the University’s aim is to deal with criminal conviction disclosures sensitively and with due respect for the privacy of any individuals involved. </w:t>
      </w:r>
    </w:p>
    <w:p w14:paraId="75355736" w14:textId="6724A11F" w:rsidR="005E3073" w:rsidRPr="00124681" w:rsidRDefault="00124681" w:rsidP="0068046A">
      <w:pPr>
        <w:shd w:val="clear" w:color="auto" w:fill="FFFFFF"/>
        <w:spacing w:after="180"/>
        <w:rPr>
          <w:rFonts w:ascii="Titillium" w:hAnsi="Titillium"/>
          <w:color w:val="000000"/>
          <w:sz w:val="20"/>
          <w:szCs w:val="20"/>
        </w:rPr>
      </w:pPr>
      <w:r w:rsidRPr="007F3B4B">
        <w:rPr>
          <w:rFonts w:ascii="Titillium" w:hAnsi="Titillium"/>
          <w:sz w:val="20"/>
          <w:szCs w:val="20"/>
        </w:rPr>
        <w:t>All individuals involved in the operation of this policy must treat as confidential any information communicated to them in connection with it, subject to the need to seek appropriate advice and guidance and to put into effect any decisions or recommendations made in accordance with the procedures set out above.</w:t>
      </w:r>
    </w:p>
    <w:p w14:paraId="1527C1DF" w14:textId="77777777" w:rsidR="005E3073" w:rsidRDefault="005E3073" w:rsidP="0068046A">
      <w:pPr>
        <w:shd w:val="clear" w:color="auto" w:fill="FFFFFF"/>
        <w:spacing w:after="180"/>
        <w:rPr>
          <w:rFonts w:ascii="Titillium" w:hAnsi="Titillium"/>
          <w:color w:val="000000"/>
          <w:sz w:val="20"/>
          <w:szCs w:val="20"/>
        </w:rPr>
      </w:pPr>
    </w:p>
    <w:p w14:paraId="74532E07" w14:textId="496CCE99" w:rsidR="0068046A" w:rsidRPr="0068046A" w:rsidRDefault="0068046A" w:rsidP="0068046A">
      <w:pPr>
        <w:shd w:val="clear" w:color="auto" w:fill="FFFFFF"/>
        <w:spacing w:after="180"/>
        <w:rPr>
          <w:rFonts w:ascii="Titillium" w:hAnsi="Titillium"/>
          <w:color w:val="333333"/>
          <w:sz w:val="20"/>
          <w:szCs w:val="20"/>
        </w:rPr>
      </w:pPr>
      <w:r w:rsidRPr="0068046A">
        <w:rPr>
          <w:rFonts w:ascii="Titillium" w:hAnsi="Titillium"/>
          <w:color w:val="000000"/>
          <w:sz w:val="20"/>
          <w:szCs w:val="20"/>
        </w:rPr>
        <w:t xml:space="preserve">This guidance is made available to all applicants at the outset via the recruitment/ application process </w:t>
      </w:r>
      <w:r w:rsidRPr="0068046A">
        <w:rPr>
          <w:rFonts w:ascii="Titillium" w:hAnsi="Titillium"/>
          <w:color w:val="7030A0"/>
          <w:sz w:val="20"/>
          <w:szCs w:val="20"/>
          <w:u w:val="single"/>
        </w:rPr>
        <w:t>via a link</w:t>
      </w:r>
      <w:r w:rsidRPr="0068046A">
        <w:rPr>
          <w:rFonts w:ascii="Titillium" w:hAnsi="Titillium"/>
          <w:color w:val="7030A0"/>
          <w:sz w:val="20"/>
          <w:szCs w:val="20"/>
        </w:rPr>
        <w:t xml:space="preserve"> </w:t>
      </w:r>
      <w:r w:rsidRPr="0068046A">
        <w:rPr>
          <w:rFonts w:ascii="Titillium" w:hAnsi="Titillium"/>
          <w:color w:val="000000"/>
          <w:sz w:val="20"/>
          <w:szCs w:val="20"/>
        </w:rPr>
        <w:t>on our external recruitment page</w:t>
      </w:r>
      <w:r w:rsidR="005E3073">
        <w:rPr>
          <w:rFonts w:ascii="Titillium" w:hAnsi="Titillium"/>
          <w:color w:val="000000"/>
          <w:sz w:val="20"/>
          <w:szCs w:val="20"/>
        </w:rPr>
        <w:t xml:space="preserve"> and is </w:t>
      </w:r>
      <w:r w:rsidR="00FB1FE8">
        <w:rPr>
          <w:rFonts w:ascii="Titillium" w:hAnsi="Titillium"/>
          <w:color w:val="000000"/>
          <w:sz w:val="20"/>
          <w:szCs w:val="20"/>
        </w:rPr>
        <w:t xml:space="preserve">also available to all employees via the </w:t>
      </w:r>
      <w:r w:rsidR="005E3073">
        <w:rPr>
          <w:rFonts w:ascii="Titillium" w:hAnsi="Titillium"/>
          <w:color w:val="000000"/>
          <w:sz w:val="20"/>
          <w:szCs w:val="20"/>
        </w:rPr>
        <w:t>intranet</w:t>
      </w:r>
    </w:p>
    <w:p w14:paraId="1373C09B" w14:textId="77777777" w:rsidR="0068046A" w:rsidRPr="0068046A" w:rsidRDefault="0068046A" w:rsidP="00786BBB">
      <w:pPr>
        <w:autoSpaceDE w:val="0"/>
        <w:autoSpaceDN w:val="0"/>
        <w:adjustRightInd w:val="0"/>
        <w:rPr>
          <w:rFonts w:ascii="Titillium" w:eastAsiaTheme="minorEastAsia" w:hAnsi="Titillium" w:cs="Titillium-Semibold"/>
          <w:color w:val="579FB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7"/>
      </w:tblGrid>
      <w:tr w:rsidR="00786BBB" w:rsidRPr="0068046A" w14:paraId="723BEAD3" w14:textId="77777777" w:rsidTr="00582850">
        <w:tc>
          <w:tcPr>
            <w:tcW w:w="1985" w:type="dxa"/>
            <w:tcBorders>
              <w:right w:val="single" w:sz="12" w:space="0" w:color="579FBB"/>
            </w:tcBorders>
          </w:tcPr>
          <w:p w14:paraId="6EF2297C" w14:textId="6304E16D" w:rsidR="00786BBB" w:rsidRPr="0068046A" w:rsidRDefault="00582850" w:rsidP="00582850">
            <w:pPr>
              <w:autoSpaceDE w:val="0"/>
              <w:autoSpaceDN w:val="0"/>
              <w:adjustRightInd w:val="0"/>
              <w:rPr>
                <w:rFonts w:ascii="Titillium" w:eastAsiaTheme="minorEastAsia" w:hAnsi="Titillium" w:cs="Titillium-Semibold"/>
                <w:color w:val="579FBB"/>
                <w:sz w:val="20"/>
                <w:szCs w:val="20"/>
              </w:rPr>
            </w:pPr>
            <w:r w:rsidRPr="0068046A">
              <w:rPr>
                <w:rFonts w:ascii="Titillium" w:eastAsiaTheme="minorEastAsia" w:hAnsi="Titillium" w:cs="Titillium-Semibold"/>
                <w:color w:val="579FBB"/>
                <w:sz w:val="20"/>
                <w:szCs w:val="20"/>
              </w:rPr>
              <w:t>Who can help?</w:t>
            </w:r>
            <w:r w:rsidR="00786BBB" w:rsidRPr="0068046A">
              <w:rPr>
                <w:rFonts w:ascii="Titillium" w:eastAsiaTheme="minorEastAsia" w:hAnsi="Titillium" w:cs="Titillium-Semibold"/>
                <w:color w:val="579FBB"/>
                <w:sz w:val="20"/>
                <w:szCs w:val="20"/>
              </w:rPr>
              <w:t xml:space="preserve"> </w:t>
            </w:r>
          </w:p>
        </w:tc>
        <w:tc>
          <w:tcPr>
            <w:tcW w:w="7637" w:type="dxa"/>
            <w:tcBorders>
              <w:left w:val="single" w:sz="12" w:space="0" w:color="579FBB"/>
            </w:tcBorders>
          </w:tcPr>
          <w:p w14:paraId="50796372" w14:textId="0A3345D4" w:rsidR="00130C4F" w:rsidRDefault="0068046A" w:rsidP="00130C4F">
            <w:pPr>
              <w:autoSpaceDE w:val="0"/>
              <w:autoSpaceDN w:val="0"/>
              <w:adjustRightInd w:val="0"/>
              <w:ind w:left="34"/>
              <w:jc w:val="both"/>
              <w:rPr>
                <w:rFonts w:ascii="Titillium" w:eastAsiaTheme="minorEastAsia" w:hAnsi="Titillium" w:cs="Titillium-Semibold"/>
                <w:sz w:val="20"/>
                <w:szCs w:val="20"/>
              </w:rPr>
            </w:pPr>
            <w:r w:rsidRPr="0068046A">
              <w:rPr>
                <w:rFonts w:ascii="Titillium" w:eastAsiaTheme="minorEastAsia" w:hAnsi="Titillium" w:cs="Titillium-Semibold"/>
                <w:sz w:val="20"/>
                <w:szCs w:val="20"/>
              </w:rPr>
              <w:t xml:space="preserve">The Talent &amp; Resourcing Team and </w:t>
            </w:r>
            <w:r w:rsidR="00786BBB" w:rsidRPr="0068046A">
              <w:rPr>
                <w:rFonts w:ascii="Titillium" w:eastAsiaTheme="minorEastAsia" w:hAnsi="Titillium" w:cs="Titillium-Semibold"/>
                <w:sz w:val="20"/>
                <w:szCs w:val="20"/>
              </w:rPr>
              <w:t xml:space="preserve">HR Services Team can provide support and assistance with the application of this </w:t>
            </w:r>
            <w:r w:rsidRPr="0068046A">
              <w:rPr>
                <w:rFonts w:ascii="Titillium" w:eastAsiaTheme="minorEastAsia" w:hAnsi="Titillium" w:cs="Titillium-Semibold"/>
                <w:sz w:val="20"/>
                <w:szCs w:val="20"/>
              </w:rPr>
              <w:t>statement</w:t>
            </w:r>
            <w:r w:rsidR="00786BBB" w:rsidRPr="0068046A">
              <w:rPr>
                <w:rFonts w:ascii="Titillium" w:eastAsiaTheme="minorEastAsia" w:hAnsi="Titillium" w:cs="Titillium-Semibold"/>
                <w:sz w:val="20"/>
                <w:szCs w:val="20"/>
              </w:rPr>
              <w:t xml:space="preserve"> and answer any questions that you may have. </w:t>
            </w:r>
            <w:r w:rsidR="00130C4F">
              <w:rPr>
                <w:rFonts w:ascii="Titillium" w:eastAsiaTheme="minorEastAsia" w:hAnsi="Titillium" w:cs="Titillium-Semibold"/>
                <w:sz w:val="20"/>
                <w:szCs w:val="20"/>
              </w:rPr>
              <w:t xml:space="preserve"> </w:t>
            </w:r>
          </w:p>
          <w:p w14:paraId="7B976D6B" w14:textId="5AE6CD16" w:rsidR="00786BBB" w:rsidRPr="00130C4F" w:rsidRDefault="00CE5EF0" w:rsidP="00130C4F">
            <w:pPr>
              <w:autoSpaceDE w:val="0"/>
              <w:autoSpaceDN w:val="0"/>
              <w:adjustRightInd w:val="0"/>
              <w:ind w:left="34"/>
              <w:jc w:val="both"/>
              <w:rPr>
                <w:rStyle w:val="Hyperlink"/>
                <w:rFonts w:ascii="Titillium" w:eastAsiaTheme="minorEastAsia" w:hAnsi="Titillium" w:cs="Titillium-Semibold"/>
                <w:color w:val="auto"/>
                <w:sz w:val="20"/>
                <w:szCs w:val="20"/>
                <w:u w:val="none"/>
              </w:rPr>
            </w:pPr>
            <w:hyperlink r:id="rId16" w:history="1">
              <w:r w:rsidR="00130C4F" w:rsidRPr="00644620">
                <w:rPr>
                  <w:rStyle w:val="Hyperlink"/>
                  <w:rFonts w:ascii="Titillium" w:hAnsi="Titillium"/>
                  <w:sz w:val="20"/>
                  <w:szCs w:val="20"/>
                  <w:lang w:val="en-US"/>
                </w:rPr>
                <w:t>recruitment@napier.ac.uk</w:t>
              </w:r>
            </w:hyperlink>
            <w:r w:rsidR="0068046A">
              <w:rPr>
                <w:rFonts w:ascii="Titillium" w:hAnsi="Titillium"/>
                <w:sz w:val="20"/>
                <w:szCs w:val="20"/>
                <w:lang w:val="en-US"/>
              </w:rPr>
              <w:t xml:space="preserve">    or   </w:t>
            </w:r>
            <w:hyperlink r:id="rId17" w:history="1">
              <w:r w:rsidR="0068046A" w:rsidRPr="00644620">
                <w:rPr>
                  <w:rStyle w:val="Hyperlink"/>
                  <w:rFonts w:ascii="Titillium" w:eastAsiaTheme="minorEastAsia" w:hAnsi="Titillium" w:cs="Titillium-Semibold"/>
                  <w:sz w:val="20"/>
                  <w:szCs w:val="20"/>
                </w:rPr>
                <w:t>HumanResources@napier.ac.uk</w:t>
              </w:r>
            </w:hyperlink>
          </w:p>
          <w:p w14:paraId="793E9DE2" w14:textId="1BFAB250" w:rsidR="0068046A" w:rsidRPr="0068046A" w:rsidRDefault="0068046A" w:rsidP="00372519">
            <w:pPr>
              <w:autoSpaceDE w:val="0"/>
              <w:autoSpaceDN w:val="0"/>
              <w:adjustRightInd w:val="0"/>
              <w:ind w:left="34"/>
              <w:jc w:val="both"/>
              <w:rPr>
                <w:rFonts w:ascii="Titillium" w:eastAsiaTheme="minorEastAsia" w:hAnsi="Titillium" w:cs="Titillium-Semibold"/>
                <w:sz w:val="20"/>
                <w:szCs w:val="20"/>
              </w:rPr>
            </w:pPr>
          </w:p>
        </w:tc>
      </w:tr>
    </w:tbl>
    <w:p w14:paraId="0F0128EA" w14:textId="0344E086" w:rsidR="00CE099E" w:rsidRPr="0068046A" w:rsidRDefault="00CE099E" w:rsidP="00983469">
      <w:pPr>
        <w:shd w:val="clear" w:color="auto" w:fill="FFFFFF"/>
        <w:spacing w:before="100" w:beforeAutospacing="1" w:after="180"/>
        <w:jc w:val="both"/>
        <w:rPr>
          <w:rFonts w:ascii="Titillium" w:hAnsi="Titillium"/>
          <w:b/>
          <w:color w:val="579FBB"/>
          <w:sz w:val="20"/>
          <w:szCs w:val="20"/>
          <w:lang w:eastAsia="en-GB"/>
        </w:rPr>
      </w:pPr>
      <w:r w:rsidRPr="0068046A">
        <w:rPr>
          <w:rFonts w:ascii="Titillium" w:hAnsi="Titillium"/>
          <w:b/>
          <w:color w:val="579FBB"/>
          <w:sz w:val="20"/>
          <w:szCs w:val="20"/>
          <w:lang w:eastAsia="en-GB"/>
        </w:rPr>
        <w:t>Related Policie</w:t>
      </w:r>
      <w:r w:rsidR="0068046A">
        <w:rPr>
          <w:rFonts w:ascii="Titillium" w:hAnsi="Titillium"/>
          <w:b/>
          <w:color w:val="579FBB"/>
          <w:sz w:val="20"/>
          <w:szCs w:val="20"/>
          <w:lang w:eastAsia="en-GB"/>
        </w:rPr>
        <w:t>s</w:t>
      </w:r>
    </w:p>
    <w:p w14:paraId="4B25FE3D" w14:textId="03CCF08E" w:rsidR="0068046A" w:rsidRPr="0068046A" w:rsidRDefault="0068046A" w:rsidP="0068046A">
      <w:pPr>
        <w:pStyle w:val="ListParagraph"/>
        <w:numPr>
          <w:ilvl w:val="0"/>
          <w:numId w:val="8"/>
        </w:numPr>
        <w:rPr>
          <w:rFonts w:ascii="Titillium" w:hAnsi="Titillium"/>
          <w:sz w:val="20"/>
          <w:szCs w:val="20"/>
        </w:rPr>
      </w:pPr>
      <w:r w:rsidRPr="0068046A">
        <w:rPr>
          <w:rFonts w:ascii="Titillium" w:hAnsi="Titillium"/>
          <w:sz w:val="20"/>
          <w:szCs w:val="20"/>
        </w:rPr>
        <w:t xml:space="preserve">Protection of Vulnerable Groups Policy </w:t>
      </w:r>
    </w:p>
    <w:p w14:paraId="0B975623" w14:textId="77777777" w:rsidR="0068046A" w:rsidRPr="0068046A" w:rsidRDefault="0068046A" w:rsidP="0068046A">
      <w:pPr>
        <w:pStyle w:val="ListParagraph"/>
        <w:numPr>
          <w:ilvl w:val="0"/>
          <w:numId w:val="8"/>
        </w:numPr>
        <w:rPr>
          <w:rFonts w:ascii="Titillium" w:hAnsi="Titillium"/>
          <w:sz w:val="20"/>
          <w:szCs w:val="20"/>
        </w:rPr>
      </w:pPr>
      <w:r w:rsidRPr="0068046A">
        <w:rPr>
          <w:rFonts w:ascii="Titillium" w:hAnsi="Titillium"/>
          <w:sz w:val="20"/>
          <w:szCs w:val="20"/>
        </w:rPr>
        <w:t xml:space="preserve">Data Protection Policy </w:t>
      </w:r>
    </w:p>
    <w:p w14:paraId="1297FB78" w14:textId="73D9C756" w:rsidR="00F73488" w:rsidRDefault="0068046A" w:rsidP="00130C4F">
      <w:pPr>
        <w:pStyle w:val="ListParagraph"/>
        <w:numPr>
          <w:ilvl w:val="0"/>
          <w:numId w:val="8"/>
        </w:numPr>
        <w:rPr>
          <w:rFonts w:ascii="Titillium" w:hAnsi="Titillium"/>
          <w:sz w:val="20"/>
          <w:szCs w:val="20"/>
        </w:rPr>
      </w:pPr>
      <w:r w:rsidRPr="0068046A">
        <w:rPr>
          <w:rFonts w:ascii="Titillium" w:hAnsi="Titillium"/>
          <w:sz w:val="20"/>
          <w:szCs w:val="20"/>
        </w:rPr>
        <w:t xml:space="preserve">HR Retention Schedule </w:t>
      </w:r>
    </w:p>
    <w:p w14:paraId="04C11306" w14:textId="791B91CA" w:rsidR="00FB1FE8" w:rsidRDefault="00FB1FE8" w:rsidP="00130C4F">
      <w:pPr>
        <w:pStyle w:val="ListParagraph"/>
        <w:numPr>
          <w:ilvl w:val="0"/>
          <w:numId w:val="8"/>
        </w:numPr>
        <w:rPr>
          <w:rFonts w:ascii="Titillium" w:hAnsi="Titillium"/>
          <w:sz w:val="20"/>
          <w:szCs w:val="20"/>
        </w:rPr>
      </w:pPr>
      <w:r>
        <w:rPr>
          <w:rFonts w:ascii="Titillium" w:hAnsi="Titillium"/>
          <w:sz w:val="20"/>
          <w:szCs w:val="20"/>
        </w:rPr>
        <w:t xml:space="preserve">Staff Privacy Notice </w:t>
      </w:r>
    </w:p>
    <w:p w14:paraId="31B4E04E" w14:textId="21559837" w:rsidR="00B11F8A" w:rsidRPr="00130C4F" w:rsidRDefault="00B11F8A" w:rsidP="00130C4F">
      <w:pPr>
        <w:pStyle w:val="ListParagraph"/>
        <w:numPr>
          <w:ilvl w:val="0"/>
          <w:numId w:val="8"/>
        </w:numPr>
        <w:rPr>
          <w:rFonts w:ascii="Titillium" w:hAnsi="Titillium"/>
          <w:sz w:val="20"/>
          <w:szCs w:val="20"/>
        </w:rPr>
      </w:pPr>
      <w:r>
        <w:rPr>
          <w:rFonts w:ascii="Titillium" w:hAnsi="Titillium"/>
          <w:sz w:val="20"/>
          <w:szCs w:val="20"/>
        </w:rPr>
        <w:t xml:space="preserve">Disciplinary Policy and Procedure </w:t>
      </w:r>
    </w:p>
    <w:p w14:paraId="73B91584" w14:textId="77777777" w:rsidR="003F5799" w:rsidRPr="0068046A" w:rsidRDefault="003F5799" w:rsidP="003F5799">
      <w:pPr>
        <w:shd w:val="clear" w:color="auto" w:fill="FFFFFF"/>
        <w:spacing w:before="100" w:beforeAutospacing="1" w:after="180"/>
        <w:jc w:val="both"/>
        <w:rPr>
          <w:rFonts w:ascii="Titillium" w:hAnsi="Titillium"/>
          <w:b/>
          <w:color w:val="579FBB"/>
          <w:sz w:val="20"/>
          <w:szCs w:val="20"/>
          <w:lang w:eastAsia="en-GB"/>
        </w:rPr>
      </w:pPr>
      <w:r w:rsidRPr="0068046A">
        <w:rPr>
          <w:rFonts w:ascii="Titillium" w:hAnsi="Titillium"/>
          <w:b/>
          <w:color w:val="579FBB"/>
          <w:sz w:val="20"/>
          <w:szCs w:val="20"/>
          <w:lang w:eastAsia="en-GB"/>
        </w:rPr>
        <w:t>Document Control</w:t>
      </w:r>
    </w:p>
    <w:tbl>
      <w:tblPr>
        <w:tblStyle w:val="TableGrid2"/>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3F5799" w:rsidRPr="0068046A" w14:paraId="27D38351" w14:textId="77777777" w:rsidTr="00582850">
        <w:trPr>
          <w:trHeight w:val="80"/>
        </w:trPr>
        <w:tc>
          <w:tcPr>
            <w:tcW w:w="2268" w:type="dxa"/>
          </w:tcPr>
          <w:p w14:paraId="1E7B5C92" w14:textId="77777777" w:rsidR="003F5799" w:rsidRPr="0068046A" w:rsidRDefault="003F5799" w:rsidP="003F5799">
            <w:pPr>
              <w:rPr>
                <w:rFonts w:ascii="Titillium" w:hAnsi="Titillium"/>
                <w:sz w:val="20"/>
                <w:szCs w:val="20"/>
                <w:lang w:eastAsia="en-GB"/>
              </w:rPr>
            </w:pPr>
            <w:r w:rsidRPr="0068046A">
              <w:rPr>
                <w:rFonts w:ascii="Titillium" w:hAnsi="Titillium"/>
                <w:sz w:val="20"/>
                <w:szCs w:val="20"/>
                <w:lang w:eastAsia="en-GB"/>
              </w:rPr>
              <w:t>Author</w:t>
            </w:r>
          </w:p>
          <w:p w14:paraId="7D9B0B00" w14:textId="77777777" w:rsidR="003F5799" w:rsidRPr="0068046A" w:rsidRDefault="003F5799" w:rsidP="003F5799">
            <w:pPr>
              <w:rPr>
                <w:rFonts w:ascii="Titillium" w:hAnsi="Titillium"/>
                <w:sz w:val="20"/>
                <w:szCs w:val="20"/>
                <w:lang w:eastAsia="en-GB"/>
              </w:rPr>
            </w:pPr>
            <w:r w:rsidRPr="0068046A">
              <w:rPr>
                <w:rFonts w:ascii="Titillium" w:hAnsi="Titillium"/>
                <w:sz w:val="20"/>
                <w:szCs w:val="20"/>
                <w:lang w:eastAsia="en-GB"/>
              </w:rPr>
              <w:t>Date First Approved</w:t>
            </w:r>
          </w:p>
          <w:p w14:paraId="40020785" w14:textId="77777777" w:rsidR="003F5799" w:rsidRPr="0068046A" w:rsidRDefault="003F5799" w:rsidP="003F5799">
            <w:pPr>
              <w:rPr>
                <w:rFonts w:ascii="Titillium" w:hAnsi="Titillium"/>
                <w:sz w:val="20"/>
                <w:szCs w:val="20"/>
                <w:lang w:eastAsia="en-GB"/>
              </w:rPr>
            </w:pPr>
            <w:r w:rsidRPr="0068046A">
              <w:rPr>
                <w:rFonts w:ascii="Titillium" w:hAnsi="Titillium"/>
                <w:sz w:val="20"/>
                <w:szCs w:val="20"/>
                <w:lang w:eastAsia="en-GB"/>
              </w:rPr>
              <w:t>Last Review Date</w:t>
            </w:r>
          </w:p>
          <w:p w14:paraId="4D28FA4E" w14:textId="7ED4D321" w:rsidR="003F5799" w:rsidRPr="0068046A" w:rsidRDefault="003F5799" w:rsidP="003F5799">
            <w:pPr>
              <w:rPr>
                <w:rFonts w:ascii="Titillium" w:hAnsi="Titillium"/>
                <w:sz w:val="20"/>
                <w:szCs w:val="20"/>
                <w:lang w:eastAsia="en-GB"/>
              </w:rPr>
            </w:pPr>
            <w:r w:rsidRPr="0068046A">
              <w:rPr>
                <w:rFonts w:ascii="Titillium" w:hAnsi="Titillium"/>
                <w:sz w:val="20"/>
                <w:szCs w:val="20"/>
                <w:lang w:eastAsia="en-GB"/>
              </w:rPr>
              <w:t>Review Frequency</w:t>
            </w:r>
          </w:p>
        </w:tc>
        <w:tc>
          <w:tcPr>
            <w:tcW w:w="7366" w:type="dxa"/>
          </w:tcPr>
          <w:p w14:paraId="381771E8" w14:textId="416A8443" w:rsidR="003F5799" w:rsidRPr="0068046A" w:rsidRDefault="003F5799" w:rsidP="003F5799">
            <w:pPr>
              <w:jc w:val="both"/>
              <w:rPr>
                <w:rFonts w:ascii="Titillium" w:hAnsi="Titillium"/>
                <w:noProof/>
                <w:sz w:val="20"/>
                <w:szCs w:val="20"/>
                <w:lang w:val="en-US"/>
              </w:rPr>
            </w:pPr>
            <w:r w:rsidRPr="0068046A">
              <w:rPr>
                <w:rFonts w:ascii="Titillium" w:hAnsi="Titillium"/>
                <w:noProof/>
                <w:sz w:val="20"/>
                <w:szCs w:val="20"/>
                <w:lang w:val="en-US"/>
              </w:rPr>
              <w:t xml:space="preserve">Human Resources </w:t>
            </w:r>
          </w:p>
          <w:p w14:paraId="76799683" w14:textId="458EA4C4" w:rsidR="003F5799" w:rsidRPr="0068046A" w:rsidRDefault="00F854D1" w:rsidP="003F5799">
            <w:pPr>
              <w:jc w:val="both"/>
              <w:rPr>
                <w:rFonts w:ascii="Titillium" w:hAnsi="Titillium"/>
                <w:noProof/>
                <w:sz w:val="20"/>
                <w:szCs w:val="20"/>
                <w:lang w:val="en-US"/>
              </w:rPr>
            </w:pPr>
            <w:r>
              <w:rPr>
                <w:rFonts w:ascii="Titillium" w:hAnsi="Titillium"/>
                <w:noProof/>
                <w:sz w:val="20"/>
                <w:szCs w:val="20"/>
                <w:lang w:val="en-US"/>
              </w:rPr>
              <w:t>January 2022</w:t>
            </w:r>
          </w:p>
          <w:p w14:paraId="0677EA77" w14:textId="21CD024E" w:rsidR="00F854D1" w:rsidRDefault="007F3B4B" w:rsidP="003F5799">
            <w:pPr>
              <w:jc w:val="both"/>
              <w:rPr>
                <w:rFonts w:ascii="Titillium" w:hAnsi="Titillium"/>
                <w:noProof/>
                <w:sz w:val="20"/>
                <w:szCs w:val="20"/>
                <w:lang w:val="en-US"/>
              </w:rPr>
            </w:pPr>
            <w:r>
              <w:rPr>
                <w:rFonts w:ascii="Titillium" w:hAnsi="Titillium"/>
                <w:noProof/>
                <w:sz w:val="20"/>
                <w:szCs w:val="20"/>
                <w:lang w:val="en-US"/>
              </w:rPr>
              <w:t>April 2022</w:t>
            </w:r>
            <w:r w:rsidR="00516986">
              <w:rPr>
                <w:rFonts w:ascii="Titillium" w:hAnsi="Titillium"/>
                <w:noProof/>
                <w:sz w:val="20"/>
                <w:szCs w:val="20"/>
                <w:lang w:val="en-US"/>
              </w:rPr>
              <w:t xml:space="preserve"> </w:t>
            </w:r>
          </w:p>
          <w:p w14:paraId="002F0B5C" w14:textId="0C53D0A4" w:rsidR="00BD00B3" w:rsidRPr="0068046A" w:rsidRDefault="003F5799" w:rsidP="003F5799">
            <w:pPr>
              <w:jc w:val="both"/>
              <w:rPr>
                <w:rFonts w:ascii="Titillium" w:hAnsi="Titillium"/>
                <w:noProof/>
                <w:sz w:val="20"/>
                <w:szCs w:val="20"/>
                <w:lang w:val="en-US"/>
              </w:rPr>
            </w:pPr>
            <w:r w:rsidRPr="0068046A">
              <w:rPr>
                <w:rFonts w:ascii="Titillium" w:hAnsi="Titillium"/>
                <w:noProof/>
                <w:sz w:val="20"/>
                <w:szCs w:val="20"/>
                <w:lang w:val="en-US"/>
              </w:rPr>
              <w:t>2 years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59"/>
      </w:tblGrid>
      <w:tr w:rsidR="002E21BD" w:rsidRPr="0068046A" w14:paraId="6E45DB99" w14:textId="77777777" w:rsidTr="002E21BD">
        <w:tc>
          <w:tcPr>
            <w:tcW w:w="2122" w:type="dxa"/>
          </w:tcPr>
          <w:p w14:paraId="3774B5EE" w14:textId="77777777" w:rsidR="002E21BD" w:rsidRPr="0068046A" w:rsidRDefault="002E21BD" w:rsidP="0068046A">
            <w:pPr>
              <w:rPr>
                <w:rFonts w:ascii="Titillium" w:hAnsi="Titillium"/>
                <w:color w:val="579FBB"/>
                <w:sz w:val="20"/>
                <w:szCs w:val="20"/>
                <w:lang w:eastAsia="en-GB"/>
              </w:rPr>
            </w:pPr>
          </w:p>
        </w:tc>
        <w:tc>
          <w:tcPr>
            <w:tcW w:w="7359" w:type="dxa"/>
          </w:tcPr>
          <w:p w14:paraId="13744348" w14:textId="77777777" w:rsidR="002E21BD" w:rsidRPr="0068046A" w:rsidRDefault="002E21BD" w:rsidP="00983469">
            <w:pPr>
              <w:spacing w:before="100" w:beforeAutospacing="1" w:after="180"/>
              <w:jc w:val="both"/>
              <w:rPr>
                <w:rFonts w:ascii="Titillium" w:hAnsi="Titillium"/>
                <w:sz w:val="20"/>
                <w:szCs w:val="20"/>
                <w:lang w:eastAsia="en-GB"/>
              </w:rPr>
            </w:pPr>
          </w:p>
        </w:tc>
      </w:tr>
    </w:tbl>
    <w:p w14:paraId="6DDC6960" w14:textId="45E97DD3" w:rsidR="0017528E" w:rsidRPr="0068046A" w:rsidRDefault="0017528E" w:rsidP="00130C4F">
      <w:pPr>
        <w:rPr>
          <w:rFonts w:ascii="Titillium" w:hAnsi="Titillium"/>
          <w:noProof/>
          <w:sz w:val="20"/>
          <w:szCs w:val="20"/>
          <w:lang w:val="en-US"/>
        </w:rPr>
      </w:pPr>
    </w:p>
    <w:sectPr w:rsidR="0017528E" w:rsidRPr="0068046A" w:rsidSect="00943A9B">
      <w:headerReference w:type="even" r:id="rId18"/>
      <w:headerReference w:type="default" r:id="rId19"/>
      <w:footerReference w:type="default" r:id="rId20"/>
      <w:type w:val="continuous"/>
      <w:pgSz w:w="11900" w:h="16820"/>
      <w:pgMar w:top="3119" w:right="1134" w:bottom="851" w:left="1134" w:header="1247" w:footer="851" w:gutter="0"/>
      <w:pgNumType w:start="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76FF" w14:textId="77777777" w:rsidR="00270B3B" w:rsidRDefault="00270B3B" w:rsidP="00EC31D5">
      <w:r>
        <w:separator/>
      </w:r>
    </w:p>
  </w:endnote>
  <w:endnote w:type="continuationSeparator" w:id="0">
    <w:p w14:paraId="451D55E2" w14:textId="77777777" w:rsidR="00270B3B" w:rsidRDefault="00270B3B"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Titillium-Semibold">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F2DC" w14:textId="6A4B09D5" w:rsidR="00582850" w:rsidRPr="00582850" w:rsidRDefault="00582850">
    <w:pPr>
      <w:pStyle w:val="Footer"/>
      <w:jc w:val="center"/>
      <w:rPr>
        <w:rFonts w:ascii="Titillium" w:hAnsi="Titillium"/>
        <w:caps/>
        <w:noProof/>
        <w:sz w:val="22"/>
        <w:szCs w:val="22"/>
      </w:rPr>
    </w:pPr>
    <w:r w:rsidRPr="00582850">
      <w:rPr>
        <w:rFonts w:ascii="Titillium" w:hAnsi="Titillium"/>
        <w:caps/>
        <w:sz w:val="22"/>
        <w:szCs w:val="22"/>
      </w:rPr>
      <w:fldChar w:fldCharType="begin"/>
    </w:r>
    <w:r w:rsidRPr="00582850">
      <w:rPr>
        <w:rFonts w:ascii="Titillium" w:hAnsi="Titillium"/>
        <w:caps/>
        <w:sz w:val="22"/>
        <w:szCs w:val="22"/>
      </w:rPr>
      <w:instrText xml:space="preserve"> PAGE   \* MERGEFORMAT </w:instrText>
    </w:r>
    <w:r w:rsidRPr="00582850">
      <w:rPr>
        <w:rFonts w:ascii="Titillium" w:hAnsi="Titillium"/>
        <w:caps/>
        <w:sz w:val="22"/>
        <w:szCs w:val="22"/>
      </w:rPr>
      <w:fldChar w:fldCharType="separate"/>
    </w:r>
    <w:r w:rsidR="00FF6A03">
      <w:rPr>
        <w:rFonts w:ascii="Titillium" w:hAnsi="Titillium"/>
        <w:caps/>
        <w:noProof/>
        <w:sz w:val="22"/>
        <w:szCs w:val="22"/>
      </w:rPr>
      <w:t>0</w:t>
    </w:r>
    <w:r w:rsidRPr="00582850">
      <w:rPr>
        <w:rFonts w:ascii="Titillium" w:hAnsi="Titillium"/>
        <w:caps/>
        <w:noProof/>
        <w:sz w:val="22"/>
        <w:szCs w:val="22"/>
      </w:rPr>
      <w:fldChar w:fldCharType="end"/>
    </w:r>
  </w:p>
  <w:p w14:paraId="2F969384" w14:textId="77777777" w:rsidR="00582850" w:rsidRDefault="0058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CDA7" w14:textId="77777777" w:rsidR="00270B3B" w:rsidRDefault="00270B3B" w:rsidP="00EC31D5">
      <w:r>
        <w:separator/>
      </w:r>
    </w:p>
  </w:footnote>
  <w:footnote w:type="continuationSeparator" w:id="0">
    <w:p w14:paraId="7FCF190B" w14:textId="77777777" w:rsidR="00270B3B" w:rsidRDefault="00270B3B"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B1" w14:textId="77777777" w:rsidR="00582850" w:rsidRDefault="00CE5EF0">
    <w:pPr>
      <w:pStyle w:val="Header"/>
    </w:pPr>
    <w:sdt>
      <w:sdtPr>
        <w:id w:val="196288142"/>
        <w:placeholder>
          <w:docPart w:val="3F2B03ACD5DCCB409DA6B025703A710A"/>
        </w:placeholder>
        <w:temporary/>
        <w:showingPlcHdr/>
      </w:sdtPr>
      <w:sdtEndPr/>
      <w:sdtContent>
        <w:r w:rsidR="00582850">
          <w:t>[Type text]</w:t>
        </w:r>
      </w:sdtContent>
    </w:sdt>
    <w:r w:rsidR="00582850">
      <w:ptab w:relativeTo="margin" w:alignment="center" w:leader="none"/>
    </w:r>
    <w:sdt>
      <w:sdtPr>
        <w:id w:val="1926532305"/>
        <w:placeholder>
          <w:docPart w:val="CFACCB42C3B3404CAA11B9BB648C050E"/>
        </w:placeholder>
        <w:temporary/>
        <w:showingPlcHdr/>
      </w:sdtPr>
      <w:sdtEndPr/>
      <w:sdtContent>
        <w:r w:rsidR="00582850">
          <w:t>[Type text]</w:t>
        </w:r>
      </w:sdtContent>
    </w:sdt>
    <w:r w:rsidR="00582850">
      <w:ptab w:relativeTo="margin" w:alignment="right" w:leader="none"/>
    </w:r>
    <w:sdt>
      <w:sdtPr>
        <w:id w:val="-1643106329"/>
        <w:placeholder>
          <w:docPart w:val="EAB493A49408F545AC98EEFF5D8D7889"/>
        </w:placeholder>
        <w:temporary/>
        <w:showingPlcHdr/>
      </w:sdtPr>
      <w:sdtEndPr/>
      <w:sdtContent>
        <w:r w:rsidR="00582850">
          <w:t>[Type text]</w:t>
        </w:r>
      </w:sdtContent>
    </w:sdt>
  </w:p>
  <w:p w14:paraId="3C7F53CD" w14:textId="77777777" w:rsidR="00582850" w:rsidRDefault="00582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A18" w14:textId="16AAC630" w:rsidR="00582850" w:rsidRPr="00640328" w:rsidRDefault="00582850"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8240" behindDoc="1" locked="1" layoutInCell="1" allowOverlap="1" wp14:anchorId="5DFEC5AD" wp14:editId="11F26A92">
          <wp:simplePos x="0" y="0"/>
          <wp:positionH relativeFrom="page">
            <wp:posOffset>0</wp:posOffset>
          </wp:positionH>
          <wp:positionV relativeFrom="page">
            <wp:posOffset>-3810</wp:posOffset>
          </wp:positionV>
          <wp:extent cx="7559675" cy="19481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582850" w:rsidRDefault="0058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501pt;height:501pt" o:bullet="t">
        <v:imagedata r:id="rId1" o:title="Tick-01"/>
      </v:shape>
    </w:pict>
  </w:numPicBullet>
  <w:abstractNum w:abstractNumId="0"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2C0B"/>
    <w:multiLevelType w:val="hybridMultilevel"/>
    <w:tmpl w:val="C32E68E8"/>
    <w:lvl w:ilvl="0" w:tplc="31363C20">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8E0AD9"/>
    <w:multiLevelType w:val="hybridMultilevel"/>
    <w:tmpl w:val="D370F19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036BE"/>
    <w:multiLevelType w:val="hybridMultilevel"/>
    <w:tmpl w:val="28F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42652"/>
    <w:multiLevelType w:val="hybridMultilevel"/>
    <w:tmpl w:val="7F880B2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19853555"/>
    <w:multiLevelType w:val="hybridMultilevel"/>
    <w:tmpl w:val="C2F6FF4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86821"/>
    <w:multiLevelType w:val="hybridMultilevel"/>
    <w:tmpl w:val="0F62647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371A0"/>
    <w:multiLevelType w:val="hybridMultilevel"/>
    <w:tmpl w:val="C224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3545"/>
    <w:multiLevelType w:val="hybridMultilevel"/>
    <w:tmpl w:val="966E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25FE4"/>
    <w:multiLevelType w:val="hybridMultilevel"/>
    <w:tmpl w:val="B5FE7FA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A70C5"/>
    <w:multiLevelType w:val="hybridMultilevel"/>
    <w:tmpl w:val="F25E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4334C"/>
    <w:multiLevelType w:val="hybridMultilevel"/>
    <w:tmpl w:val="FED24AD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15:restartNumberingAfterBreak="0">
    <w:nsid w:val="2D3C19A6"/>
    <w:multiLevelType w:val="hybridMultilevel"/>
    <w:tmpl w:val="BAD2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26E20"/>
    <w:multiLevelType w:val="hybridMultilevel"/>
    <w:tmpl w:val="363C1A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15500"/>
    <w:multiLevelType w:val="hybridMultilevel"/>
    <w:tmpl w:val="61E27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8B5131"/>
    <w:multiLevelType w:val="hybridMultilevel"/>
    <w:tmpl w:val="8730B974"/>
    <w:lvl w:ilvl="0" w:tplc="31363C2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C069E"/>
    <w:multiLevelType w:val="hybridMultilevel"/>
    <w:tmpl w:val="2AD6B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216D0"/>
    <w:multiLevelType w:val="hybridMultilevel"/>
    <w:tmpl w:val="A1FCD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50DBB"/>
    <w:multiLevelType w:val="hybridMultilevel"/>
    <w:tmpl w:val="E6ECA49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B4C7B"/>
    <w:multiLevelType w:val="hybridMultilevel"/>
    <w:tmpl w:val="7AE2B8E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24B86"/>
    <w:multiLevelType w:val="hybridMultilevel"/>
    <w:tmpl w:val="E3AE4E6E"/>
    <w:lvl w:ilvl="0" w:tplc="31363C20">
      <w:start w:val="1"/>
      <w:numFmt w:val="bullet"/>
      <w:lvlText w:val=""/>
      <w:lvlPicBulletId w:val="0"/>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310" w:hanging="15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D84DC8"/>
    <w:multiLevelType w:val="hybridMultilevel"/>
    <w:tmpl w:val="1752F876"/>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EA7F87"/>
    <w:multiLevelType w:val="hybridMultilevel"/>
    <w:tmpl w:val="21B0E54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82FAA"/>
    <w:multiLevelType w:val="hybridMultilevel"/>
    <w:tmpl w:val="9E1E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C0517"/>
    <w:multiLevelType w:val="hybridMultilevel"/>
    <w:tmpl w:val="8E549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D61B8"/>
    <w:multiLevelType w:val="hybridMultilevel"/>
    <w:tmpl w:val="5C5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6695F"/>
    <w:multiLevelType w:val="hybridMultilevel"/>
    <w:tmpl w:val="BCC2D15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14872"/>
    <w:multiLevelType w:val="hybridMultilevel"/>
    <w:tmpl w:val="139EFA5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B3D61"/>
    <w:multiLevelType w:val="hybridMultilevel"/>
    <w:tmpl w:val="F84E77B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655D0"/>
    <w:multiLevelType w:val="hybridMultilevel"/>
    <w:tmpl w:val="A2DA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A0442"/>
    <w:multiLevelType w:val="hybridMultilevel"/>
    <w:tmpl w:val="155C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81771"/>
    <w:multiLevelType w:val="multilevel"/>
    <w:tmpl w:val="FD4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15:restartNumberingAfterBreak="0">
    <w:nsid w:val="794E6E24"/>
    <w:multiLevelType w:val="hybridMultilevel"/>
    <w:tmpl w:val="32344E0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798B0EB1"/>
    <w:multiLevelType w:val="hybridMultilevel"/>
    <w:tmpl w:val="8408CDF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5"/>
  </w:num>
  <w:num w:numId="4">
    <w:abstractNumId w:val="31"/>
  </w:num>
  <w:num w:numId="5">
    <w:abstractNumId w:val="23"/>
  </w:num>
  <w:num w:numId="6">
    <w:abstractNumId w:val="3"/>
  </w:num>
  <w:num w:numId="7">
    <w:abstractNumId w:val="7"/>
  </w:num>
  <w:num w:numId="8">
    <w:abstractNumId w:val="0"/>
  </w:num>
  <w:num w:numId="9">
    <w:abstractNumId w:val="16"/>
  </w:num>
  <w:num w:numId="10">
    <w:abstractNumId w:val="4"/>
  </w:num>
  <w:num w:numId="11">
    <w:abstractNumId w:val="11"/>
  </w:num>
  <w:num w:numId="12">
    <w:abstractNumId w:val="29"/>
  </w:num>
  <w:num w:numId="13">
    <w:abstractNumId w:val="19"/>
  </w:num>
  <w:num w:numId="14">
    <w:abstractNumId w:val="10"/>
  </w:num>
  <w:num w:numId="15">
    <w:abstractNumId w:val="30"/>
  </w:num>
  <w:num w:numId="16">
    <w:abstractNumId w:val="12"/>
  </w:num>
  <w:num w:numId="17">
    <w:abstractNumId w:val="21"/>
  </w:num>
  <w:num w:numId="18">
    <w:abstractNumId w:val="27"/>
  </w:num>
  <w:num w:numId="19">
    <w:abstractNumId w:val="26"/>
  </w:num>
  <w:num w:numId="20">
    <w:abstractNumId w:val="6"/>
  </w:num>
  <w:num w:numId="21">
    <w:abstractNumId w:val="13"/>
  </w:num>
  <w:num w:numId="22">
    <w:abstractNumId w:val="17"/>
  </w:num>
  <w:num w:numId="23">
    <w:abstractNumId w:val="28"/>
  </w:num>
  <w:num w:numId="24">
    <w:abstractNumId w:val="18"/>
  </w:num>
  <w:num w:numId="25">
    <w:abstractNumId w:val="9"/>
  </w:num>
  <w:num w:numId="26">
    <w:abstractNumId w:val="5"/>
  </w:num>
  <w:num w:numId="27">
    <w:abstractNumId w:val="22"/>
  </w:num>
  <w:num w:numId="28">
    <w:abstractNumId w:val="14"/>
  </w:num>
  <w:num w:numId="29">
    <w:abstractNumId w:val="20"/>
  </w:num>
  <w:num w:numId="30">
    <w:abstractNumId w:val="1"/>
  </w:num>
  <w:num w:numId="31">
    <w:abstractNumId w:val="2"/>
  </w:num>
  <w:num w:numId="32">
    <w:abstractNumId w:val="34"/>
  </w:num>
  <w:num w:numId="33">
    <w:abstractNumId w:val="33"/>
  </w:num>
  <w:num w:numId="34">
    <w:abstractNumId w:val="32"/>
  </w:num>
  <w:num w:numId="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10F51"/>
    <w:rsid w:val="0001129F"/>
    <w:rsid w:val="00013CFA"/>
    <w:rsid w:val="00022079"/>
    <w:rsid w:val="00023556"/>
    <w:rsid w:val="00023576"/>
    <w:rsid w:val="00025E53"/>
    <w:rsid w:val="00031846"/>
    <w:rsid w:val="000334FC"/>
    <w:rsid w:val="00035FDD"/>
    <w:rsid w:val="000373F2"/>
    <w:rsid w:val="00043EE5"/>
    <w:rsid w:val="00051388"/>
    <w:rsid w:val="000516ED"/>
    <w:rsid w:val="00052B79"/>
    <w:rsid w:val="000537B2"/>
    <w:rsid w:val="00054539"/>
    <w:rsid w:val="00056176"/>
    <w:rsid w:val="000631B9"/>
    <w:rsid w:val="00070C7B"/>
    <w:rsid w:val="000713AF"/>
    <w:rsid w:val="000750D6"/>
    <w:rsid w:val="00076EC9"/>
    <w:rsid w:val="0008233E"/>
    <w:rsid w:val="000842DB"/>
    <w:rsid w:val="00087160"/>
    <w:rsid w:val="00092208"/>
    <w:rsid w:val="00094039"/>
    <w:rsid w:val="000B5BCA"/>
    <w:rsid w:val="000B772A"/>
    <w:rsid w:val="000C2F9A"/>
    <w:rsid w:val="000C498A"/>
    <w:rsid w:val="000C77FB"/>
    <w:rsid w:val="000E5CF6"/>
    <w:rsid w:val="000F1498"/>
    <w:rsid w:val="000F1C67"/>
    <w:rsid w:val="000F229B"/>
    <w:rsid w:val="000F3816"/>
    <w:rsid w:val="000F42C5"/>
    <w:rsid w:val="000F7788"/>
    <w:rsid w:val="001001E1"/>
    <w:rsid w:val="00102C79"/>
    <w:rsid w:val="00122D9B"/>
    <w:rsid w:val="00124681"/>
    <w:rsid w:val="00126623"/>
    <w:rsid w:val="00130C4F"/>
    <w:rsid w:val="0013285A"/>
    <w:rsid w:val="001358A1"/>
    <w:rsid w:val="001363D5"/>
    <w:rsid w:val="00141BDE"/>
    <w:rsid w:val="00142D3D"/>
    <w:rsid w:val="001719E9"/>
    <w:rsid w:val="00171C80"/>
    <w:rsid w:val="001724F5"/>
    <w:rsid w:val="001733B7"/>
    <w:rsid w:val="0017403E"/>
    <w:rsid w:val="0017528E"/>
    <w:rsid w:val="00187F4F"/>
    <w:rsid w:val="00192969"/>
    <w:rsid w:val="00194518"/>
    <w:rsid w:val="001A072E"/>
    <w:rsid w:val="001A4E44"/>
    <w:rsid w:val="001B489D"/>
    <w:rsid w:val="001B6BA7"/>
    <w:rsid w:val="001C0DF2"/>
    <w:rsid w:val="001C27D2"/>
    <w:rsid w:val="001C5088"/>
    <w:rsid w:val="001D12B5"/>
    <w:rsid w:val="001D3727"/>
    <w:rsid w:val="001D42CF"/>
    <w:rsid w:val="001E0D8F"/>
    <w:rsid w:val="001E4C37"/>
    <w:rsid w:val="001F3710"/>
    <w:rsid w:val="002061F2"/>
    <w:rsid w:val="0020658E"/>
    <w:rsid w:val="00207E21"/>
    <w:rsid w:val="00210BEA"/>
    <w:rsid w:val="00216A4C"/>
    <w:rsid w:val="002200B6"/>
    <w:rsid w:val="0022284C"/>
    <w:rsid w:val="00225396"/>
    <w:rsid w:val="00226C3A"/>
    <w:rsid w:val="002340E7"/>
    <w:rsid w:val="00234D0E"/>
    <w:rsid w:val="00236BC8"/>
    <w:rsid w:val="002450AF"/>
    <w:rsid w:val="00245748"/>
    <w:rsid w:val="002529E3"/>
    <w:rsid w:val="00260A7A"/>
    <w:rsid w:val="00261662"/>
    <w:rsid w:val="00261732"/>
    <w:rsid w:val="00264777"/>
    <w:rsid w:val="00270B3B"/>
    <w:rsid w:val="0028149A"/>
    <w:rsid w:val="00282416"/>
    <w:rsid w:val="0028639B"/>
    <w:rsid w:val="00290859"/>
    <w:rsid w:val="0029159D"/>
    <w:rsid w:val="0029255E"/>
    <w:rsid w:val="002A18C6"/>
    <w:rsid w:val="002A369C"/>
    <w:rsid w:val="002B3956"/>
    <w:rsid w:val="002C0436"/>
    <w:rsid w:val="002C0D92"/>
    <w:rsid w:val="002C7B1D"/>
    <w:rsid w:val="002D19E3"/>
    <w:rsid w:val="002E0639"/>
    <w:rsid w:val="002E1BE3"/>
    <w:rsid w:val="002E21BD"/>
    <w:rsid w:val="002E6E3D"/>
    <w:rsid w:val="002F5A43"/>
    <w:rsid w:val="002F6B3F"/>
    <w:rsid w:val="003045E6"/>
    <w:rsid w:val="0031060B"/>
    <w:rsid w:val="00317BE5"/>
    <w:rsid w:val="00320496"/>
    <w:rsid w:val="00330D46"/>
    <w:rsid w:val="0033779E"/>
    <w:rsid w:val="00344C85"/>
    <w:rsid w:val="00346724"/>
    <w:rsid w:val="00353ADB"/>
    <w:rsid w:val="00356728"/>
    <w:rsid w:val="00372519"/>
    <w:rsid w:val="00381161"/>
    <w:rsid w:val="00381CDB"/>
    <w:rsid w:val="0039045B"/>
    <w:rsid w:val="00395455"/>
    <w:rsid w:val="003B2C11"/>
    <w:rsid w:val="003B6C5C"/>
    <w:rsid w:val="003C33B2"/>
    <w:rsid w:val="003C33CE"/>
    <w:rsid w:val="003C5A33"/>
    <w:rsid w:val="003D52A1"/>
    <w:rsid w:val="003E2237"/>
    <w:rsid w:val="003E2271"/>
    <w:rsid w:val="003E2C2B"/>
    <w:rsid w:val="003E6C33"/>
    <w:rsid w:val="003F20ED"/>
    <w:rsid w:val="003F5799"/>
    <w:rsid w:val="004153AB"/>
    <w:rsid w:val="00416845"/>
    <w:rsid w:val="00417A66"/>
    <w:rsid w:val="004404E9"/>
    <w:rsid w:val="00443148"/>
    <w:rsid w:val="004505BE"/>
    <w:rsid w:val="00451894"/>
    <w:rsid w:val="0045403F"/>
    <w:rsid w:val="00455789"/>
    <w:rsid w:val="00461073"/>
    <w:rsid w:val="0046232C"/>
    <w:rsid w:val="0047431A"/>
    <w:rsid w:val="004748E9"/>
    <w:rsid w:val="00480977"/>
    <w:rsid w:val="004810AB"/>
    <w:rsid w:val="00481D4E"/>
    <w:rsid w:val="004A4C3D"/>
    <w:rsid w:val="004A5566"/>
    <w:rsid w:val="004B37B2"/>
    <w:rsid w:val="004B5C3F"/>
    <w:rsid w:val="004B6014"/>
    <w:rsid w:val="004B6CAC"/>
    <w:rsid w:val="004B6E84"/>
    <w:rsid w:val="004C27A8"/>
    <w:rsid w:val="004C4C33"/>
    <w:rsid w:val="004C7172"/>
    <w:rsid w:val="004D0F18"/>
    <w:rsid w:val="004D3679"/>
    <w:rsid w:val="004D443E"/>
    <w:rsid w:val="004D48C2"/>
    <w:rsid w:val="004D6611"/>
    <w:rsid w:val="004F2E9B"/>
    <w:rsid w:val="004F3AD4"/>
    <w:rsid w:val="004F3AF2"/>
    <w:rsid w:val="004F774B"/>
    <w:rsid w:val="005005C6"/>
    <w:rsid w:val="0050101B"/>
    <w:rsid w:val="0050569E"/>
    <w:rsid w:val="00516986"/>
    <w:rsid w:val="0052078B"/>
    <w:rsid w:val="00534A63"/>
    <w:rsid w:val="00540320"/>
    <w:rsid w:val="00540B65"/>
    <w:rsid w:val="00543470"/>
    <w:rsid w:val="005452D9"/>
    <w:rsid w:val="0054764A"/>
    <w:rsid w:val="00564D9C"/>
    <w:rsid w:val="005704D1"/>
    <w:rsid w:val="00576291"/>
    <w:rsid w:val="00582850"/>
    <w:rsid w:val="00584078"/>
    <w:rsid w:val="00590452"/>
    <w:rsid w:val="005939B1"/>
    <w:rsid w:val="005A466D"/>
    <w:rsid w:val="005B0472"/>
    <w:rsid w:val="005B525C"/>
    <w:rsid w:val="005D0021"/>
    <w:rsid w:val="005D2474"/>
    <w:rsid w:val="005E3073"/>
    <w:rsid w:val="005E3A95"/>
    <w:rsid w:val="005E4E40"/>
    <w:rsid w:val="005F3561"/>
    <w:rsid w:val="00605443"/>
    <w:rsid w:val="006059C2"/>
    <w:rsid w:val="006121E8"/>
    <w:rsid w:val="006142C7"/>
    <w:rsid w:val="00615A32"/>
    <w:rsid w:val="006223A7"/>
    <w:rsid w:val="00626308"/>
    <w:rsid w:val="0062663A"/>
    <w:rsid w:val="0063269C"/>
    <w:rsid w:val="00636F47"/>
    <w:rsid w:val="00640328"/>
    <w:rsid w:val="00640B6D"/>
    <w:rsid w:val="00643736"/>
    <w:rsid w:val="00654607"/>
    <w:rsid w:val="00655832"/>
    <w:rsid w:val="0066188E"/>
    <w:rsid w:val="00665E80"/>
    <w:rsid w:val="006710A2"/>
    <w:rsid w:val="00672C60"/>
    <w:rsid w:val="00676C01"/>
    <w:rsid w:val="0068046A"/>
    <w:rsid w:val="00685D2B"/>
    <w:rsid w:val="00690EDD"/>
    <w:rsid w:val="0069485C"/>
    <w:rsid w:val="006972D9"/>
    <w:rsid w:val="006A2A5E"/>
    <w:rsid w:val="006A391E"/>
    <w:rsid w:val="006A6839"/>
    <w:rsid w:val="006B2DF2"/>
    <w:rsid w:val="006B31D3"/>
    <w:rsid w:val="006B47BE"/>
    <w:rsid w:val="006B6A51"/>
    <w:rsid w:val="006C0AC2"/>
    <w:rsid w:val="006C5321"/>
    <w:rsid w:val="006D0A6A"/>
    <w:rsid w:val="006D1883"/>
    <w:rsid w:val="006D2140"/>
    <w:rsid w:val="006D5AD4"/>
    <w:rsid w:val="006E0A38"/>
    <w:rsid w:val="006E1227"/>
    <w:rsid w:val="006E20F5"/>
    <w:rsid w:val="006E7CDA"/>
    <w:rsid w:val="006F402B"/>
    <w:rsid w:val="00701F69"/>
    <w:rsid w:val="00710DDD"/>
    <w:rsid w:val="00712395"/>
    <w:rsid w:val="00721283"/>
    <w:rsid w:val="007329D6"/>
    <w:rsid w:val="00736A8A"/>
    <w:rsid w:val="00736E09"/>
    <w:rsid w:val="00746E05"/>
    <w:rsid w:val="00751AD8"/>
    <w:rsid w:val="007535D2"/>
    <w:rsid w:val="00767018"/>
    <w:rsid w:val="0077695F"/>
    <w:rsid w:val="00783D56"/>
    <w:rsid w:val="007840AF"/>
    <w:rsid w:val="00786BBB"/>
    <w:rsid w:val="00787800"/>
    <w:rsid w:val="0079014A"/>
    <w:rsid w:val="00790B9D"/>
    <w:rsid w:val="007B72F3"/>
    <w:rsid w:val="007C0E8D"/>
    <w:rsid w:val="007D36C4"/>
    <w:rsid w:val="007D66F6"/>
    <w:rsid w:val="007D6D7B"/>
    <w:rsid w:val="007E0518"/>
    <w:rsid w:val="007F3765"/>
    <w:rsid w:val="007F3B4B"/>
    <w:rsid w:val="0080567B"/>
    <w:rsid w:val="0081185D"/>
    <w:rsid w:val="008201CF"/>
    <w:rsid w:val="00820872"/>
    <w:rsid w:val="008209E2"/>
    <w:rsid w:val="0082166C"/>
    <w:rsid w:val="00823C28"/>
    <w:rsid w:val="00825947"/>
    <w:rsid w:val="008271F4"/>
    <w:rsid w:val="008320ED"/>
    <w:rsid w:val="00833861"/>
    <w:rsid w:val="00837FE9"/>
    <w:rsid w:val="0084488E"/>
    <w:rsid w:val="008469CB"/>
    <w:rsid w:val="0085296A"/>
    <w:rsid w:val="00854008"/>
    <w:rsid w:val="00865141"/>
    <w:rsid w:val="0086709C"/>
    <w:rsid w:val="00870DE5"/>
    <w:rsid w:val="008834D9"/>
    <w:rsid w:val="00884924"/>
    <w:rsid w:val="008904B7"/>
    <w:rsid w:val="008915CA"/>
    <w:rsid w:val="0089311B"/>
    <w:rsid w:val="00896882"/>
    <w:rsid w:val="008A2266"/>
    <w:rsid w:val="008B3BBE"/>
    <w:rsid w:val="008C47BF"/>
    <w:rsid w:val="008E326F"/>
    <w:rsid w:val="008E6288"/>
    <w:rsid w:val="008E721E"/>
    <w:rsid w:val="008E78E3"/>
    <w:rsid w:val="008F0BEA"/>
    <w:rsid w:val="008F1C74"/>
    <w:rsid w:val="008F5021"/>
    <w:rsid w:val="008F6130"/>
    <w:rsid w:val="00905C6E"/>
    <w:rsid w:val="00914B0C"/>
    <w:rsid w:val="00930845"/>
    <w:rsid w:val="0093752E"/>
    <w:rsid w:val="00943A9B"/>
    <w:rsid w:val="00944F77"/>
    <w:rsid w:val="00945E52"/>
    <w:rsid w:val="00947950"/>
    <w:rsid w:val="0095091A"/>
    <w:rsid w:val="009531C7"/>
    <w:rsid w:val="00954A71"/>
    <w:rsid w:val="00970CF7"/>
    <w:rsid w:val="00973A58"/>
    <w:rsid w:val="0097570B"/>
    <w:rsid w:val="00976337"/>
    <w:rsid w:val="0097793D"/>
    <w:rsid w:val="00982404"/>
    <w:rsid w:val="00983469"/>
    <w:rsid w:val="009967DA"/>
    <w:rsid w:val="009A067B"/>
    <w:rsid w:val="009B382F"/>
    <w:rsid w:val="009C1D21"/>
    <w:rsid w:val="009E07B2"/>
    <w:rsid w:val="009E28F1"/>
    <w:rsid w:val="009E427B"/>
    <w:rsid w:val="009F5480"/>
    <w:rsid w:val="009F5625"/>
    <w:rsid w:val="00A05209"/>
    <w:rsid w:val="00A0673E"/>
    <w:rsid w:val="00A1524B"/>
    <w:rsid w:val="00A23181"/>
    <w:rsid w:val="00A316FC"/>
    <w:rsid w:val="00A37912"/>
    <w:rsid w:val="00A66003"/>
    <w:rsid w:val="00A71BA5"/>
    <w:rsid w:val="00A76E0D"/>
    <w:rsid w:val="00A816A8"/>
    <w:rsid w:val="00A83657"/>
    <w:rsid w:val="00A87867"/>
    <w:rsid w:val="00A94480"/>
    <w:rsid w:val="00A97EC2"/>
    <w:rsid w:val="00AA0606"/>
    <w:rsid w:val="00AA1A78"/>
    <w:rsid w:val="00AA24AC"/>
    <w:rsid w:val="00AA556D"/>
    <w:rsid w:val="00AB6B74"/>
    <w:rsid w:val="00AC223A"/>
    <w:rsid w:val="00AC664C"/>
    <w:rsid w:val="00AC6EDE"/>
    <w:rsid w:val="00AE09BD"/>
    <w:rsid w:val="00AE3FDC"/>
    <w:rsid w:val="00AE7D5F"/>
    <w:rsid w:val="00AF0B18"/>
    <w:rsid w:val="00AF2F22"/>
    <w:rsid w:val="00B03824"/>
    <w:rsid w:val="00B11F8A"/>
    <w:rsid w:val="00B14695"/>
    <w:rsid w:val="00B153BA"/>
    <w:rsid w:val="00B25874"/>
    <w:rsid w:val="00B276BC"/>
    <w:rsid w:val="00B35B1E"/>
    <w:rsid w:val="00B37196"/>
    <w:rsid w:val="00B42963"/>
    <w:rsid w:val="00B46F52"/>
    <w:rsid w:val="00B53721"/>
    <w:rsid w:val="00B623C7"/>
    <w:rsid w:val="00B70EE8"/>
    <w:rsid w:val="00B7289E"/>
    <w:rsid w:val="00B742C1"/>
    <w:rsid w:val="00B81636"/>
    <w:rsid w:val="00B82138"/>
    <w:rsid w:val="00B85B2A"/>
    <w:rsid w:val="00B863AB"/>
    <w:rsid w:val="00B97095"/>
    <w:rsid w:val="00BA390A"/>
    <w:rsid w:val="00BA75BA"/>
    <w:rsid w:val="00BC3F89"/>
    <w:rsid w:val="00BC66D1"/>
    <w:rsid w:val="00BD00B3"/>
    <w:rsid w:val="00BD1067"/>
    <w:rsid w:val="00BE7B15"/>
    <w:rsid w:val="00BF1729"/>
    <w:rsid w:val="00BF31C2"/>
    <w:rsid w:val="00BF31F3"/>
    <w:rsid w:val="00C01BF9"/>
    <w:rsid w:val="00C05A27"/>
    <w:rsid w:val="00C07021"/>
    <w:rsid w:val="00C0794D"/>
    <w:rsid w:val="00C12C68"/>
    <w:rsid w:val="00C147BE"/>
    <w:rsid w:val="00C15344"/>
    <w:rsid w:val="00C306A0"/>
    <w:rsid w:val="00C33390"/>
    <w:rsid w:val="00C64FED"/>
    <w:rsid w:val="00C83FB9"/>
    <w:rsid w:val="00C864A2"/>
    <w:rsid w:val="00C94449"/>
    <w:rsid w:val="00C94653"/>
    <w:rsid w:val="00C96C62"/>
    <w:rsid w:val="00CA41F9"/>
    <w:rsid w:val="00CB4579"/>
    <w:rsid w:val="00CB7F9A"/>
    <w:rsid w:val="00CC0616"/>
    <w:rsid w:val="00CD3BE0"/>
    <w:rsid w:val="00CE099E"/>
    <w:rsid w:val="00CE5EF0"/>
    <w:rsid w:val="00CF097D"/>
    <w:rsid w:val="00CF37BA"/>
    <w:rsid w:val="00CF7E1D"/>
    <w:rsid w:val="00D0460F"/>
    <w:rsid w:val="00D12245"/>
    <w:rsid w:val="00D12902"/>
    <w:rsid w:val="00D17498"/>
    <w:rsid w:val="00D17D98"/>
    <w:rsid w:val="00D205BE"/>
    <w:rsid w:val="00D412C2"/>
    <w:rsid w:val="00D47231"/>
    <w:rsid w:val="00D550B0"/>
    <w:rsid w:val="00D6007E"/>
    <w:rsid w:val="00D60F4C"/>
    <w:rsid w:val="00D73412"/>
    <w:rsid w:val="00D82B65"/>
    <w:rsid w:val="00D82EC9"/>
    <w:rsid w:val="00D85E08"/>
    <w:rsid w:val="00DA13A9"/>
    <w:rsid w:val="00DA1AA5"/>
    <w:rsid w:val="00DA6015"/>
    <w:rsid w:val="00DB73DA"/>
    <w:rsid w:val="00DC1A8D"/>
    <w:rsid w:val="00DC28E9"/>
    <w:rsid w:val="00DC39ED"/>
    <w:rsid w:val="00DE15DF"/>
    <w:rsid w:val="00DE5277"/>
    <w:rsid w:val="00DE5BFC"/>
    <w:rsid w:val="00E04299"/>
    <w:rsid w:val="00E1720C"/>
    <w:rsid w:val="00E251FE"/>
    <w:rsid w:val="00E3427B"/>
    <w:rsid w:val="00E423C6"/>
    <w:rsid w:val="00E47509"/>
    <w:rsid w:val="00E52EAC"/>
    <w:rsid w:val="00E551C0"/>
    <w:rsid w:val="00E5632B"/>
    <w:rsid w:val="00E6027F"/>
    <w:rsid w:val="00E61768"/>
    <w:rsid w:val="00E70B84"/>
    <w:rsid w:val="00E81B27"/>
    <w:rsid w:val="00E8793B"/>
    <w:rsid w:val="00EA75BA"/>
    <w:rsid w:val="00EB6640"/>
    <w:rsid w:val="00EC0583"/>
    <w:rsid w:val="00EC0BE7"/>
    <w:rsid w:val="00EC31D5"/>
    <w:rsid w:val="00ED5C89"/>
    <w:rsid w:val="00EF0683"/>
    <w:rsid w:val="00EF6AAA"/>
    <w:rsid w:val="00F069F9"/>
    <w:rsid w:val="00F1267F"/>
    <w:rsid w:val="00F23601"/>
    <w:rsid w:val="00F30B06"/>
    <w:rsid w:val="00F44E6F"/>
    <w:rsid w:val="00F606B5"/>
    <w:rsid w:val="00F70483"/>
    <w:rsid w:val="00F73488"/>
    <w:rsid w:val="00F85243"/>
    <w:rsid w:val="00F854D1"/>
    <w:rsid w:val="00F90018"/>
    <w:rsid w:val="00F917AF"/>
    <w:rsid w:val="00F95CD0"/>
    <w:rsid w:val="00F97972"/>
    <w:rsid w:val="00FA0C38"/>
    <w:rsid w:val="00FB1FE8"/>
    <w:rsid w:val="00FB3282"/>
    <w:rsid w:val="00FB56E2"/>
    <w:rsid w:val="00FC4BCC"/>
    <w:rsid w:val="00FE0522"/>
    <w:rsid w:val="00FE1837"/>
    <w:rsid w:val="00FF0CEE"/>
    <w:rsid w:val="00FF35D8"/>
    <w:rsid w:val="00FF6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1CC9B660"/>
  <w14:defaultImageDpi w14:val="30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character" w:styleId="UnresolvedMention">
    <w:name w:val="Unresolved Mention"/>
    <w:basedOn w:val="DefaultParagraphFont"/>
    <w:uiPriority w:val="99"/>
    <w:semiHidden/>
    <w:unhideWhenUsed/>
    <w:rsid w:val="0068046A"/>
    <w:rPr>
      <w:color w:val="605E5C"/>
      <w:shd w:val="clear" w:color="auto" w:fill="E1DFDD"/>
    </w:rPr>
  </w:style>
  <w:style w:type="paragraph" w:styleId="Revision">
    <w:name w:val="Revision"/>
    <w:hidden/>
    <w:uiPriority w:val="99"/>
    <w:semiHidden/>
    <w:rsid w:val="005E307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6540/June_21_-_Code_of_Practice_377_Investigations_.pdf" TargetMode="External"/><Relationship Id="rId13" Type="http://schemas.openxmlformats.org/officeDocument/2006/relationships/hyperlink" Target="https://staff.napier.ac.uk/services/governance-compliance/governance/DataProtection/Pages/default.aspx"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ff.napier.ac.uk/services/hr/HRDocuments/Documents/Protection%20of%20Vulnerable%20Groups%20Policy%20April%202019.docx" TargetMode="External"/><Relationship Id="rId17" Type="http://schemas.openxmlformats.org/officeDocument/2006/relationships/hyperlink" Target="mailto:HumanResources@napier.ac.uk"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recruitment@napi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guidance-self-disclosure-previous-convictions-alternatives-prosecution-scotland-under-rehabilitation-offenders-act-1974/pages/2/"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staff.napier.ac.uk/services/governance-compliance/governance/DataProtection/Pages/default.aspx" TargetMode="External"/><Relationship Id="rId23" Type="http://schemas.openxmlformats.org/officeDocument/2006/relationships/theme" Target="theme/theme1.xml"/><Relationship Id="rId10" Type="http://schemas.openxmlformats.org/officeDocument/2006/relationships/hyperlink" Target="https://www.legislation.gov.uk/sdsi/2013/978011101908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gov.uk/ukpga/1974/53/contents/scotland" TargetMode="External"/><Relationship Id="rId14" Type="http://schemas.openxmlformats.org/officeDocument/2006/relationships/hyperlink" Target="https://staff.napier.ac.uk/services/governance-compliance/governance/records/Pages/RecordsRetentionSchedules.asp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Titillium-Semibold">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751DB"/>
    <w:rsid w:val="00250B62"/>
    <w:rsid w:val="00444606"/>
    <w:rsid w:val="004A2683"/>
    <w:rsid w:val="005058D9"/>
    <w:rsid w:val="006703CF"/>
    <w:rsid w:val="00733210"/>
    <w:rsid w:val="007443C4"/>
    <w:rsid w:val="00CA3CCD"/>
    <w:rsid w:val="00E6420B"/>
    <w:rsid w:val="00EA4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7B70440-3CD5-4027-85B2-DC38B0A043D3}"/>
</file>

<file path=customXml/itemProps2.xml><?xml version="1.0" encoding="utf-8"?>
<ds:datastoreItem xmlns:ds="http://schemas.openxmlformats.org/officeDocument/2006/customXml" ds:itemID="{1A2F73F5-44D3-41C4-862D-DEAA3D3D45E7}"/>
</file>

<file path=customXml/itemProps3.xml><?xml version="1.0" encoding="utf-8"?>
<ds:datastoreItem xmlns:ds="http://schemas.openxmlformats.org/officeDocument/2006/customXml" ds:itemID="{92FD537D-758F-49A3-90C8-071D9B62E7B9}"/>
</file>

<file path=customXml/itemProps4.xml><?xml version="1.0" encoding="utf-8"?>
<ds:datastoreItem xmlns:ds="http://schemas.openxmlformats.org/officeDocument/2006/customXml" ds:itemID="{D5C978A9-2A24-4730-8D1E-B32181169463}"/>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Panagopoulos</dc:creator>
  <cp:keywords/>
  <dc:description/>
  <cp:lastModifiedBy>Tippen, Anna</cp:lastModifiedBy>
  <cp:revision>2</cp:revision>
  <cp:lastPrinted>2017-07-19T08:44:00Z</cp:lastPrinted>
  <dcterms:created xsi:type="dcterms:W3CDTF">2022-04-21T09:37:00Z</dcterms:created>
  <dcterms:modified xsi:type="dcterms:W3CDTF">2022-04-21T09:37:00Z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