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170C" w14:textId="6528D583" w:rsidR="001B230C" w:rsidRPr="006503EA" w:rsidRDefault="001B230C">
      <w:pPr>
        <w:rPr>
          <w:rFonts w:ascii="Arial" w:hAnsi="Arial" w:cs="Arial"/>
          <w:b/>
          <w:bCs/>
          <w:sz w:val="32"/>
          <w:szCs w:val="32"/>
        </w:rPr>
      </w:pPr>
      <w:r w:rsidRPr="006503EA">
        <w:rPr>
          <w:rFonts w:ascii="Arial" w:hAnsi="Arial" w:cs="Arial"/>
          <w:b/>
          <w:bCs/>
          <w:sz w:val="32"/>
          <w:szCs w:val="32"/>
        </w:rPr>
        <w:t xml:space="preserve">Research Excellence Framework 2028: issues for further consultation following initial </w:t>
      </w:r>
      <w:proofErr w:type="gramStart"/>
      <w:r w:rsidRPr="006503EA">
        <w:rPr>
          <w:rFonts w:ascii="Arial" w:hAnsi="Arial" w:cs="Arial"/>
          <w:b/>
          <w:bCs/>
          <w:sz w:val="32"/>
          <w:szCs w:val="32"/>
        </w:rPr>
        <w:t>decisions</w:t>
      </w:r>
      <w:proofErr w:type="gramEnd"/>
    </w:p>
    <w:p w14:paraId="55CAA352" w14:textId="77777777" w:rsidR="00C9251D" w:rsidRPr="006503EA" w:rsidRDefault="00C9251D">
      <w:pPr>
        <w:rPr>
          <w:rFonts w:ascii="Arial" w:hAnsi="Arial" w:cs="Arial"/>
        </w:rPr>
      </w:pPr>
      <w:r w:rsidRPr="006503EA">
        <w:rPr>
          <w:rFonts w:ascii="Arial" w:hAnsi="Arial" w:cs="Arial"/>
        </w:rPr>
        <w:t xml:space="preserve">The four UK higher education funding bodies (Research England, SFC, HEFCW and DfE NI) are publishing key decisions on the high-level design of the next research assessment exercise and outlining issues for further consultation. These decisions represent a shift towards a broader and more holistic approach to research assessment. </w:t>
      </w:r>
    </w:p>
    <w:p w14:paraId="40A7B2A5" w14:textId="77777777" w:rsidR="00C9251D" w:rsidRPr="006503EA" w:rsidRDefault="00C9251D">
      <w:pPr>
        <w:rPr>
          <w:rFonts w:ascii="Arial" w:hAnsi="Arial" w:cs="Arial"/>
        </w:rPr>
      </w:pPr>
      <w:r w:rsidRPr="006503EA">
        <w:rPr>
          <w:rFonts w:ascii="Arial" w:hAnsi="Arial" w:cs="Arial"/>
        </w:rPr>
        <w:t xml:space="preserve">This survey is hosted by Research England (part of UKRI) on behalf of the four UK funding bodies. The survey is available to download below as PDF (in both English and Welsh). </w:t>
      </w:r>
    </w:p>
    <w:p w14:paraId="3B5A2E5C" w14:textId="2B7CC5EF" w:rsidR="001B230C" w:rsidRPr="006503EA" w:rsidRDefault="00C9251D">
      <w:pPr>
        <w:rPr>
          <w:rFonts w:ascii="Arial" w:hAnsi="Arial" w:cs="Arial"/>
        </w:rPr>
      </w:pPr>
      <w:r w:rsidRPr="006503EA">
        <w:rPr>
          <w:rFonts w:ascii="Arial" w:hAnsi="Arial" w:cs="Arial"/>
        </w:rPr>
        <w:t xml:space="preserve">Please only respond to the consultation using the survey. See the full initial decisions document, annexes and supporting documents:  </w:t>
      </w:r>
      <w:hyperlink r:id="rId7" w:history="1">
        <w:r w:rsidRPr="006503EA">
          <w:rPr>
            <w:rStyle w:val="Hyperlink"/>
            <w:rFonts w:ascii="Arial" w:hAnsi="Arial" w:cs="Arial"/>
          </w:rPr>
          <w:t>https://www.jisc.ac.uk/future-research-assessment-programme/initial-decisions</w:t>
        </w:r>
      </w:hyperlink>
      <w:r w:rsidRPr="006503EA">
        <w:rPr>
          <w:rFonts w:ascii="Arial" w:hAnsi="Arial" w:cs="Arial"/>
        </w:rPr>
        <w:t>.</w:t>
      </w:r>
    </w:p>
    <w:p w14:paraId="59BED9CF" w14:textId="48D5EFB6" w:rsidR="00C9251D" w:rsidRPr="006503EA" w:rsidRDefault="00C9251D">
      <w:pPr>
        <w:rPr>
          <w:rFonts w:ascii="Arial" w:hAnsi="Arial" w:cs="Arial"/>
        </w:rPr>
      </w:pPr>
      <w:r w:rsidRPr="006503EA">
        <w:rPr>
          <w:rFonts w:ascii="Arial" w:hAnsi="Arial" w:cs="Arial"/>
        </w:rPr>
        <w:t>Following the publication of these initial decisions, further work is required to develop the more detailed guidance and criteria. This survey is asking for your input on specific policy aspects. Please see Annex A of the initial decisions document for details.</w:t>
      </w:r>
    </w:p>
    <w:p w14:paraId="651F4F03" w14:textId="304682C9" w:rsidR="001B230C" w:rsidRPr="006503EA" w:rsidRDefault="009642CA">
      <w:pPr>
        <w:rPr>
          <w:rFonts w:ascii="Arial" w:hAnsi="Arial" w:cs="Arial"/>
          <w:b/>
          <w:bCs/>
        </w:rPr>
      </w:pPr>
      <w:r w:rsidRPr="006503EA">
        <w:rPr>
          <w:rFonts w:ascii="Arial" w:hAnsi="Arial" w:cs="Arial"/>
          <w:b/>
          <w:bCs/>
          <w:highlight w:val="yellow"/>
        </w:rPr>
        <w:t>[Questions 1 -</w:t>
      </w:r>
      <w:r w:rsidR="006503EA">
        <w:rPr>
          <w:rFonts w:ascii="Arial" w:hAnsi="Arial" w:cs="Arial"/>
          <w:b/>
          <w:bCs/>
          <w:highlight w:val="yellow"/>
        </w:rPr>
        <w:t xml:space="preserve"> </w:t>
      </w:r>
      <w:r w:rsidRPr="006503EA">
        <w:rPr>
          <w:rFonts w:ascii="Arial" w:hAnsi="Arial" w:cs="Arial"/>
          <w:b/>
          <w:bCs/>
          <w:highlight w:val="yellow"/>
        </w:rPr>
        <w:t>5 are regarding institutional contact information]</w:t>
      </w:r>
    </w:p>
    <w:p w14:paraId="1E33FAF0" w14:textId="77777777" w:rsidR="001B230C" w:rsidRPr="006503EA" w:rsidRDefault="001B230C">
      <w:pPr>
        <w:rPr>
          <w:rFonts w:ascii="Arial" w:hAnsi="Arial" w:cs="Arial"/>
          <w:b/>
          <w:bCs/>
        </w:rPr>
      </w:pPr>
      <w:r w:rsidRPr="006503EA">
        <w:rPr>
          <w:rFonts w:ascii="Arial" w:hAnsi="Arial" w:cs="Arial"/>
          <w:b/>
          <w:bCs/>
        </w:rPr>
        <w:t xml:space="preserve">Volume Measure </w:t>
      </w:r>
    </w:p>
    <w:p w14:paraId="3BB909D9" w14:textId="45AF416D" w:rsidR="001B230C" w:rsidRPr="006503EA" w:rsidRDefault="001B230C">
      <w:pPr>
        <w:rPr>
          <w:rFonts w:ascii="Arial" w:hAnsi="Arial" w:cs="Arial"/>
        </w:rPr>
      </w:pPr>
      <w:r w:rsidRPr="006503EA">
        <w:rPr>
          <w:rFonts w:ascii="Arial" w:hAnsi="Arial" w:cs="Arial"/>
        </w:rPr>
        <w:t>The funding bodies propose to draw staff data directly from HESA to calculate the volume measure, using an average staff FTE over Academic Years (AYs) 25/26 and 26/27 (piloted in AY 24/25) (Annex A, paragraphs 4-7).</w:t>
      </w:r>
    </w:p>
    <w:p w14:paraId="64D53900" w14:textId="77777777" w:rsidR="001B230C" w:rsidRPr="006503EA" w:rsidRDefault="001B230C">
      <w:pPr>
        <w:rPr>
          <w:rFonts w:ascii="Arial" w:hAnsi="Arial" w:cs="Arial"/>
        </w:rPr>
      </w:pPr>
    </w:p>
    <w:tbl>
      <w:tblPr>
        <w:tblStyle w:val="TableGrid"/>
        <w:tblW w:w="0" w:type="auto"/>
        <w:tblLook w:val="04A0" w:firstRow="1" w:lastRow="0" w:firstColumn="1" w:lastColumn="0" w:noHBand="0" w:noVBand="1"/>
      </w:tblPr>
      <w:tblGrid>
        <w:gridCol w:w="9016"/>
      </w:tblGrid>
      <w:tr w:rsidR="001B230C" w:rsidRPr="006503EA" w14:paraId="6968B5D3" w14:textId="77777777" w:rsidTr="002B5E77">
        <w:trPr>
          <w:trHeight w:val="600"/>
        </w:trPr>
        <w:tc>
          <w:tcPr>
            <w:tcW w:w="9016" w:type="dxa"/>
            <w:hideMark/>
          </w:tcPr>
          <w:p w14:paraId="48A7D379" w14:textId="54BBDA37" w:rsidR="001B230C" w:rsidRPr="006503EA" w:rsidRDefault="001B230C" w:rsidP="002B5E77">
            <w:pPr>
              <w:rPr>
                <w:rFonts w:ascii="Arial" w:hAnsi="Arial" w:cs="Arial"/>
                <w:b/>
                <w:bCs/>
              </w:rPr>
            </w:pPr>
            <w:r w:rsidRPr="006503EA">
              <w:rPr>
                <w:rFonts w:ascii="Arial" w:hAnsi="Arial" w:cs="Arial"/>
                <w:b/>
                <w:bCs/>
              </w:rPr>
              <w:t>5. What practical challenges may institutions face in implementing these changes? </w:t>
            </w:r>
          </w:p>
        </w:tc>
      </w:tr>
      <w:tr w:rsidR="002A14F8" w:rsidRPr="006503EA" w14:paraId="3849A1ED" w14:textId="77777777" w:rsidTr="006503EA">
        <w:trPr>
          <w:trHeight w:val="600"/>
        </w:trPr>
        <w:tc>
          <w:tcPr>
            <w:tcW w:w="9016" w:type="dxa"/>
            <w:shd w:val="clear" w:color="auto" w:fill="auto"/>
          </w:tcPr>
          <w:p w14:paraId="3A5CD880" w14:textId="61349F41" w:rsidR="002A14F8" w:rsidRPr="006503EA" w:rsidRDefault="002A14F8" w:rsidP="002A14F8">
            <w:pPr>
              <w:pStyle w:val="ListParagraph"/>
              <w:numPr>
                <w:ilvl w:val="0"/>
                <w:numId w:val="2"/>
              </w:numPr>
              <w:spacing w:after="0" w:line="240" w:lineRule="auto"/>
              <w:rPr>
                <w:color w:val="000000" w:themeColor="text1"/>
                <w:sz w:val="22"/>
                <w:szCs w:val="22"/>
              </w:rPr>
            </w:pPr>
            <w:r w:rsidRPr="006503EA">
              <w:rPr>
                <w:color w:val="000000" w:themeColor="text1"/>
                <w:sz w:val="22"/>
                <w:szCs w:val="22"/>
              </w:rPr>
              <w:t xml:space="preserve">Establishing </w:t>
            </w:r>
            <w:r w:rsidR="00164853">
              <w:rPr>
                <w:color w:val="000000" w:themeColor="text1"/>
                <w:sz w:val="22"/>
                <w:szCs w:val="22"/>
              </w:rPr>
              <w:t xml:space="preserve">the </w:t>
            </w:r>
            <w:r w:rsidRPr="006503EA">
              <w:rPr>
                <w:color w:val="000000" w:themeColor="text1"/>
                <w:sz w:val="22"/>
                <w:szCs w:val="22"/>
              </w:rPr>
              <w:t>final volume quotas so close to the submission date will be difficult, particularly if there is significant change in SIGRES volume immediately before the July 2027 HESA census date.</w:t>
            </w:r>
            <w:r w:rsidR="000F2443" w:rsidRPr="006503EA">
              <w:rPr>
                <w:color w:val="000000" w:themeColor="text1"/>
                <w:sz w:val="22"/>
                <w:szCs w:val="22"/>
              </w:rPr>
              <w:br/>
            </w:r>
          </w:p>
          <w:p w14:paraId="06B04870" w14:textId="3ACE7C78" w:rsidR="002A14F8" w:rsidRPr="006503EA" w:rsidRDefault="002A14F8" w:rsidP="002A14F8">
            <w:pPr>
              <w:pStyle w:val="ListParagraph"/>
              <w:numPr>
                <w:ilvl w:val="0"/>
                <w:numId w:val="2"/>
              </w:numPr>
              <w:spacing w:after="0" w:line="240" w:lineRule="auto"/>
              <w:rPr>
                <w:color w:val="000000" w:themeColor="text1"/>
                <w:sz w:val="22"/>
                <w:szCs w:val="22"/>
              </w:rPr>
            </w:pPr>
            <w:r w:rsidRPr="006503EA">
              <w:rPr>
                <w:color w:val="000000" w:themeColor="text1"/>
                <w:sz w:val="22"/>
                <w:szCs w:val="22"/>
              </w:rPr>
              <w:t>Institutions may need to unnecessarily prepare additional case studies / outputs in case of</w:t>
            </w:r>
            <w:r w:rsidR="000F2443" w:rsidRPr="006503EA">
              <w:rPr>
                <w:color w:val="000000" w:themeColor="text1"/>
                <w:sz w:val="22"/>
                <w:szCs w:val="22"/>
              </w:rPr>
              <w:t xml:space="preserve"> late threshold changes</w:t>
            </w:r>
            <w:r w:rsidR="00164853">
              <w:rPr>
                <w:color w:val="000000" w:themeColor="text1"/>
                <w:sz w:val="22"/>
                <w:szCs w:val="22"/>
              </w:rPr>
              <w:t>.</w:t>
            </w:r>
            <w:r w:rsidR="000F2443" w:rsidRPr="006503EA">
              <w:rPr>
                <w:color w:val="000000" w:themeColor="text1"/>
                <w:sz w:val="22"/>
                <w:szCs w:val="22"/>
              </w:rPr>
              <w:br/>
            </w:r>
          </w:p>
          <w:p w14:paraId="6D2B7C3A" w14:textId="37F4F828" w:rsidR="000F2443" w:rsidRPr="006503EA" w:rsidRDefault="000F2443" w:rsidP="002A14F8">
            <w:pPr>
              <w:pStyle w:val="ListParagraph"/>
              <w:numPr>
                <w:ilvl w:val="0"/>
                <w:numId w:val="2"/>
              </w:numPr>
              <w:spacing w:after="0" w:line="240" w:lineRule="auto"/>
              <w:rPr>
                <w:sz w:val="20"/>
                <w:szCs w:val="20"/>
              </w:rPr>
            </w:pPr>
            <w:r w:rsidRPr="006503EA">
              <w:rPr>
                <w:color w:val="000000" w:themeColor="text1"/>
                <w:sz w:val="22"/>
                <w:szCs w:val="22"/>
              </w:rPr>
              <w:t>Game-playing remains a risk when using HESA data for UoA alignment, whereby institutions could strategically align volume-contributing staff to an artificial UoA alignment to achieve their preferred threshold</w:t>
            </w:r>
            <w:r w:rsidR="00164853">
              <w:rPr>
                <w:color w:val="000000" w:themeColor="text1"/>
                <w:sz w:val="22"/>
                <w:szCs w:val="22"/>
              </w:rPr>
              <w:t>s.  H</w:t>
            </w:r>
            <w:r w:rsidR="0082170B" w:rsidRPr="006503EA">
              <w:rPr>
                <w:color w:val="000000" w:themeColor="text1"/>
                <w:sz w:val="22"/>
                <w:szCs w:val="22"/>
              </w:rPr>
              <w:t>owever</w:t>
            </w:r>
            <w:r w:rsidR="00164853">
              <w:rPr>
                <w:color w:val="000000" w:themeColor="text1"/>
                <w:sz w:val="22"/>
                <w:szCs w:val="22"/>
              </w:rPr>
              <w:t>,</w:t>
            </w:r>
            <w:r w:rsidR="0082170B" w:rsidRPr="006503EA">
              <w:rPr>
                <w:color w:val="000000" w:themeColor="text1"/>
                <w:sz w:val="22"/>
                <w:szCs w:val="22"/>
              </w:rPr>
              <w:t xml:space="preserve"> we feel strongly that institutions should continue to be allowed to complete the UoA alignment field, rather than being </w:t>
            </w:r>
            <w:proofErr w:type="gramStart"/>
            <w:r w:rsidR="0082170B" w:rsidRPr="006503EA">
              <w:rPr>
                <w:color w:val="000000" w:themeColor="text1"/>
                <w:sz w:val="22"/>
                <w:szCs w:val="22"/>
              </w:rPr>
              <w:t>auto-mapped</w:t>
            </w:r>
            <w:proofErr w:type="gramEnd"/>
            <w:r w:rsidR="0082170B" w:rsidRPr="006503EA">
              <w:rPr>
                <w:color w:val="000000" w:themeColor="text1"/>
                <w:sz w:val="22"/>
                <w:szCs w:val="22"/>
              </w:rPr>
              <w:t xml:space="preserve"> by cost centre activity</w:t>
            </w:r>
            <w:r w:rsidR="00164853">
              <w:rPr>
                <w:color w:val="000000" w:themeColor="text1"/>
                <w:sz w:val="22"/>
                <w:szCs w:val="22"/>
              </w:rPr>
              <w:t>,</w:t>
            </w:r>
            <w:r w:rsidR="0082170B" w:rsidRPr="006503EA">
              <w:rPr>
                <w:color w:val="000000" w:themeColor="text1"/>
                <w:sz w:val="22"/>
                <w:szCs w:val="22"/>
              </w:rPr>
              <w:t xml:space="preserve"> which is unrepresentative of research activity.</w:t>
            </w:r>
          </w:p>
        </w:tc>
      </w:tr>
    </w:tbl>
    <w:p w14:paraId="59F629BD" w14:textId="77777777" w:rsidR="001B230C" w:rsidRPr="006503EA" w:rsidRDefault="001B230C">
      <w:pPr>
        <w:rPr>
          <w:rFonts w:ascii="Arial" w:hAnsi="Arial" w:cs="Arial"/>
        </w:rPr>
      </w:pPr>
    </w:p>
    <w:tbl>
      <w:tblPr>
        <w:tblStyle w:val="TableGrid"/>
        <w:tblW w:w="0" w:type="auto"/>
        <w:tblLook w:val="04A0" w:firstRow="1" w:lastRow="0" w:firstColumn="1" w:lastColumn="0" w:noHBand="0" w:noVBand="1"/>
      </w:tblPr>
      <w:tblGrid>
        <w:gridCol w:w="9016"/>
      </w:tblGrid>
      <w:tr w:rsidR="00AC5DD1" w:rsidRPr="006503EA" w14:paraId="0E645EF1" w14:textId="77777777" w:rsidTr="00AC5DD1">
        <w:trPr>
          <w:trHeight w:val="600"/>
        </w:trPr>
        <w:tc>
          <w:tcPr>
            <w:tcW w:w="9016" w:type="dxa"/>
            <w:hideMark/>
          </w:tcPr>
          <w:p w14:paraId="7FF252EE" w14:textId="5B1EA8C9" w:rsidR="00AC5DD1" w:rsidRPr="006503EA" w:rsidRDefault="001B230C">
            <w:pPr>
              <w:rPr>
                <w:rFonts w:ascii="Arial" w:hAnsi="Arial" w:cs="Arial"/>
                <w:b/>
                <w:bCs/>
              </w:rPr>
            </w:pPr>
            <w:r w:rsidRPr="006503EA">
              <w:rPr>
                <w:rFonts w:ascii="Arial" w:hAnsi="Arial" w:cs="Arial"/>
                <w:b/>
                <w:bCs/>
              </w:rPr>
              <w:t xml:space="preserve">6. </w:t>
            </w:r>
            <w:r w:rsidR="00AC5DD1" w:rsidRPr="006503EA">
              <w:rPr>
                <w:rFonts w:ascii="Arial" w:hAnsi="Arial" w:cs="Arial"/>
                <w:b/>
                <w:bCs/>
              </w:rPr>
              <w:t>How might the funding bodies mitigate against these challenges? </w:t>
            </w:r>
          </w:p>
        </w:tc>
      </w:tr>
      <w:tr w:rsidR="000F2443" w:rsidRPr="006503EA" w14:paraId="3E186938" w14:textId="77777777" w:rsidTr="006503EA">
        <w:trPr>
          <w:trHeight w:val="600"/>
        </w:trPr>
        <w:tc>
          <w:tcPr>
            <w:tcW w:w="9016" w:type="dxa"/>
            <w:shd w:val="clear" w:color="auto" w:fill="auto"/>
          </w:tcPr>
          <w:p w14:paraId="70C89CC4" w14:textId="642D617E" w:rsidR="000F2443" w:rsidRPr="006503EA" w:rsidRDefault="000F2443" w:rsidP="009D35A4">
            <w:pPr>
              <w:pStyle w:val="ListParagraph"/>
              <w:numPr>
                <w:ilvl w:val="0"/>
                <w:numId w:val="3"/>
              </w:numPr>
              <w:spacing w:after="0" w:line="240" w:lineRule="auto"/>
              <w:rPr>
                <w:sz w:val="22"/>
                <w:szCs w:val="22"/>
              </w:rPr>
            </w:pPr>
            <w:r w:rsidRPr="006503EA">
              <w:rPr>
                <w:sz w:val="22"/>
                <w:szCs w:val="22"/>
              </w:rPr>
              <w:t>We welcome the use of an average FTE over a perio</w:t>
            </w:r>
            <w:r w:rsidR="002D05BC">
              <w:rPr>
                <w:sz w:val="22"/>
                <w:szCs w:val="22"/>
              </w:rPr>
              <w:t>d</w:t>
            </w:r>
            <w:r w:rsidRPr="006503EA">
              <w:rPr>
                <w:sz w:val="22"/>
                <w:szCs w:val="22"/>
              </w:rPr>
              <w:t>, but suggest this be deferred to REF 2034, when the process can be embedded and spread over a longer</w:t>
            </w:r>
            <w:r w:rsidR="007B2F82" w:rsidRPr="006503EA">
              <w:rPr>
                <w:sz w:val="22"/>
                <w:szCs w:val="22"/>
              </w:rPr>
              <w:t>, more representative</w:t>
            </w:r>
            <w:r w:rsidRPr="006503EA">
              <w:rPr>
                <w:sz w:val="22"/>
                <w:szCs w:val="22"/>
              </w:rPr>
              <w:t xml:space="preserve"> census period.</w:t>
            </w:r>
            <w:r w:rsidR="00A9764D" w:rsidRPr="006503EA">
              <w:rPr>
                <w:sz w:val="22"/>
                <w:szCs w:val="22"/>
              </w:rPr>
              <w:br/>
            </w:r>
          </w:p>
          <w:p w14:paraId="2713C39A" w14:textId="6F0422FC" w:rsidR="007B2F82" w:rsidRPr="006503EA" w:rsidRDefault="003713CC" w:rsidP="009D35A4">
            <w:pPr>
              <w:pStyle w:val="ListParagraph"/>
              <w:numPr>
                <w:ilvl w:val="0"/>
                <w:numId w:val="3"/>
              </w:numPr>
              <w:spacing w:after="0" w:line="240" w:lineRule="auto"/>
              <w:rPr>
                <w:sz w:val="22"/>
                <w:szCs w:val="22"/>
              </w:rPr>
            </w:pPr>
            <w:r w:rsidRPr="006503EA">
              <w:rPr>
                <w:sz w:val="22"/>
                <w:szCs w:val="22"/>
              </w:rPr>
              <w:t>Preferably</w:t>
            </w:r>
            <w:r w:rsidR="007B2F82" w:rsidRPr="006503EA">
              <w:rPr>
                <w:sz w:val="22"/>
                <w:szCs w:val="22"/>
              </w:rPr>
              <w:t>, we suggest a one</w:t>
            </w:r>
            <w:r w:rsidRPr="006503EA">
              <w:rPr>
                <w:sz w:val="22"/>
                <w:szCs w:val="22"/>
              </w:rPr>
              <w:t>-</w:t>
            </w:r>
            <w:r w:rsidR="007B2F82" w:rsidRPr="006503EA">
              <w:rPr>
                <w:sz w:val="22"/>
                <w:szCs w:val="22"/>
              </w:rPr>
              <w:t>year</w:t>
            </w:r>
            <w:r w:rsidRPr="006503EA">
              <w:rPr>
                <w:sz w:val="22"/>
                <w:szCs w:val="22"/>
              </w:rPr>
              <w:t xml:space="preserve"> HESA census date of 31 July 2026, with the rationale being </w:t>
            </w:r>
            <w:proofErr w:type="gramStart"/>
            <w:r w:rsidRPr="006503EA">
              <w:rPr>
                <w:sz w:val="22"/>
                <w:szCs w:val="22"/>
              </w:rPr>
              <w:t>that</w:t>
            </w:r>
            <w:r w:rsidR="002D05BC">
              <w:rPr>
                <w:sz w:val="22"/>
                <w:szCs w:val="22"/>
              </w:rPr>
              <w:t>,</w:t>
            </w:r>
            <w:proofErr w:type="gramEnd"/>
            <w:r w:rsidRPr="006503EA">
              <w:rPr>
                <w:sz w:val="22"/>
                <w:szCs w:val="22"/>
              </w:rPr>
              <w:t xml:space="preserve"> </w:t>
            </w:r>
            <w:r w:rsidR="002D05BC" w:rsidRPr="006503EA">
              <w:rPr>
                <w:sz w:val="22"/>
                <w:szCs w:val="22"/>
              </w:rPr>
              <w:t>most</w:t>
            </w:r>
            <w:r w:rsidRPr="006503EA">
              <w:rPr>
                <w:sz w:val="22"/>
                <w:szCs w:val="22"/>
              </w:rPr>
              <w:t xml:space="preserve"> institutions would have broadly steady employment of volume</w:t>
            </w:r>
            <w:r w:rsidR="002D05BC">
              <w:rPr>
                <w:sz w:val="22"/>
                <w:szCs w:val="22"/>
              </w:rPr>
              <w:t>-</w:t>
            </w:r>
            <w:r w:rsidRPr="006503EA">
              <w:rPr>
                <w:sz w:val="22"/>
                <w:szCs w:val="22"/>
              </w:rPr>
              <w:t>contributing staff</w:t>
            </w:r>
            <w:r w:rsidR="00F679DE" w:rsidRPr="006503EA">
              <w:rPr>
                <w:sz w:val="22"/>
                <w:szCs w:val="22"/>
              </w:rPr>
              <w:t xml:space="preserve"> in the following year</w:t>
            </w:r>
            <w:r w:rsidRPr="006503EA">
              <w:rPr>
                <w:sz w:val="22"/>
                <w:szCs w:val="22"/>
              </w:rPr>
              <w:t xml:space="preserve">.  This would allow institutions to </w:t>
            </w:r>
            <w:r w:rsidRPr="006503EA">
              <w:rPr>
                <w:sz w:val="22"/>
                <w:szCs w:val="22"/>
              </w:rPr>
              <w:lastRenderedPageBreak/>
              <w:t>confirm final quotas well in advance of submission</w:t>
            </w:r>
            <w:r w:rsidR="002D05BC">
              <w:rPr>
                <w:sz w:val="22"/>
                <w:szCs w:val="22"/>
              </w:rPr>
              <w:t xml:space="preserve"> whilst</w:t>
            </w:r>
            <w:r w:rsidR="00F679DE" w:rsidRPr="006503EA">
              <w:rPr>
                <w:sz w:val="22"/>
                <w:szCs w:val="22"/>
              </w:rPr>
              <w:t xml:space="preserve"> remain</w:t>
            </w:r>
            <w:r w:rsidR="002D05BC">
              <w:rPr>
                <w:sz w:val="22"/>
                <w:szCs w:val="22"/>
              </w:rPr>
              <w:t>ing</w:t>
            </w:r>
            <w:r w:rsidR="00F679DE" w:rsidRPr="006503EA">
              <w:rPr>
                <w:sz w:val="22"/>
                <w:szCs w:val="22"/>
              </w:rPr>
              <w:t xml:space="preserve"> broadly reflective of their average population</w:t>
            </w:r>
            <w:r w:rsidRPr="006503EA">
              <w:rPr>
                <w:sz w:val="22"/>
                <w:szCs w:val="22"/>
              </w:rPr>
              <w:t>.</w:t>
            </w:r>
            <w:r w:rsidR="00A9764D" w:rsidRPr="006503EA">
              <w:rPr>
                <w:sz w:val="22"/>
                <w:szCs w:val="22"/>
              </w:rPr>
              <w:br/>
            </w:r>
          </w:p>
          <w:p w14:paraId="6D6D9CAD" w14:textId="2A6D1397" w:rsidR="000F2443" w:rsidRPr="006503EA" w:rsidRDefault="000F2443" w:rsidP="009D35A4">
            <w:pPr>
              <w:pStyle w:val="ListParagraph"/>
              <w:numPr>
                <w:ilvl w:val="0"/>
                <w:numId w:val="3"/>
              </w:numPr>
              <w:spacing w:after="0" w:line="240" w:lineRule="auto"/>
              <w:rPr>
                <w:b/>
                <w:bCs/>
                <w:sz w:val="22"/>
                <w:szCs w:val="22"/>
              </w:rPr>
            </w:pPr>
            <w:r w:rsidRPr="006503EA">
              <w:rPr>
                <w:sz w:val="22"/>
                <w:szCs w:val="22"/>
              </w:rPr>
              <w:t>If the two-year average is retained, then the period 2024-25 and 2025-26 would be preferable</w:t>
            </w:r>
            <w:r w:rsidR="00976E38">
              <w:rPr>
                <w:sz w:val="22"/>
                <w:szCs w:val="22"/>
              </w:rPr>
              <w:t>,</w:t>
            </w:r>
            <w:r w:rsidRPr="006503EA">
              <w:rPr>
                <w:sz w:val="22"/>
                <w:szCs w:val="22"/>
              </w:rPr>
              <w:t xml:space="preserve"> to allow institutions to confirm final quotas well in advance of submission.</w:t>
            </w:r>
            <w:r w:rsidR="00A9764D" w:rsidRPr="006503EA">
              <w:rPr>
                <w:sz w:val="22"/>
                <w:szCs w:val="22"/>
              </w:rPr>
              <w:br/>
            </w:r>
          </w:p>
          <w:p w14:paraId="5FE69E7A" w14:textId="3858340B" w:rsidR="000F2443" w:rsidRPr="006503EA" w:rsidRDefault="000F2443" w:rsidP="009D35A4">
            <w:pPr>
              <w:pStyle w:val="ListParagraph"/>
              <w:numPr>
                <w:ilvl w:val="0"/>
                <w:numId w:val="3"/>
              </w:numPr>
              <w:spacing w:after="0" w:line="240" w:lineRule="auto"/>
              <w:rPr>
                <w:sz w:val="22"/>
                <w:szCs w:val="22"/>
              </w:rPr>
            </w:pPr>
            <w:r w:rsidRPr="006503EA">
              <w:rPr>
                <w:sz w:val="22"/>
                <w:szCs w:val="22"/>
              </w:rPr>
              <w:t>If using 2025</w:t>
            </w:r>
            <w:r w:rsidR="00976E38">
              <w:rPr>
                <w:sz w:val="22"/>
                <w:szCs w:val="22"/>
              </w:rPr>
              <w:t>-</w:t>
            </w:r>
            <w:r w:rsidRPr="006503EA">
              <w:rPr>
                <w:sz w:val="22"/>
                <w:szCs w:val="22"/>
              </w:rPr>
              <w:t>26 and 2026</w:t>
            </w:r>
            <w:r w:rsidR="00976E38">
              <w:rPr>
                <w:sz w:val="22"/>
                <w:szCs w:val="22"/>
              </w:rPr>
              <w:t>-</w:t>
            </w:r>
            <w:r w:rsidRPr="006503EA">
              <w:rPr>
                <w:sz w:val="22"/>
                <w:szCs w:val="22"/>
              </w:rPr>
              <w:t>27</w:t>
            </w:r>
            <w:r w:rsidR="00976E38">
              <w:rPr>
                <w:sz w:val="22"/>
                <w:szCs w:val="22"/>
              </w:rPr>
              <w:t xml:space="preserve"> data</w:t>
            </w:r>
            <w:r w:rsidRPr="006503EA">
              <w:rPr>
                <w:sz w:val="22"/>
                <w:szCs w:val="22"/>
              </w:rPr>
              <w:t xml:space="preserve">, </w:t>
            </w:r>
            <w:r w:rsidR="00976E38">
              <w:rPr>
                <w:sz w:val="22"/>
                <w:szCs w:val="22"/>
              </w:rPr>
              <w:t xml:space="preserve">we request </w:t>
            </w:r>
            <w:r w:rsidRPr="006503EA">
              <w:rPr>
                <w:sz w:val="22"/>
                <w:szCs w:val="22"/>
              </w:rPr>
              <w:t>that funding bodies provide clear guidance on how and when the HESA data average will be calculated and ensure a fixed date by which to know the absolute volume measures.</w:t>
            </w:r>
            <w:r w:rsidR="003713CC" w:rsidRPr="006503EA">
              <w:rPr>
                <w:sz w:val="22"/>
                <w:szCs w:val="22"/>
              </w:rPr>
              <w:t xml:space="preserve">  Guidance on the rules for amendments to th</w:t>
            </w:r>
            <w:r w:rsidR="00A9764D" w:rsidRPr="006503EA">
              <w:rPr>
                <w:sz w:val="22"/>
                <w:szCs w:val="22"/>
              </w:rPr>
              <w:t xml:space="preserve">e submitted HESA </w:t>
            </w:r>
            <w:r w:rsidR="003713CC" w:rsidRPr="006503EA">
              <w:rPr>
                <w:sz w:val="22"/>
                <w:szCs w:val="22"/>
              </w:rPr>
              <w:t>data would also be appreciated</w:t>
            </w:r>
            <w:r w:rsidR="00A9764D" w:rsidRPr="006503EA">
              <w:rPr>
                <w:sz w:val="22"/>
                <w:szCs w:val="22"/>
              </w:rPr>
              <w:t xml:space="preserve"> early</w:t>
            </w:r>
            <w:r w:rsidR="003713CC" w:rsidRPr="006503EA">
              <w:rPr>
                <w:sz w:val="22"/>
                <w:szCs w:val="22"/>
              </w:rPr>
              <w:t>.</w:t>
            </w:r>
            <w:r w:rsidR="00A9764D" w:rsidRPr="006503EA">
              <w:rPr>
                <w:sz w:val="22"/>
                <w:szCs w:val="22"/>
              </w:rPr>
              <w:br/>
            </w:r>
          </w:p>
          <w:p w14:paraId="50573EFE" w14:textId="2AD16423" w:rsidR="003713CC" w:rsidRPr="006503EA" w:rsidRDefault="003713CC" w:rsidP="009D35A4">
            <w:pPr>
              <w:pStyle w:val="ListParagraph"/>
              <w:numPr>
                <w:ilvl w:val="0"/>
                <w:numId w:val="3"/>
              </w:numPr>
              <w:spacing w:after="0" w:line="240" w:lineRule="auto"/>
              <w:rPr>
                <w:sz w:val="22"/>
                <w:szCs w:val="22"/>
              </w:rPr>
            </w:pPr>
            <w:r w:rsidRPr="006503EA">
              <w:rPr>
                <w:sz w:val="22"/>
                <w:szCs w:val="22"/>
              </w:rPr>
              <w:t>The audit process needs to be robust and consistent to identify and remedy game</w:t>
            </w:r>
            <w:r w:rsidR="00976E38">
              <w:rPr>
                <w:sz w:val="22"/>
                <w:szCs w:val="22"/>
              </w:rPr>
              <w:t>-</w:t>
            </w:r>
            <w:r w:rsidRPr="006503EA">
              <w:rPr>
                <w:sz w:val="22"/>
                <w:szCs w:val="22"/>
              </w:rPr>
              <w:t xml:space="preserve">playing (such as </w:t>
            </w:r>
            <w:r w:rsidR="00E7763B" w:rsidRPr="006503EA">
              <w:rPr>
                <w:sz w:val="22"/>
                <w:szCs w:val="22"/>
              </w:rPr>
              <w:t xml:space="preserve">significant </w:t>
            </w:r>
            <w:r w:rsidRPr="006503EA">
              <w:rPr>
                <w:sz w:val="22"/>
                <w:szCs w:val="22"/>
              </w:rPr>
              <w:t>misalignment of UoAs or unusual contract changes).</w:t>
            </w:r>
          </w:p>
        </w:tc>
      </w:tr>
    </w:tbl>
    <w:p w14:paraId="2835BAD3" w14:textId="77777777" w:rsidR="00AC5DD1" w:rsidRPr="006503EA" w:rsidRDefault="00AC5DD1" w:rsidP="009D35A4">
      <w:pPr>
        <w:rPr>
          <w:rFonts w:ascii="Arial" w:hAnsi="Arial" w:cs="Arial"/>
        </w:rPr>
      </w:pPr>
    </w:p>
    <w:tbl>
      <w:tblPr>
        <w:tblStyle w:val="TableGrid"/>
        <w:tblW w:w="0" w:type="auto"/>
        <w:tblLook w:val="04A0" w:firstRow="1" w:lastRow="0" w:firstColumn="1" w:lastColumn="0" w:noHBand="0" w:noVBand="1"/>
      </w:tblPr>
      <w:tblGrid>
        <w:gridCol w:w="9016"/>
      </w:tblGrid>
      <w:tr w:rsidR="00AC5DD1" w:rsidRPr="006503EA" w14:paraId="700A8754" w14:textId="77777777" w:rsidTr="00AC5DD1">
        <w:trPr>
          <w:trHeight w:val="600"/>
        </w:trPr>
        <w:tc>
          <w:tcPr>
            <w:tcW w:w="9016" w:type="dxa"/>
            <w:hideMark/>
          </w:tcPr>
          <w:p w14:paraId="773965FD" w14:textId="4D9B84EF" w:rsidR="00AC5DD1" w:rsidRPr="006503EA" w:rsidRDefault="001B230C">
            <w:pPr>
              <w:rPr>
                <w:rFonts w:ascii="Arial" w:hAnsi="Arial" w:cs="Arial"/>
                <w:b/>
                <w:bCs/>
              </w:rPr>
            </w:pPr>
            <w:r w:rsidRPr="006503EA">
              <w:rPr>
                <w:rFonts w:ascii="Arial" w:hAnsi="Arial" w:cs="Arial"/>
                <w:b/>
                <w:bCs/>
              </w:rPr>
              <w:t xml:space="preserve">7. </w:t>
            </w:r>
            <w:r w:rsidR="00AC5DD1" w:rsidRPr="006503EA">
              <w:rPr>
                <w:rFonts w:ascii="Arial" w:hAnsi="Arial" w:cs="Arial"/>
                <w:b/>
                <w:bCs/>
              </w:rPr>
              <w:t>What would be the impact of these challenges on individual researchers and particularly those with protected characteristics or other underrepresented groups?</w:t>
            </w:r>
          </w:p>
        </w:tc>
      </w:tr>
      <w:tr w:rsidR="003713CC" w:rsidRPr="006503EA" w14:paraId="0BBEB6BA" w14:textId="77777777" w:rsidTr="006503EA">
        <w:trPr>
          <w:trHeight w:val="600"/>
        </w:trPr>
        <w:tc>
          <w:tcPr>
            <w:tcW w:w="9016" w:type="dxa"/>
            <w:shd w:val="clear" w:color="auto" w:fill="auto"/>
          </w:tcPr>
          <w:p w14:paraId="5E71400C" w14:textId="58E72F04" w:rsidR="003713CC" w:rsidRPr="006503EA" w:rsidRDefault="00085DC8" w:rsidP="003713CC">
            <w:pPr>
              <w:pStyle w:val="ListParagraph"/>
              <w:numPr>
                <w:ilvl w:val="0"/>
                <w:numId w:val="4"/>
              </w:numPr>
              <w:spacing w:after="0" w:line="240" w:lineRule="auto"/>
              <w:rPr>
                <w:sz w:val="22"/>
                <w:szCs w:val="22"/>
              </w:rPr>
            </w:pPr>
            <w:r>
              <w:rPr>
                <w:sz w:val="22"/>
                <w:szCs w:val="22"/>
              </w:rPr>
              <w:t>If an</w:t>
            </w:r>
            <w:r w:rsidR="00586734" w:rsidRPr="006503EA">
              <w:rPr>
                <w:sz w:val="22"/>
                <w:szCs w:val="22"/>
              </w:rPr>
              <w:t xml:space="preserve"> </w:t>
            </w:r>
            <w:r w:rsidR="00586734" w:rsidRPr="00571A37">
              <w:rPr>
                <w:sz w:val="22"/>
                <w:szCs w:val="22"/>
              </w:rPr>
              <w:t>institutions</w:t>
            </w:r>
            <w:r w:rsidR="00A9764D" w:rsidRPr="00571A37">
              <w:rPr>
                <w:sz w:val="22"/>
                <w:szCs w:val="22"/>
              </w:rPr>
              <w:t>’</w:t>
            </w:r>
            <w:r w:rsidR="00586734" w:rsidRPr="00571A37">
              <w:rPr>
                <w:sz w:val="22"/>
                <w:szCs w:val="22"/>
              </w:rPr>
              <w:t xml:space="preserve"> </w:t>
            </w:r>
            <w:r w:rsidR="003713CC" w:rsidRPr="00571A37">
              <w:rPr>
                <w:sz w:val="22"/>
                <w:szCs w:val="22"/>
              </w:rPr>
              <w:t>REF 202</w:t>
            </w:r>
            <w:r w:rsidR="00571A37" w:rsidRPr="00571A37">
              <w:rPr>
                <w:sz w:val="22"/>
                <w:szCs w:val="22"/>
              </w:rPr>
              <w:t>8</w:t>
            </w:r>
            <w:r w:rsidR="003713CC" w:rsidRPr="006503EA">
              <w:rPr>
                <w:sz w:val="22"/>
                <w:szCs w:val="22"/>
              </w:rPr>
              <w:t xml:space="preserve"> </w:t>
            </w:r>
            <w:r>
              <w:rPr>
                <w:sz w:val="22"/>
                <w:szCs w:val="22"/>
              </w:rPr>
              <w:t>C</w:t>
            </w:r>
            <w:r w:rsidR="003713CC" w:rsidRPr="006503EA">
              <w:rPr>
                <w:sz w:val="22"/>
                <w:szCs w:val="22"/>
              </w:rPr>
              <w:t xml:space="preserve">ode of </w:t>
            </w:r>
            <w:r>
              <w:rPr>
                <w:sz w:val="22"/>
                <w:szCs w:val="22"/>
              </w:rPr>
              <w:t>P</w:t>
            </w:r>
            <w:r w:rsidR="003713CC" w:rsidRPr="006503EA">
              <w:rPr>
                <w:sz w:val="22"/>
                <w:szCs w:val="22"/>
              </w:rPr>
              <w:t xml:space="preserve">ractice is </w:t>
            </w:r>
            <w:r w:rsidR="00586734" w:rsidRPr="006503EA">
              <w:rPr>
                <w:sz w:val="22"/>
                <w:szCs w:val="22"/>
              </w:rPr>
              <w:t>transparent and fair</w:t>
            </w:r>
            <w:r>
              <w:rPr>
                <w:sz w:val="22"/>
                <w:szCs w:val="22"/>
              </w:rPr>
              <w:t xml:space="preserve">, and </w:t>
            </w:r>
            <w:r w:rsidR="00586734" w:rsidRPr="006503EA">
              <w:rPr>
                <w:sz w:val="22"/>
                <w:szCs w:val="22"/>
              </w:rPr>
              <w:t>effective appeal processes are in place, the use of HESA data as opposed to a submitted list should have little effect.</w:t>
            </w:r>
            <w:r w:rsidR="00586734" w:rsidRPr="006503EA">
              <w:rPr>
                <w:sz w:val="22"/>
                <w:szCs w:val="22"/>
              </w:rPr>
              <w:br/>
              <w:t xml:space="preserve"> </w:t>
            </w:r>
          </w:p>
          <w:p w14:paraId="1AC47BCB" w14:textId="03D9C21F" w:rsidR="003713CC" w:rsidRPr="006503EA" w:rsidRDefault="003713CC" w:rsidP="003713CC">
            <w:pPr>
              <w:pStyle w:val="ListParagraph"/>
              <w:numPr>
                <w:ilvl w:val="0"/>
                <w:numId w:val="4"/>
              </w:numPr>
              <w:spacing w:after="0" w:line="240" w:lineRule="auto"/>
              <w:rPr>
                <w:sz w:val="22"/>
                <w:szCs w:val="22"/>
              </w:rPr>
            </w:pPr>
            <w:r w:rsidRPr="006503EA">
              <w:rPr>
                <w:sz w:val="22"/>
                <w:szCs w:val="22"/>
              </w:rPr>
              <w:t>There is a risk that institutions artificially categorise staff as SIGRES or NON SIGRES for strategic reasons (</w:t>
            </w:r>
            <w:proofErr w:type="gramStart"/>
            <w:r w:rsidRPr="006503EA">
              <w:rPr>
                <w:sz w:val="22"/>
                <w:szCs w:val="22"/>
              </w:rPr>
              <w:t>e.g.</w:t>
            </w:r>
            <w:proofErr w:type="gramEnd"/>
            <w:r w:rsidRPr="006503EA">
              <w:rPr>
                <w:sz w:val="22"/>
                <w:szCs w:val="22"/>
              </w:rPr>
              <w:t xml:space="preserve"> to remain within </w:t>
            </w:r>
            <w:r w:rsidR="00E7763B" w:rsidRPr="006503EA">
              <w:rPr>
                <w:sz w:val="22"/>
                <w:szCs w:val="22"/>
              </w:rPr>
              <w:t xml:space="preserve">volume </w:t>
            </w:r>
            <w:r w:rsidRPr="006503EA">
              <w:rPr>
                <w:sz w:val="22"/>
                <w:szCs w:val="22"/>
              </w:rPr>
              <w:t>thresholds) meaning that staff are disadvantaged in their opportunity to be</w:t>
            </w:r>
            <w:r w:rsidR="00E7763B" w:rsidRPr="006503EA">
              <w:rPr>
                <w:sz w:val="22"/>
                <w:szCs w:val="22"/>
              </w:rPr>
              <w:t>come</w:t>
            </w:r>
            <w:r w:rsidRPr="006503EA">
              <w:rPr>
                <w:sz w:val="22"/>
                <w:szCs w:val="22"/>
              </w:rPr>
              <w:t xml:space="preserve"> SIGRES</w:t>
            </w:r>
            <w:r w:rsidR="00F353AE" w:rsidRPr="006503EA">
              <w:rPr>
                <w:sz w:val="22"/>
                <w:szCs w:val="22"/>
              </w:rPr>
              <w:t>, but this was also a risk in REF 2021</w:t>
            </w:r>
            <w:r w:rsidRPr="006503EA">
              <w:rPr>
                <w:sz w:val="22"/>
                <w:szCs w:val="22"/>
              </w:rPr>
              <w:t>.  It is therefore important that the</w:t>
            </w:r>
            <w:r w:rsidR="00A9764D" w:rsidRPr="006503EA">
              <w:rPr>
                <w:sz w:val="22"/>
                <w:szCs w:val="22"/>
              </w:rPr>
              <w:t xml:space="preserve"> Code of Practice,</w:t>
            </w:r>
            <w:r w:rsidRPr="006503EA">
              <w:rPr>
                <w:sz w:val="22"/>
                <w:szCs w:val="22"/>
              </w:rPr>
              <w:t xml:space="preserve"> </w:t>
            </w:r>
            <w:r w:rsidR="00586734" w:rsidRPr="006503EA">
              <w:rPr>
                <w:sz w:val="22"/>
                <w:szCs w:val="22"/>
              </w:rPr>
              <w:t xml:space="preserve">appeal </w:t>
            </w:r>
            <w:r w:rsidR="00A9764D" w:rsidRPr="006503EA">
              <w:rPr>
                <w:sz w:val="22"/>
                <w:szCs w:val="22"/>
              </w:rPr>
              <w:t xml:space="preserve">process </w:t>
            </w:r>
            <w:r w:rsidR="00586734" w:rsidRPr="006503EA">
              <w:rPr>
                <w:sz w:val="22"/>
                <w:szCs w:val="22"/>
              </w:rPr>
              <w:t xml:space="preserve">and </w:t>
            </w:r>
            <w:r w:rsidRPr="006503EA">
              <w:rPr>
                <w:sz w:val="22"/>
                <w:szCs w:val="22"/>
              </w:rPr>
              <w:t>audit process is robust.</w:t>
            </w:r>
          </w:p>
          <w:p w14:paraId="4E436D23" w14:textId="2DA40E80" w:rsidR="003713CC" w:rsidRPr="006503EA" w:rsidRDefault="003713CC" w:rsidP="00586734">
            <w:pPr>
              <w:pStyle w:val="ListParagraph"/>
              <w:spacing w:after="0" w:line="240" w:lineRule="auto"/>
              <w:ind w:left="720" w:firstLine="0"/>
              <w:rPr>
                <w:b/>
                <w:bCs/>
              </w:rPr>
            </w:pPr>
          </w:p>
        </w:tc>
      </w:tr>
    </w:tbl>
    <w:p w14:paraId="1BC9AF5C" w14:textId="77777777" w:rsidR="001B230C" w:rsidRPr="006503EA" w:rsidRDefault="001B230C">
      <w:pPr>
        <w:rPr>
          <w:rFonts w:ascii="Arial" w:hAnsi="Arial" w:cs="Arial"/>
        </w:rPr>
      </w:pPr>
    </w:p>
    <w:p w14:paraId="6962ED6F" w14:textId="77777777" w:rsidR="001B230C" w:rsidRPr="006503EA" w:rsidRDefault="001B230C">
      <w:pPr>
        <w:rPr>
          <w:rFonts w:ascii="Arial" w:hAnsi="Arial" w:cs="Arial"/>
          <w:b/>
          <w:bCs/>
        </w:rPr>
      </w:pPr>
      <w:r w:rsidRPr="006503EA">
        <w:rPr>
          <w:rFonts w:ascii="Arial" w:hAnsi="Arial" w:cs="Arial"/>
          <w:b/>
          <w:bCs/>
        </w:rPr>
        <w:t xml:space="preserve">Output Submission </w:t>
      </w:r>
    </w:p>
    <w:p w14:paraId="2D617E18" w14:textId="5E1F1484" w:rsidR="001B230C" w:rsidRPr="006503EA" w:rsidRDefault="001B230C">
      <w:pPr>
        <w:rPr>
          <w:rFonts w:ascii="Arial" w:hAnsi="Arial" w:cs="Arial"/>
        </w:rPr>
      </w:pPr>
      <w:r w:rsidRPr="006503EA">
        <w:rPr>
          <w:rFonts w:ascii="Arial" w:hAnsi="Arial" w:cs="Arial"/>
        </w:rPr>
        <w:t>The funding bodies propose to fully break the link between individual staff members and unit submissions (Annex A, paragraphs 12-18).</w:t>
      </w:r>
    </w:p>
    <w:tbl>
      <w:tblPr>
        <w:tblStyle w:val="TableGrid"/>
        <w:tblW w:w="0" w:type="auto"/>
        <w:tblLook w:val="04A0" w:firstRow="1" w:lastRow="0" w:firstColumn="1" w:lastColumn="0" w:noHBand="0" w:noVBand="1"/>
      </w:tblPr>
      <w:tblGrid>
        <w:gridCol w:w="9016"/>
      </w:tblGrid>
      <w:tr w:rsidR="00AC5DD1" w:rsidRPr="006503EA" w14:paraId="0C0E35B6" w14:textId="77777777" w:rsidTr="00AC5DD1">
        <w:trPr>
          <w:trHeight w:val="600"/>
        </w:trPr>
        <w:tc>
          <w:tcPr>
            <w:tcW w:w="9016" w:type="dxa"/>
            <w:hideMark/>
          </w:tcPr>
          <w:p w14:paraId="567971C3" w14:textId="635B453F" w:rsidR="00AC5DD1" w:rsidRPr="006503EA" w:rsidRDefault="001B230C">
            <w:pPr>
              <w:rPr>
                <w:rFonts w:ascii="Arial" w:hAnsi="Arial" w:cs="Arial"/>
                <w:b/>
                <w:bCs/>
              </w:rPr>
            </w:pPr>
            <w:r w:rsidRPr="006503EA">
              <w:rPr>
                <w:rFonts w:ascii="Arial" w:hAnsi="Arial" w:cs="Arial"/>
                <w:b/>
                <w:bCs/>
              </w:rPr>
              <w:t xml:space="preserve">8. </w:t>
            </w:r>
            <w:r w:rsidR="00AC5DD1" w:rsidRPr="006503EA">
              <w:rPr>
                <w:rFonts w:ascii="Arial" w:hAnsi="Arial" w:cs="Arial"/>
                <w:b/>
                <w:bCs/>
              </w:rPr>
              <w:t>What would be the impact of these changes on individual researchers and particularly those with protected characteristics or other underrepresented groups?</w:t>
            </w:r>
          </w:p>
        </w:tc>
      </w:tr>
      <w:tr w:rsidR="00A9764D" w:rsidRPr="006503EA" w14:paraId="077FD7B2" w14:textId="77777777" w:rsidTr="006503EA">
        <w:trPr>
          <w:trHeight w:val="600"/>
        </w:trPr>
        <w:tc>
          <w:tcPr>
            <w:tcW w:w="9016" w:type="dxa"/>
            <w:shd w:val="clear" w:color="auto" w:fill="auto"/>
          </w:tcPr>
          <w:p w14:paraId="10F79E8E" w14:textId="67B172DE" w:rsidR="00A9764D" w:rsidRDefault="00A9764D" w:rsidP="00571A37">
            <w:pPr>
              <w:pStyle w:val="ListParagraph"/>
              <w:numPr>
                <w:ilvl w:val="0"/>
                <w:numId w:val="6"/>
              </w:numPr>
              <w:spacing w:after="0" w:line="240" w:lineRule="auto"/>
              <w:ind w:left="714" w:hanging="357"/>
              <w:rPr>
                <w:color w:val="000000" w:themeColor="text1"/>
                <w:sz w:val="22"/>
                <w:szCs w:val="22"/>
              </w:rPr>
            </w:pPr>
            <w:r w:rsidRPr="006503EA">
              <w:rPr>
                <w:color w:val="000000" w:themeColor="text1"/>
                <w:sz w:val="22"/>
                <w:szCs w:val="22"/>
              </w:rPr>
              <w:t>There is a risk that Staff with lower quality research outputs may be underrepresented in the submission and thus unable to demonstrate contribution to REF in their future career development</w:t>
            </w:r>
            <w:r w:rsidR="000F2EA7" w:rsidRPr="006503EA">
              <w:rPr>
                <w:color w:val="000000" w:themeColor="text1"/>
                <w:sz w:val="22"/>
                <w:szCs w:val="22"/>
              </w:rPr>
              <w:t xml:space="preserve">, particularly with the removal of </w:t>
            </w:r>
            <w:r w:rsidR="00341584">
              <w:rPr>
                <w:color w:val="000000" w:themeColor="text1"/>
                <w:sz w:val="22"/>
                <w:szCs w:val="22"/>
              </w:rPr>
              <w:t xml:space="preserve">the </w:t>
            </w:r>
            <w:r w:rsidR="000F2EA7" w:rsidRPr="006503EA">
              <w:rPr>
                <w:color w:val="000000" w:themeColor="text1"/>
                <w:sz w:val="22"/>
                <w:szCs w:val="22"/>
              </w:rPr>
              <w:t>minimum one.</w:t>
            </w:r>
          </w:p>
          <w:p w14:paraId="31C0E859" w14:textId="77777777" w:rsidR="00571A37" w:rsidRPr="006503EA" w:rsidRDefault="00571A37" w:rsidP="00571A37">
            <w:pPr>
              <w:pStyle w:val="ListParagraph"/>
              <w:spacing w:after="0" w:line="240" w:lineRule="auto"/>
              <w:ind w:left="714" w:firstLine="0"/>
              <w:rPr>
                <w:color w:val="000000" w:themeColor="text1"/>
                <w:sz w:val="22"/>
                <w:szCs w:val="22"/>
              </w:rPr>
            </w:pPr>
          </w:p>
          <w:p w14:paraId="1AB217D0" w14:textId="77777777" w:rsidR="00A9764D" w:rsidRDefault="00A9764D" w:rsidP="00571A37">
            <w:pPr>
              <w:pStyle w:val="ListParagraph"/>
              <w:numPr>
                <w:ilvl w:val="0"/>
                <w:numId w:val="6"/>
              </w:numPr>
              <w:spacing w:after="0" w:line="240" w:lineRule="auto"/>
              <w:ind w:left="714" w:hanging="357"/>
              <w:rPr>
                <w:color w:val="000000" w:themeColor="text1"/>
                <w:sz w:val="22"/>
                <w:szCs w:val="22"/>
              </w:rPr>
            </w:pPr>
            <w:r w:rsidRPr="006503EA">
              <w:rPr>
                <w:color w:val="000000" w:themeColor="text1"/>
                <w:sz w:val="22"/>
                <w:szCs w:val="22"/>
              </w:rPr>
              <w:t>There is a risk that prolific staff (maybe senior staff) may become 'responsible' for bridging the gap in outputs required.  It may result in unacceptable / unrealistic expectations on these staff.</w:t>
            </w:r>
          </w:p>
          <w:p w14:paraId="5856DDA9" w14:textId="77777777" w:rsidR="00571A37" w:rsidRPr="006503EA" w:rsidRDefault="00571A37" w:rsidP="00571A37">
            <w:pPr>
              <w:pStyle w:val="ListParagraph"/>
              <w:spacing w:after="0" w:line="240" w:lineRule="auto"/>
              <w:ind w:left="714" w:firstLine="0"/>
              <w:rPr>
                <w:color w:val="000000" w:themeColor="text1"/>
                <w:sz w:val="22"/>
                <w:szCs w:val="22"/>
              </w:rPr>
            </w:pPr>
          </w:p>
          <w:p w14:paraId="286FCB72" w14:textId="6F50C7BE" w:rsidR="0082170B" w:rsidRPr="00571A37" w:rsidRDefault="00744995" w:rsidP="00571A37">
            <w:pPr>
              <w:pStyle w:val="ListParagraph"/>
              <w:numPr>
                <w:ilvl w:val="0"/>
                <w:numId w:val="6"/>
              </w:numPr>
              <w:spacing w:after="0" w:line="240" w:lineRule="auto"/>
              <w:ind w:left="714" w:hanging="357"/>
              <w:rPr>
                <w:b/>
                <w:bCs/>
                <w:color w:val="000000" w:themeColor="text1"/>
                <w:sz w:val="22"/>
                <w:szCs w:val="22"/>
              </w:rPr>
            </w:pPr>
            <w:r w:rsidRPr="006503EA">
              <w:rPr>
                <w:color w:val="000000" w:themeColor="text1"/>
                <w:sz w:val="22"/>
                <w:szCs w:val="22"/>
              </w:rPr>
              <w:t xml:space="preserve">There is a risk that Early </w:t>
            </w:r>
            <w:r w:rsidR="00341584">
              <w:rPr>
                <w:color w:val="000000" w:themeColor="text1"/>
                <w:sz w:val="22"/>
                <w:szCs w:val="22"/>
              </w:rPr>
              <w:t>C</w:t>
            </w:r>
            <w:r w:rsidRPr="006503EA">
              <w:rPr>
                <w:color w:val="000000" w:themeColor="text1"/>
                <w:sz w:val="22"/>
                <w:szCs w:val="22"/>
              </w:rPr>
              <w:t xml:space="preserve">areer staff or those </w:t>
            </w:r>
            <w:r w:rsidR="00341584">
              <w:rPr>
                <w:color w:val="000000" w:themeColor="text1"/>
                <w:sz w:val="22"/>
                <w:szCs w:val="22"/>
              </w:rPr>
              <w:t>‘</w:t>
            </w:r>
            <w:r w:rsidRPr="006503EA">
              <w:rPr>
                <w:color w:val="000000" w:themeColor="text1"/>
                <w:sz w:val="22"/>
                <w:szCs w:val="22"/>
              </w:rPr>
              <w:t>developing</w:t>
            </w:r>
            <w:r w:rsidR="00341584">
              <w:rPr>
                <w:color w:val="000000" w:themeColor="text1"/>
                <w:sz w:val="22"/>
                <w:szCs w:val="22"/>
              </w:rPr>
              <w:t>’</w:t>
            </w:r>
            <w:r w:rsidRPr="006503EA">
              <w:rPr>
                <w:color w:val="000000" w:themeColor="text1"/>
                <w:sz w:val="22"/>
                <w:szCs w:val="22"/>
              </w:rPr>
              <w:t xml:space="preserve"> in research may be disadvantaged in their allocation of research time</w:t>
            </w:r>
            <w:r w:rsidR="00341584">
              <w:rPr>
                <w:color w:val="000000" w:themeColor="text1"/>
                <w:sz w:val="22"/>
                <w:szCs w:val="22"/>
              </w:rPr>
              <w:t>/ resources</w:t>
            </w:r>
            <w:r w:rsidRPr="006503EA">
              <w:rPr>
                <w:color w:val="000000" w:themeColor="text1"/>
                <w:sz w:val="22"/>
                <w:szCs w:val="22"/>
              </w:rPr>
              <w:t xml:space="preserve"> to allow </w:t>
            </w:r>
            <w:r w:rsidR="00341584">
              <w:rPr>
                <w:color w:val="000000" w:themeColor="text1"/>
                <w:sz w:val="22"/>
                <w:szCs w:val="22"/>
              </w:rPr>
              <w:t xml:space="preserve">prolific </w:t>
            </w:r>
            <w:r w:rsidRPr="006503EA">
              <w:rPr>
                <w:color w:val="000000" w:themeColor="text1"/>
                <w:sz w:val="22"/>
                <w:szCs w:val="22"/>
              </w:rPr>
              <w:t xml:space="preserve">staff known to produce high-quality outputs to produce more, with a greater allocation of time afforded to them to do so. </w:t>
            </w:r>
          </w:p>
          <w:p w14:paraId="7B83E5DA" w14:textId="77777777" w:rsidR="00571A37" w:rsidRPr="00571A37" w:rsidRDefault="00571A37" w:rsidP="00571A37">
            <w:pPr>
              <w:pStyle w:val="ListParagraph"/>
              <w:rPr>
                <w:b/>
                <w:bCs/>
                <w:color w:val="000000" w:themeColor="text1"/>
                <w:sz w:val="22"/>
                <w:szCs w:val="22"/>
              </w:rPr>
            </w:pPr>
          </w:p>
          <w:p w14:paraId="022FB6C9" w14:textId="77777777" w:rsidR="00571A37" w:rsidRPr="006503EA" w:rsidRDefault="00571A37" w:rsidP="00571A37">
            <w:pPr>
              <w:pStyle w:val="ListParagraph"/>
              <w:spacing w:after="0" w:line="240" w:lineRule="auto"/>
              <w:ind w:left="714" w:firstLine="0"/>
              <w:rPr>
                <w:b/>
                <w:bCs/>
                <w:color w:val="000000" w:themeColor="text1"/>
                <w:sz w:val="22"/>
                <w:szCs w:val="22"/>
              </w:rPr>
            </w:pPr>
          </w:p>
          <w:p w14:paraId="3C3D1C33" w14:textId="7691F18F" w:rsidR="001D6672" w:rsidRDefault="001D6672" w:rsidP="00571A37">
            <w:pPr>
              <w:pStyle w:val="ListParagraph"/>
              <w:numPr>
                <w:ilvl w:val="0"/>
                <w:numId w:val="6"/>
              </w:numPr>
              <w:spacing w:after="0" w:line="240" w:lineRule="auto"/>
              <w:ind w:left="714" w:hanging="357"/>
              <w:rPr>
                <w:color w:val="000000" w:themeColor="text1"/>
                <w:sz w:val="22"/>
                <w:szCs w:val="22"/>
              </w:rPr>
            </w:pPr>
            <w:r w:rsidRPr="006503EA">
              <w:rPr>
                <w:color w:val="000000" w:themeColor="text1"/>
                <w:sz w:val="22"/>
                <w:szCs w:val="22"/>
              </w:rPr>
              <w:lastRenderedPageBreak/>
              <w:t>Allowing the submission of outputs produced by colleagues who are not significantly responsible for research might open an opportunity for game</w:t>
            </w:r>
            <w:r w:rsidR="00341584">
              <w:rPr>
                <w:color w:val="000000" w:themeColor="text1"/>
                <w:sz w:val="22"/>
                <w:szCs w:val="22"/>
              </w:rPr>
              <w:t>-</w:t>
            </w:r>
            <w:r w:rsidRPr="006503EA">
              <w:rPr>
                <w:color w:val="000000" w:themeColor="text1"/>
                <w:sz w:val="22"/>
                <w:szCs w:val="22"/>
              </w:rPr>
              <w:t xml:space="preserve">playing, as </w:t>
            </w:r>
            <w:r w:rsidR="00341584">
              <w:rPr>
                <w:color w:val="000000" w:themeColor="text1"/>
                <w:sz w:val="22"/>
                <w:szCs w:val="22"/>
              </w:rPr>
              <w:t xml:space="preserve">HESA status </w:t>
            </w:r>
            <w:r w:rsidRPr="006503EA">
              <w:rPr>
                <w:color w:val="000000" w:themeColor="text1"/>
                <w:sz w:val="22"/>
                <w:szCs w:val="22"/>
              </w:rPr>
              <w:t xml:space="preserve">could be changed to NON SIGRES, with their outputs still being </w:t>
            </w:r>
            <w:proofErr w:type="gramStart"/>
            <w:r w:rsidRPr="006503EA">
              <w:rPr>
                <w:color w:val="000000" w:themeColor="text1"/>
                <w:sz w:val="22"/>
                <w:szCs w:val="22"/>
              </w:rPr>
              <w:t>taken into account</w:t>
            </w:r>
            <w:proofErr w:type="gramEnd"/>
            <w:r w:rsidRPr="006503EA">
              <w:rPr>
                <w:color w:val="000000" w:themeColor="text1"/>
                <w:sz w:val="22"/>
                <w:szCs w:val="22"/>
              </w:rPr>
              <w:t>.</w:t>
            </w:r>
          </w:p>
          <w:p w14:paraId="2C1E5C1A" w14:textId="77777777" w:rsidR="00571A37" w:rsidRPr="006503EA" w:rsidRDefault="00571A37" w:rsidP="00571A37">
            <w:pPr>
              <w:pStyle w:val="ListParagraph"/>
              <w:spacing w:after="0" w:line="240" w:lineRule="auto"/>
              <w:ind w:left="714" w:firstLine="0"/>
              <w:rPr>
                <w:color w:val="000000" w:themeColor="text1"/>
                <w:sz w:val="22"/>
                <w:szCs w:val="22"/>
              </w:rPr>
            </w:pPr>
          </w:p>
          <w:p w14:paraId="63DCA88F" w14:textId="178B65F3" w:rsidR="0082170B" w:rsidRPr="006503EA" w:rsidRDefault="0082170B" w:rsidP="0082170B">
            <w:pPr>
              <w:pStyle w:val="ListParagraph"/>
              <w:numPr>
                <w:ilvl w:val="0"/>
                <w:numId w:val="6"/>
              </w:numPr>
              <w:spacing w:after="0" w:line="240" w:lineRule="auto"/>
              <w:rPr>
                <w:color w:val="000000" w:themeColor="text1"/>
                <w:sz w:val="22"/>
                <w:szCs w:val="22"/>
              </w:rPr>
            </w:pPr>
            <w:r w:rsidRPr="006503EA">
              <w:rPr>
                <w:color w:val="000000" w:themeColor="text1"/>
                <w:sz w:val="22"/>
                <w:szCs w:val="22"/>
              </w:rPr>
              <w:t xml:space="preserve">There is a need to avoid unrealistic expectations being put on non-academics, </w:t>
            </w:r>
            <w:r w:rsidR="000A7E2A" w:rsidRPr="006503EA">
              <w:rPr>
                <w:color w:val="000000" w:themeColor="text1"/>
                <w:sz w:val="22"/>
                <w:szCs w:val="22"/>
              </w:rPr>
              <w:t xml:space="preserve">RAs, </w:t>
            </w:r>
            <w:r w:rsidRPr="006503EA">
              <w:rPr>
                <w:color w:val="000000" w:themeColor="text1"/>
                <w:sz w:val="22"/>
                <w:szCs w:val="22"/>
              </w:rPr>
              <w:t>Professional service staff, or staff on teaching-only contracts to start producing research outputs but without affording them proper time and support to do so. It could drive a narrative that teaching is less important than research.</w:t>
            </w:r>
            <w:r w:rsidRPr="006503EA">
              <w:rPr>
                <w:color w:val="000000" w:themeColor="text1"/>
                <w:sz w:val="22"/>
                <w:szCs w:val="22"/>
              </w:rPr>
              <w:br/>
            </w:r>
          </w:p>
          <w:p w14:paraId="233B4F1E" w14:textId="7EE5F8D2" w:rsidR="0082170B" w:rsidRPr="006503EA" w:rsidRDefault="0082170B" w:rsidP="0082170B">
            <w:pPr>
              <w:pStyle w:val="ListParagraph"/>
              <w:numPr>
                <w:ilvl w:val="0"/>
                <w:numId w:val="6"/>
              </w:numPr>
              <w:spacing w:after="0" w:line="240" w:lineRule="auto"/>
              <w:rPr>
                <w:color w:val="000000" w:themeColor="text1"/>
                <w:sz w:val="22"/>
                <w:szCs w:val="22"/>
              </w:rPr>
            </w:pPr>
            <w:r w:rsidRPr="006503EA">
              <w:rPr>
                <w:color w:val="000000" w:themeColor="text1"/>
                <w:sz w:val="22"/>
                <w:szCs w:val="22"/>
              </w:rPr>
              <w:t>Alternatively, it could drive positive change by encouraging institutions to extend their researcher development opportunities and training</w:t>
            </w:r>
            <w:r w:rsidR="00A02005" w:rsidRPr="006503EA">
              <w:rPr>
                <w:color w:val="000000" w:themeColor="text1"/>
                <w:sz w:val="22"/>
                <w:szCs w:val="22"/>
              </w:rPr>
              <w:t xml:space="preserve"> programmes</w:t>
            </w:r>
            <w:r w:rsidRPr="006503EA">
              <w:rPr>
                <w:color w:val="000000" w:themeColor="text1"/>
                <w:sz w:val="22"/>
                <w:szCs w:val="22"/>
              </w:rPr>
              <w:t xml:space="preserve"> to a broader body of staff who have ambitions to become involved in research.</w:t>
            </w:r>
          </w:p>
          <w:p w14:paraId="5CE71725" w14:textId="77777777" w:rsidR="0082170B" w:rsidRPr="006503EA" w:rsidRDefault="0082170B" w:rsidP="0082170B">
            <w:pPr>
              <w:ind w:left="360"/>
              <w:rPr>
                <w:rFonts w:ascii="Arial" w:hAnsi="Arial" w:cs="Arial"/>
                <w:b/>
                <w:bCs/>
                <w:color w:val="000000" w:themeColor="text1"/>
              </w:rPr>
            </w:pPr>
          </w:p>
          <w:p w14:paraId="18FB9B41" w14:textId="57ECE293" w:rsidR="00744995" w:rsidRPr="006503EA" w:rsidRDefault="00744995" w:rsidP="0082170B">
            <w:pPr>
              <w:pStyle w:val="ListParagraph"/>
              <w:numPr>
                <w:ilvl w:val="0"/>
                <w:numId w:val="6"/>
              </w:numPr>
              <w:spacing w:after="0" w:line="240" w:lineRule="auto"/>
              <w:rPr>
                <w:b/>
                <w:bCs/>
                <w:sz w:val="22"/>
                <w:szCs w:val="22"/>
              </w:rPr>
            </w:pPr>
            <w:r w:rsidRPr="006503EA">
              <w:rPr>
                <w:color w:val="000000" w:themeColor="text1"/>
                <w:sz w:val="22"/>
                <w:szCs w:val="22"/>
              </w:rPr>
              <w:t>It is therefore important that the Code of Practice, appeal process and audit process is robust and that the ‘People, Culture and Environment’ component recognises and rewards a culture of inclusivity and transparency.</w:t>
            </w:r>
            <w:r w:rsidRPr="006503EA">
              <w:rPr>
                <w:color w:val="000000" w:themeColor="text1"/>
                <w:sz w:val="22"/>
                <w:szCs w:val="22"/>
              </w:rPr>
              <w:br/>
            </w:r>
            <w:r w:rsidRPr="006503EA">
              <w:rPr>
                <w:b/>
                <w:bCs/>
                <w:color w:val="000000" w:themeColor="text1"/>
                <w:sz w:val="22"/>
                <w:szCs w:val="22"/>
              </w:rPr>
              <w:br/>
            </w:r>
          </w:p>
        </w:tc>
      </w:tr>
    </w:tbl>
    <w:p w14:paraId="6B2D60CB" w14:textId="77777777" w:rsidR="00AC5DD1" w:rsidRPr="006503EA" w:rsidRDefault="00AC5DD1">
      <w:pPr>
        <w:rPr>
          <w:rFonts w:ascii="Arial" w:hAnsi="Arial" w:cs="Arial"/>
        </w:rPr>
      </w:pPr>
    </w:p>
    <w:tbl>
      <w:tblPr>
        <w:tblStyle w:val="TableGrid"/>
        <w:tblW w:w="0" w:type="auto"/>
        <w:tblLook w:val="04A0" w:firstRow="1" w:lastRow="0" w:firstColumn="1" w:lastColumn="0" w:noHBand="0" w:noVBand="1"/>
      </w:tblPr>
      <w:tblGrid>
        <w:gridCol w:w="9016"/>
      </w:tblGrid>
      <w:tr w:rsidR="00AC5DD1" w:rsidRPr="006503EA" w14:paraId="0143C7BA" w14:textId="77777777" w:rsidTr="00241711">
        <w:trPr>
          <w:trHeight w:val="600"/>
        </w:trPr>
        <w:tc>
          <w:tcPr>
            <w:tcW w:w="9016" w:type="dxa"/>
            <w:hideMark/>
          </w:tcPr>
          <w:p w14:paraId="2A00F1AA" w14:textId="559795A0" w:rsidR="00AC5DD1" w:rsidRPr="006503EA" w:rsidRDefault="001B230C">
            <w:pPr>
              <w:rPr>
                <w:rFonts w:ascii="Arial" w:hAnsi="Arial" w:cs="Arial"/>
                <w:b/>
                <w:bCs/>
              </w:rPr>
            </w:pPr>
            <w:r w:rsidRPr="006503EA">
              <w:rPr>
                <w:rFonts w:ascii="Arial" w:hAnsi="Arial" w:cs="Arial"/>
                <w:b/>
                <w:bCs/>
              </w:rPr>
              <w:t>9. What impact would these changes have on institutions in preparing output submissions? For example, what may be the unintended consequences of allowing the submission of outputs produced by those on non-academic or teaching-only contracts?</w:t>
            </w:r>
          </w:p>
        </w:tc>
      </w:tr>
      <w:tr w:rsidR="00744995" w:rsidRPr="006503EA" w14:paraId="3CFF2D89" w14:textId="77777777" w:rsidTr="006503EA">
        <w:trPr>
          <w:trHeight w:val="600"/>
        </w:trPr>
        <w:tc>
          <w:tcPr>
            <w:tcW w:w="9016" w:type="dxa"/>
            <w:shd w:val="clear" w:color="auto" w:fill="auto"/>
          </w:tcPr>
          <w:p w14:paraId="755BB302" w14:textId="0F05A595" w:rsidR="00744995" w:rsidRPr="006503EA" w:rsidRDefault="00744995" w:rsidP="00744995">
            <w:pPr>
              <w:pStyle w:val="ListParagraph"/>
              <w:numPr>
                <w:ilvl w:val="0"/>
                <w:numId w:val="7"/>
              </w:numPr>
              <w:spacing w:after="0" w:line="240" w:lineRule="auto"/>
              <w:rPr>
                <w:color w:val="000000" w:themeColor="text1"/>
                <w:sz w:val="22"/>
                <w:szCs w:val="22"/>
              </w:rPr>
            </w:pPr>
            <w:r w:rsidRPr="006503EA">
              <w:rPr>
                <w:color w:val="000000" w:themeColor="text1"/>
                <w:sz w:val="22"/>
                <w:szCs w:val="22"/>
              </w:rPr>
              <w:t xml:space="preserve">Practically, it increases the associated administrative workload in terms of preparation due to an increased pool of eligible outputs to assess. </w:t>
            </w:r>
            <w:r w:rsidR="00E54D72" w:rsidRPr="006503EA">
              <w:rPr>
                <w:color w:val="000000" w:themeColor="text1"/>
                <w:sz w:val="22"/>
                <w:szCs w:val="22"/>
              </w:rPr>
              <w:t>e.g.,</w:t>
            </w:r>
            <w:r w:rsidRPr="006503EA">
              <w:rPr>
                <w:color w:val="000000" w:themeColor="text1"/>
                <w:sz w:val="22"/>
                <w:szCs w:val="22"/>
              </w:rPr>
              <w:t xml:space="preserve"> identifying, scoring and selecting outputs.  </w:t>
            </w:r>
            <w:r w:rsidRPr="006503EA">
              <w:rPr>
                <w:color w:val="000000" w:themeColor="text1"/>
                <w:sz w:val="22"/>
                <w:szCs w:val="22"/>
              </w:rPr>
              <w:br/>
            </w:r>
          </w:p>
          <w:p w14:paraId="3B4A07B4" w14:textId="4F8DEF7B" w:rsidR="00744995" w:rsidRPr="006503EA" w:rsidRDefault="0082170B" w:rsidP="0082170B">
            <w:pPr>
              <w:pStyle w:val="ListParagraph"/>
              <w:numPr>
                <w:ilvl w:val="0"/>
                <w:numId w:val="7"/>
              </w:numPr>
              <w:spacing w:after="0" w:line="240" w:lineRule="auto"/>
              <w:rPr>
                <w:color w:val="000000" w:themeColor="text1"/>
                <w:sz w:val="22"/>
                <w:szCs w:val="22"/>
              </w:rPr>
            </w:pPr>
            <w:r w:rsidRPr="006503EA">
              <w:rPr>
                <w:color w:val="000000" w:themeColor="text1"/>
                <w:sz w:val="22"/>
                <w:szCs w:val="22"/>
              </w:rPr>
              <w:t xml:space="preserve">There are practical issues associated with identifying all </w:t>
            </w:r>
            <w:r w:rsidR="00E54D72">
              <w:rPr>
                <w:color w:val="000000" w:themeColor="text1"/>
                <w:sz w:val="22"/>
                <w:szCs w:val="22"/>
              </w:rPr>
              <w:t xml:space="preserve">the </w:t>
            </w:r>
            <w:r w:rsidRPr="006503EA">
              <w:rPr>
                <w:color w:val="000000" w:themeColor="text1"/>
                <w:sz w:val="22"/>
                <w:szCs w:val="22"/>
              </w:rPr>
              <w:t xml:space="preserve">eligible outputs if they are not routinely added to research management systems.  This could disadvantage those </w:t>
            </w:r>
            <w:r w:rsidR="00E54D72">
              <w:rPr>
                <w:color w:val="000000" w:themeColor="text1"/>
                <w:sz w:val="22"/>
                <w:szCs w:val="22"/>
              </w:rPr>
              <w:t xml:space="preserve">staff </w:t>
            </w:r>
            <w:r w:rsidRPr="006503EA">
              <w:rPr>
                <w:color w:val="000000" w:themeColor="text1"/>
                <w:sz w:val="22"/>
                <w:szCs w:val="22"/>
              </w:rPr>
              <w:t>who are less familiar with the process / system (</w:t>
            </w:r>
            <w:proofErr w:type="gramStart"/>
            <w:r w:rsidRPr="006503EA">
              <w:rPr>
                <w:color w:val="000000" w:themeColor="text1"/>
                <w:sz w:val="22"/>
                <w:szCs w:val="22"/>
              </w:rPr>
              <w:t>e.g.</w:t>
            </w:r>
            <w:proofErr w:type="gramEnd"/>
            <w:r w:rsidRPr="006503EA">
              <w:rPr>
                <w:color w:val="000000" w:themeColor="text1"/>
                <w:sz w:val="22"/>
                <w:szCs w:val="22"/>
              </w:rPr>
              <w:t xml:space="preserve"> non academics).  This could also result in additional administration, with a need to upskill and train staff</w:t>
            </w:r>
            <w:r w:rsidR="00E54D72">
              <w:rPr>
                <w:color w:val="000000" w:themeColor="text1"/>
                <w:sz w:val="22"/>
                <w:szCs w:val="22"/>
              </w:rPr>
              <w:t xml:space="preserve"> to use institutional repositories.</w:t>
            </w:r>
            <w:r w:rsidRPr="006503EA">
              <w:rPr>
                <w:color w:val="000000" w:themeColor="text1"/>
                <w:sz w:val="22"/>
                <w:szCs w:val="22"/>
              </w:rPr>
              <w:br/>
            </w:r>
          </w:p>
          <w:p w14:paraId="26BC6DB9" w14:textId="53B8CBB1" w:rsidR="0082170B" w:rsidRPr="006503EA" w:rsidRDefault="0082170B" w:rsidP="0082170B">
            <w:pPr>
              <w:pStyle w:val="ListParagraph"/>
              <w:numPr>
                <w:ilvl w:val="0"/>
                <w:numId w:val="7"/>
              </w:numPr>
              <w:spacing w:after="0" w:line="240" w:lineRule="auto"/>
              <w:rPr>
                <w:color w:val="000000" w:themeColor="text1"/>
                <w:sz w:val="22"/>
                <w:szCs w:val="22"/>
              </w:rPr>
            </w:pPr>
            <w:r w:rsidRPr="006503EA">
              <w:rPr>
                <w:color w:val="000000" w:themeColor="text1"/>
                <w:sz w:val="22"/>
                <w:szCs w:val="22"/>
              </w:rPr>
              <w:t>There could be additional workload associated with checking open access compliance for outputs which have not been routinely added to green route repositories.</w:t>
            </w:r>
            <w:r w:rsidR="00110823" w:rsidRPr="006503EA">
              <w:rPr>
                <w:color w:val="000000" w:themeColor="text1"/>
                <w:sz w:val="22"/>
                <w:szCs w:val="22"/>
              </w:rPr>
              <w:br/>
            </w:r>
          </w:p>
          <w:p w14:paraId="40BA0FDB" w14:textId="065E0C5C" w:rsidR="00110823" w:rsidRPr="006503EA" w:rsidRDefault="00110823" w:rsidP="0082170B">
            <w:pPr>
              <w:pStyle w:val="ListParagraph"/>
              <w:numPr>
                <w:ilvl w:val="0"/>
                <w:numId w:val="7"/>
              </w:numPr>
              <w:spacing w:after="0" w:line="240" w:lineRule="auto"/>
              <w:rPr>
                <w:sz w:val="22"/>
                <w:szCs w:val="22"/>
              </w:rPr>
            </w:pPr>
            <w:r w:rsidRPr="006503EA">
              <w:rPr>
                <w:color w:val="000000" w:themeColor="text1"/>
                <w:sz w:val="22"/>
                <w:szCs w:val="22"/>
              </w:rPr>
              <w:t xml:space="preserve">Time and care will be needed to agree appropriate </w:t>
            </w:r>
            <w:r w:rsidR="00E54D72">
              <w:rPr>
                <w:color w:val="000000" w:themeColor="text1"/>
                <w:sz w:val="22"/>
                <w:szCs w:val="22"/>
              </w:rPr>
              <w:t xml:space="preserve">output </w:t>
            </w:r>
            <w:r w:rsidRPr="006503EA">
              <w:rPr>
                <w:color w:val="000000" w:themeColor="text1"/>
                <w:sz w:val="22"/>
                <w:szCs w:val="22"/>
              </w:rPr>
              <w:t>selection criteria. This could require substantive changes to existing Codes of Practice, requiring lengthy consultation.  There also needs to be reassurance from REF that there will be a benefit, in real terms, for submitting 1 and 2* outputs, in place of 3 and 4* outputs, to ensure inclusivity.</w:t>
            </w:r>
          </w:p>
        </w:tc>
      </w:tr>
    </w:tbl>
    <w:p w14:paraId="1CACF471" w14:textId="77777777" w:rsidR="00241711" w:rsidRPr="006503EA" w:rsidRDefault="00241711">
      <w:pPr>
        <w:rPr>
          <w:rFonts w:ascii="Arial" w:hAnsi="Arial" w:cs="Arial"/>
        </w:rPr>
      </w:pPr>
    </w:p>
    <w:tbl>
      <w:tblPr>
        <w:tblStyle w:val="TableGrid"/>
        <w:tblW w:w="0" w:type="auto"/>
        <w:tblLook w:val="04A0" w:firstRow="1" w:lastRow="0" w:firstColumn="1" w:lastColumn="0" w:noHBand="0" w:noVBand="1"/>
      </w:tblPr>
      <w:tblGrid>
        <w:gridCol w:w="9016"/>
      </w:tblGrid>
      <w:tr w:rsidR="00241711" w:rsidRPr="006503EA" w14:paraId="2B358F00" w14:textId="77777777" w:rsidTr="00241711">
        <w:trPr>
          <w:trHeight w:val="600"/>
        </w:trPr>
        <w:tc>
          <w:tcPr>
            <w:tcW w:w="9016" w:type="dxa"/>
            <w:hideMark/>
          </w:tcPr>
          <w:p w14:paraId="33003D1F" w14:textId="0A1D224E" w:rsidR="00241711" w:rsidRPr="006503EA" w:rsidRDefault="00C9251D">
            <w:pPr>
              <w:rPr>
                <w:rFonts w:ascii="Arial" w:hAnsi="Arial" w:cs="Arial"/>
                <w:b/>
                <w:bCs/>
              </w:rPr>
            </w:pPr>
            <w:r w:rsidRPr="006503EA">
              <w:rPr>
                <w:rFonts w:ascii="Arial" w:hAnsi="Arial" w:cs="Arial"/>
                <w:b/>
                <w:bCs/>
              </w:rPr>
              <w:t xml:space="preserve">10. </w:t>
            </w:r>
            <w:r w:rsidR="00241711" w:rsidRPr="006503EA">
              <w:rPr>
                <w:rFonts w:ascii="Arial" w:hAnsi="Arial" w:cs="Arial"/>
                <w:b/>
                <w:bCs/>
              </w:rPr>
              <w:t>Should outputs sole-authored by postgraduate research students be eligible for submission? If so, should this include PhD theses? </w:t>
            </w:r>
          </w:p>
        </w:tc>
      </w:tr>
      <w:tr w:rsidR="00332091" w:rsidRPr="006503EA" w14:paraId="6C54B241" w14:textId="77777777" w:rsidTr="006503EA">
        <w:trPr>
          <w:trHeight w:val="600"/>
        </w:trPr>
        <w:tc>
          <w:tcPr>
            <w:tcW w:w="9016" w:type="dxa"/>
            <w:shd w:val="clear" w:color="auto" w:fill="auto"/>
          </w:tcPr>
          <w:p w14:paraId="5F413CD0" w14:textId="225E521E" w:rsidR="00332091" w:rsidRPr="006503EA" w:rsidRDefault="00E335F8" w:rsidP="00332091">
            <w:pPr>
              <w:rPr>
                <w:rFonts w:ascii="Arial" w:hAnsi="Arial" w:cs="Arial"/>
              </w:rPr>
            </w:pPr>
            <w:r w:rsidRPr="006503EA">
              <w:rPr>
                <w:rFonts w:ascii="Arial" w:hAnsi="Arial" w:cs="Arial"/>
              </w:rPr>
              <w:br/>
            </w:r>
            <w:r w:rsidR="00332091" w:rsidRPr="006503EA">
              <w:rPr>
                <w:rFonts w:ascii="Arial" w:hAnsi="Arial" w:cs="Arial"/>
              </w:rPr>
              <w:t>Where appropriate</w:t>
            </w:r>
            <w:r w:rsidRPr="006503EA">
              <w:rPr>
                <w:rFonts w:ascii="Arial" w:hAnsi="Arial" w:cs="Arial"/>
              </w:rPr>
              <w:t>,</w:t>
            </w:r>
            <w:r w:rsidR="00332091" w:rsidRPr="006503EA">
              <w:rPr>
                <w:rFonts w:ascii="Arial" w:hAnsi="Arial" w:cs="Arial"/>
              </w:rPr>
              <w:t xml:space="preserve"> outputs from sole-authored postgraduate research students could be eligible for REF submission. However, submission of PhD theses </w:t>
            </w:r>
            <w:r w:rsidR="00332091" w:rsidRPr="006503EA">
              <w:rPr>
                <w:rFonts w:ascii="Arial" w:hAnsi="Arial" w:cs="Arial"/>
                <w:b/>
                <w:bCs/>
                <w:u w:val="single"/>
              </w:rPr>
              <w:t>should not</w:t>
            </w:r>
            <w:r w:rsidR="00332091" w:rsidRPr="006503EA">
              <w:rPr>
                <w:rFonts w:ascii="Arial" w:hAnsi="Arial" w:cs="Arial"/>
              </w:rPr>
              <w:t xml:space="preserve"> be part of the REF exercise for the following reasons:</w:t>
            </w:r>
            <w:r w:rsidR="00332091" w:rsidRPr="006503EA">
              <w:rPr>
                <w:rFonts w:ascii="Arial" w:hAnsi="Arial" w:cs="Arial"/>
              </w:rPr>
              <w:br/>
            </w:r>
          </w:p>
          <w:p w14:paraId="6565C6CD" w14:textId="3F57DB11" w:rsidR="00332091" w:rsidRPr="006503EA" w:rsidRDefault="00332091" w:rsidP="00950AA0">
            <w:pPr>
              <w:pStyle w:val="ListParagraph"/>
              <w:numPr>
                <w:ilvl w:val="0"/>
                <w:numId w:val="11"/>
              </w:numPr>
              <w:rPr>
                <w:sz w:val="22"/>
                <w:szCs w:val="22"/>
              </w:rPr>
            </w:pPr>
            <w:r w:rsidRPr="006503EA">
              <w:rPr>
                <w:sz w:val="22"/>
                <w:szCs w:val="22"/>
              </w:rPr>
              <w:t xml:space="preserve"> Including PhD theses in the REF submission, risks a </w:t>
            </w:r>
            <w:proofErr w:type="gramStart"/>
            <w:r w:rsidRPr="006503EA">
              <w:rPr>
                <w:sz w:val="22"/>
                <w:szCs w:val="22"/>
              </w:rPr>
              <w:t xml:space="preserve">two </w:t>
            </w:r>
            <w:r w:rsidRPr="00AC00F0">
              <w:rPr>
                <w:sz w:val="22"/>
                <w:szCs w:val="22"/>
              </w:rPr>
              <w:t>ti</w:t>
            </w:r>
            <w:r w:rsidR="00571A37">
              <w:rPr>
                <w:sz w:val="22"/>
                <w:szCs w:val="22"/>
              </w:rPr>
              <w:t>ered</w:t>
            </w:r>
            <w:proofErr w:type="gramEnd"/>
            <w:r w:rsidRPr="006503EA">
              <w:rPr>
                <w:sz w:val="22"/>
                <w:szCs w:val="22"/>
              </w:rPr>
              <w:t xml:space="preserve"> scoring </w:t>
            </w:r>
            <w:r w:rsidRPr="006503EA">
              <w:rPr>
                <w:sz w:val="22"/>
                <w:szCs w:val="22"/>
              </w:rPr>
              <w:lastRenderedPageBreak/>
              <w:t>process. The</w:t>
            </w:r>
            <w:r w:rsidRPr="00571A37">
              <w:rPr>
                <w:sz w:val="22"/>
                <w:szCs w:val="22"/>
              </w:rPr>
              <w:t>ses</w:t>
            </w:r>
            <w:r w:rsidRPr="006503EA">
              <w:rPr>
                <w:sz w:val="22"/>
                <w:szCs w:val="22"/>
              </w:rPr>
              <w:t xml:space="preserve"> is already scored against a framework as part of the examination process, the Viva. For it then to be scored </w:t>
            </w:r>
            <w:proofErr w:type="gramStart"/>
            <w:r w:rsidRPr="006503EA">
              <w:rPr>
                <w:sz w:val="22"/>
                <w:szCs w:val="22"/>
              </w:rPr>
              <w:t>more or less favourably</w:t>
            </w:r>
            <w:proofErr w:type="gramEnd"/>
            <w:r w:rsidRPr="006503EA">
              <w:rPr>
                <w:sz w:val="22"/>
                <w:szCs w:val="22"/>
              </w:rPr>
              <w:t xml:space="preserve"> by the criteria set out by REF could put the </w:t>
            </w:r>
            <w:r w:rsidR="00E91BB1">
              <w:rPr>
                <w:sz w:val="22"/>
                <w:szCs w:val="22"/>
              </w:rPr>
              <w:t>institution</w:t>
            </w:r>
            <w:r w:rsidRPr="006503EA">
              <w:rPr>
                <w:sz w:val="22"/>
                <w:szCs w:val="22"/>
              </w:rPr>
              <w:t xml:space="preserve"> in disrepute and negate the examination process (PhD viva) as the benchmark of PhD quality. </w:t>
            </w:r>
            <w:r w:rsidR="00C93F13" w:rsidRPr="006503EA">
              <w:rPr>
                <w:sz w:val="22"/>
                <w:szCs w:val="22"/>
              </w:rPr>
              <w:t xml:space="preserve">  This could also have a negative effect for an individuals’ career progression.</w:t>
            </w:r>
          </w:p>
          <w:p w14:paraId="022A0D7E" w14:textId="77777777" w:rsidR="00332091" w:rsidRPr="006503EA" w:rsidRDefault="00332091" w:rsidP="00950AA0">
            <w:pPr>
              <w:pStyle w:val="ListParagraph"/>
              <w:numPr>
                <w:ilvl w:val="0"/>
                <w:numId w:val="11"/>
              </w:numPr>
              <w:rPr>
                <w:sz w:val="22"/>
                <w:szCs w:val="22"/>
              </w:rPr>
            </w:pPr>
            <w:r w:rsidRPr="006503EA">
              <w:rPr>
                <w:sz w:val="22"/>
                <w:szCs w:val="22"/>
              </w:rPr>
              <w:t>Adding the burden of REF submission to PhD theses would be undesirable for both staff and students in terms of additional pressure and workload.</w:t>
            </w:r>
          </w:p>
          <w:p w14:paraId="2BA7C9F1" w14:textId="4609D532" w:rsidR="00332091" w:rsidRPr="006503EA" w:rsidRDefault="00332091" w:rsidP="00950AA0">
            <w:pPr>
              <w:pStyle w:val="ListParagraph"/>
              <w:numPr>
                <w:ilvl w:val="0"/>
                <w:numId w:val="11"/>
              </w:numPr>
              <w:rPr>
                <w:sz w:val="22"/>
                <w:szCs w:val="22"/>
              </w:rPr>
            </w:pPr>
            <w:r w:rsidRPr="006503EA">
              <w:rPr>
                <w:sz w:val="22"/>
                <w:szCs w:val="22"/>
              </w:rPr>
              <w:t>The workload not only for the submitting institutions but also the panels is vast, given the length of each document.</w:t>
            </w:r>
          </w:p>
          <w:p w14:paraId="3A91F3AF" w14:textId="36C2E779" w:rsidR="00332091" w:rsidRPr="006503EA" w:rsidRDefault="00332091" w:rsidP="00950AA0">
            <w:pPr>
              <w:pStyle w:val="ListParagraph"/>
              <w:numPr>
                <w:ilvl w:val="0"/>
                <w:numId w:val="11"/>
              </w:numPr>
              <w:rPr>
                <w:sz w:val="22"/>
                <w:szCs w:val="22"/>
              </w:rPr>
            </w:pPr>
            <w:r w:rsidRPr="006503EA">
              <w:rPr>
                <w:sz w:val="22"/>
                <w:szCs w:val="22"/>
              </w:rPr>
              <w:t>There is also a reputational risk to universities</w:t>
            </w:r>
            <w:r w:rsidR="008C7139" w:rsidRPr="006503EA">
              <w:rPr>
                <w:sz w:val="22"/>
                <w:szCs w:val="22"/>
              </w:rPr>
              <w:t xml:space="preserve"> (</w:t>
            </w:r>
            <w:proofErr w:type="gramStart"/>
            <w:r w:rsidR="008C7139" w:rsidRPr="006503EA">
              <w:rPr>
                <w:sz w:val="22"/>
                <w:szCs w:val="22"/>
              </w:rPr>
              <w:t>e.g.</w:t>
            </w:r>
            <w:proofErr w:type="gramEnd"/>
            <w:r w:rsidR="008C7139" w:rsidRPr="006503EA">
              <w:rPr>
                <w:sz w:val="22"/>
                <w:szCs w:val="22"/>
              </w:rPr>
              <w:t xml:space="preserve"> recruitment of PhD students)</w:t>
            </w:r>
            <w:r w:rsidRPr="006503EA">
              <w:rPr>
                <w:sz w:val="22"/>
                <w:szCs w:val="22"/>
              </w:rPr>
              <w:t xml:space="preserve"> who do not score well or if scores of </w:t>
            </w:r>
            <w:proofErr w:type="spellStart"/>
            <w:r w:rsidRPr="006503EA">
              <w:rPr>
                <w:sz w:val="22"/>
                <w:szCs w:val="22"/>
              </w:rPr>
              <w:t>thes</w:t>
            </w:r>
            <w:r w:rsidR="00571A37">
              <w:rPr>
                <w:sz w:val="22"/>
                <w:szCs w:val="22"/>
              </w:rPr>
              <w:t>es</w:t>
            </w:r>
            <w:proofErr w:type="spellEnd"/>
            <w:r w:rsidRPr="006503EA">
              <w:rPr>
                <w:sz w:val="22"/>
                <w:szCs w:val="22"/>
              </w:rPr>
              <w:t xml:space="preserve"> are less than the viva examination.</w:t>
            </w:r>
          </w:p>
          <w:p w14:paraId="1F0499C6" w14:textId="40521662" w:rsidR="00950AA0" w:rsidRPr="006503EA" w:rsidRDefault="00332091" w:rsidP="00950AA0">
            <w:pPr>
              <w:pStyle w:val="ListParagraph"/>
              <w:numPr>
                <w:ilvl w:val="0"/>
                <w:numId w:val="11"/>
              </w:numPr>
              <w:spacing w:after="0" w:line="240" w:lineRule="auto"/>
              <w:rPr>
                <w:b/>
                <w:bCs/>
                <w:sz w:val="22"/>
                <w:szCs w:val="22"/>
              </w:rPr>
            </w:pPr>
            <w:r w:rsidRPr="006503EA">
              <w:rPr>
                <w:sz w:val="22"/>
                <w:szCs w:val="22"/>
              </w:rPr>
              <w:t>There is a risk that this approach</w:t>
            </w:r>
            <w:r w:rsidRPr="006503EA">
              <w:rPr>
                <w:b/>
                <w:bCs/>
                <w:sz w:val="22"/>
                <w:szCs w:val="22"/>
              </w:rPr>
              <w:t xml:space="preserve"> </w:t>
            </w:r>
            <w:r w:rsidRPr="006503EA">
              <w:rPr>
                <w:sz w:val="22"/>
                <w:szCs w:val="22"/>
              </w:rPr>
              <w:t xml:space="preserve">would disadvantage less research-oriented Universities with limited opportunities to fund and attract PhD students. Not least because it reinforces the bigger funded institutions who have a stronger pool of </w:t>
            </w:r>
            <w:proofErr w:type="spellStart"/>
            <w:r w:rsidRPr="006503EA">
              <w:rPr>
                <w:sz w:val="22"/>
                <w:szCs w:val="22"/>
              </w:rPr>
              <w:t>Phd</w:t>
            </w:r>
            <w:proofErr w:type="spellEnd"/>
            <w:r w:rsidRPr="006503EA">
              <w:rPr>
                <w:sz w:val="22"/>
                <w:szCs w:val="22"/>
              </w:rPr>
              <w:t xml:space="preserve"> students already</w:t>
            </w:r>
            <w:r w:rsidR="00CE6216">
              <w:rPr>
                <w:sz w:val="22"/>
                <w:szCs w:val="22"/>
              </w:rPr>
              <w:t>.</w:t>
            </w:r>
          </w:p>
          <w:p w14:paraId="262888DA" w14:textId="77777777" w:rsidR="00950AA0" w:rsidRPr="006503EA" w:rsidRDefault="00950AA0" w:rsidP="00950AA0">
            <w:pPr>
              <w:ind w:left="360"/>
              <w:rPr>
                <w:rFonts w:ascii="Arial" w:hAnsi="Arial" w:cs="Arial"/>
                <w:highlight w:val="yellow"/>
              </w:rPr>
            </w:pPr>
          </w:p>
          <w:p w14:paraId="5B5ADB46" w14:textId="287BFD2F" w:rsidR="00950AA0" w:rsidRPr="006503EA" w:rsidRDefault="00950AA0" w:rsidP="00950AA0">
            <w:pPr>
              <w:pStyle w:val="ListParagraph"/>
              <w:numPr>
                <w:ilvl w:val="0"/>
                <w:numId w:val="12"/>
              </w:numPr>
              <w:spacing w:after="0" w:line="240" w:lineRule="auto"/>
              <w:rPr>
                <w:sz w:val="22"/>
                <w:szCs w:val="22"/>
              </w:rPr>
            </w:pPr>
            <w:r w:rsidRPr="006503EA">
              <w:rPr>
                <w:sz w:val="22"/>
                <w:szCs w:val="22"/>
              </w:rPr>
              <w:t>If sole-authored outputs (excluding thes</w:t>
            </w:r>
            <w:r w:rsidR="00571A37">
              <w:rPr>
                <w:sz w:val="22"/>
                <w:szCs w:val="22"/>
              </w:rPr>
              <w:t>es</w:t>
            </w:r>
            <w:r w:rsidR="00E91BB1">
              <w:rPr>
                <w:sz w:val="22"/>
                <w:szCs w:val="22"/>
              </w:rPr>
              <w:t>)</w:t>
            </w:r>
            <w:r w:rsidRPr="006503EA">
              <w:rPr>
                <w:sz w:val="22"/>
                <w:szCs w:val="22"/>
              </w:rPr>
              <w:t xml:space="preserve"> are eligible for submission, this could have positive impacts for </w:t>
            </w:r>
            <w:r w:rsidR="007502A4">
              <w:rPr>
                <w:sz w:val="22"/>
                <w:szCs w:val="22"/>
              </w:rPr>
              <w:t>a</w:t>
            </w:r>
            <w:r w:rsidRPr="006503EA">
              <w:rPr>
                <w:sz w:val="22"/>
                <w:szCs w:val="22"/>
              </w:rPr>
              <w:t xml:space="preserve"> student in terms of demonstrating success and achievement.  However, it is imperative that institutions develop very clear </w:t>
            </w:r>
            <w:r w:rsidR="003B2AC5" w:rsidRPr="006503EA">
              <w:rPr>
                <w:sz w:val="22"/>
                <w:szCs w:val="22"/>
              </w:rPr>
              <w:t xml:space="preserve">and transparent </w:t>
            </w:r>
            <w:r w:rsidRPr="006503EA">
              <w:rPr>
                <w:sz w:val="22"/>
                <w:szCs w:val="22"/>
              </w:rPr>
              <w:t xml:space="preserve">guidance if this approach is implemented, which could require significant updates to existing </w:t>
            </w:r>
            <w:r w:rsidR="007502A4">
              <w:rPr>
                <w:sz w:val="22"/>
                <w:szCs w:val="22"/>
              </w:rPr>
              <w:t xml:space="preserve">research degree </w:t>
            </w:r>
            <w:r w:rsidRPr="006503EA">
              <w:rPr>
                <w:sz w:val="22"/>
                <w:szCs w:val="22"/>
              </w:rPr>
              <w:t>policies</w:t>
            </w:r>
            <w:r w:rsidR="003B2AC5" w:rsidRPr="006503EA">
              <w:rPr>
                <w:sz w:val="22"/>
                <w:szCs w:val="22"/>
              </w:rPr>
              <w:t xml:space="preserve"> and a lengthy period of consultation</w:t>
            </w:r>
            <w:r w:rsidRPr="006503EA">
              <w:rPr>
                <w:sz w:val="22"/>
                <w:szCs w:val="22"/>
              </w:rPr>
              <w:t>.</w:t>
            </w:r>
            <w:r w:rsidRPr="006503EA">
              <w:rPr>
                <w:sz w:val="22"/>
                <w:szCs w:val="22"/>
              </w:rPr>
              <w:br/>
            </w:r>
          </w:p>
          <w:p w14:paraId="16A97410" w14:textId="7CCDCE99" w:rsidR="00950AA0" w:rsidRPr="006503EA" w:rsidRDefault="00950AA0" w:rsidP="00950AA0">
            <w:pPr>
              <w:pStyle w:val="ListParagraph"/>
              <w:numPr>
                <w:ilvl w:val="0"/>
                <w:numId w:val="12"/>
              </w:numPr>
              <w:spacing w:after="0" w:line="240" w:lineRule="auto"/>
              <w:rPr>
                <w:sz w:val="22"/>
                <w:szCs w:val="22"/>
              </w:rPr>
            </w:pPr>
            <w:r w:rsidRPr="006503EA">
              <w:rPr>
                <w:sz w:val="22"/>
                <w:szCs w:val="22"/>
              </w:rPr>
              <w:t>Alternatively, it could lead to poor supervisory practices, pushing PhD students to</w:t>
            </w:r>
            <w:r w:rsidR="005A78D0" w:rsidRPr="006503EA">
              <w:rPr>
                <w:sz w:val="22"/>
                <w:szCs w:val="22"/>
              </w:rPr>
              <w:t xml:space="preserve"> sole-author</w:t>
            </w:r>
            <w:r w:rsidRPr="006503EA">
              <w:rPr>
                <w:sz w:val="22"/>
                <w:szCs w:val="22"/>
              </w:rPr>
              <w:t xml:space="preserve"> when they should be encouraged to focus </w:t>
            </w:r>
            <w:r w:rsidR="005A78D0" w:rsidRPr="006503EA">
              <w:rPr>
                <w:sz w:val="22"/>
                <w:szCs w:val="22"/>
              </w:rPr>
              <w:t>on a</w:t>
            </w:r>
            <w:r w:rsidRPr="006503EA">
              <w:rPr>
                <w:sz w:val="22"/>
                <w:szCs w:val="22"/>
              </w:rPr>
              <w:t xml:space="preserve"> positive research degree experience</w:t>
            </w:r>
            <w:r w:rsidR="00C93F13" w:rsidRPr="006503EA">
              <w:rPr>
                <w:sz w:val="22"/>
                <w:szCs w:val="22"/>
              </w:rPr>
              <w:t>, with an engaged and experienced supervisory team (</w:t>
            </w:r>
            <w:proofErr w:type="gramStart"/>
            <w:r w:rsidR="00C93F13" w:rsidRPr="006503EA">
              <w:rPr>
                <w:sz w:val="22"/>
                <w:szCs w:val="22"/>
              </w:rPr>
              <w:t>e.g.</w:t>
            </w:r>
            <w:proofErr w:type="gramEnd"/>
            <w:r w:rsidR="00C93F13" w:rsidRPr="006503EA">
              <w:rPr>
                <w:sz w:val="22"/>
                <w:szCs w:val="22"/>
              </w:rPr>
              <w:t xml:space="preserve"> co-authoring</w:t>
            </w:r>
            <w:r w:rsidR="007502A4">
              <w:rPr>
                <w:sz w:val="22"/>
                <w:szCs w:val="22"/>
              </w:rPr>
              <w:t xml:space="preserve"> and mentoring</w:t>
            </w:r>
            <w:r w:rsidR="00C93F13" w:rsidRPr="006503EA">
              <w:rPr>
                <w:sz w:val="22"/>
                <w:szCs w:val="22"/>
              </w:rPr>
              <w:t>).</w:t>
            </w:r>
            <w:r w:rsidR="00FC0410" w:rsidRPr="006503EA">
              <w:rPr>
                <w:sz w:val="22"/>
                <w:szCs w:val="22"/>
              </w:rPr>
              <w:br/>
            </w:r>
          </w:p>
          <w:p w14:paraId="3EB030DC" w14:textId="111421A4" w:rsidR="00FC0410" w:rsidRPr="006503EA" w:rsidRDefault="007502A4" w:rsidP="00950AA0">
            <w:pPr>
              <w:pStyle w:val="ListParagraph"/>
              <w:numPr>
                <w:ilvl w:val="0"/>
                <w:numId w:val="12"/>
              </w:numPr>
              <w:spacing w:after="0" w:line="240" w:lineRule="auto"/>
              <w:rPr>
                <w:sz w:val="22"/>
                <w:szCs w:val="22"/>
              </w:rPr>
            </w:pPr>
            <w:r>
              <w:rPr>
                <w:sz w:val="22"/>
                <w:szCs w:val="22"/>
              </w:rPr>
              <w:t>Wider c</w:t>
            </w:r>
            <w:r w:rsidR="00FC0410" w:rsidRPr="006503EA">
              <w:rPr>
                <w:sz w:val="22"/>
                <w:szCs w:val="22"/>
              </w:rPr>
              <w:t>ontributions of PhD students should be recognised and rewarded in the new People, Culture and Environment statement.</w:t>
            </w:r>
          </w:p>
          <w:p w14:paraId="7A3F600C" w14:textId="364094BF" w:rsidR="00950AA0" w:rsidRPr="006503EA" w:rsidRDefault="00950AA0" w:rsidP="00950AA0">
            <w:pPr>
              <w:rPr>
                <w:rFonts w:ascii="Arial" w:hAnsi="Arial" w:cs="Arial"/>
                <w:b/>
                <w:bCs/>
              </w:rPr>
            </w:pPr>
          </w:p>
        </w:tc>
      </w:tr>
    </w:tbl>
    <w:p w14:paraId="1C19CC9F" w14:textId="77777777" w:rsidR="00241711" w:rsidRPr="006503EA" w:rsidRDefault="00241711">
      <w:pPr>
        <w:rPr>
          <w:rFonts w:ascii="Arial" w:hAnsi="Arial" w:cs="Arial"/>
        </w:rPr>
      </w:pPr>
    </w:p>
    <w:tbl>
      <w:tblPr>
        <w:tblStyle w:val="TableGrid"/>
        <w:tblW w:w="0" w:type="auto"/>
        <w:tblLook w:val="04A0" w:firstRow="1" w:lastRow="0" w:firstColumn="1" w:lastColumn="0" w:noHBand="0" w:noVBand="1"/>
      </w:tblPr>
      <w:tblGrid>
        <w:gridCol w:w="9016"/>
      </w:tblGrid>
      <w:tr w:rsidR="00241711" w:rsidRPr="006503EA" w14:paraId="7DAC901A" w14:textId="77777777" w:rsidTr="00241711">
        <w:trPr>
          <w:trHeight w:val="600"/>
        </w:trPr>
        <w:tc>
          <w:tcPr>
            <w:tcW w:w="9016" w:type="dxa"/>
            <w:hideMark/>
          </w:tcPr>
          <w:p w14:paraId="0D9DE6D1" w14:textId="5428137B" w:rsidR="00241711" w:rsidRPr="006503EA" w:rsidRDefault="00C9251D">
            <w:pPr>
              <w:rPr>
                <w:rFonts w:ascii="Arial" w:hAnsi="Arial" w:cs="Arial"/>
                <w:b/>
                <w:bCs/>
              </w:rPr>
            </w:pPr>
            <w:r w:rsidRPr="006503EA">
              <w:rPr>
                <w:rFonts w:ascii="Arial" w:hAnsi="Arial" w:cs="Arial"/>
                <w:b/>
                <w:bCs/>
              </w:rPr>
              <w:t xml:space="preserve">11. </w:t>
            </w:r>
            <w:r w:rsidR="00241711" w:rsidRPr="006503EA">
              <w:rPr>
                <w:rFonts w:ascii="Arial" w:hAnsi="Arial" w:cs="Arial"/>
                <w:b/>
                <w:bCs/>
              </w:rPr>
              <w:t>What would be appropriate indicators of a demonstrable and substantive link of the submitting institution? </w:t>
            </w:r>
          </w:p>
        </w:tc>
      </w:tr>
      <w:tr w:rsidR="003B2AC5" w:rsidRPr="006503EA" w14:paraId="649A9EB3" w14:textId="77777777" w:rsidTr="006503EA">
        <w:trPr>
          <w:trHeight w:val="600"/>
        </w:trPr>
        <w:tc>
          <w:tcPr>
            <w:tcW w:w="9016" w:type="dxa"/>
            <w:shd w:val="clear" w:color="auto" w:fill="auto"/>
          </w:tcPr>
          <w:p w14:paraId="6423AACC" w14:textId="77777777" w:rsidR="00E413A9" w:rsidRPr="006503EA" w:rsidRDefault="00E413A9" w:rsidP="00E413A9">
            <w:pPr>
              <w:pStyle w:val="ListParagraph"/>
              <w:spacing w:after="0" w:line="240" w:lineRule="auto"/>
              <w:ind w:left="720" w:firstLine="0"/>
              <w:rPr>
                <w:sz w:val="22"/>
                <w:szCs w:val="22"/>
              </w:rPr>
            </w:pPr>
          </w:p>
          <w:p w14:paraId="39FC3689" w14:textId="4C5B5CEE" w:rsidR="003B2AC5" w:rsidRPr="006503EA" w:rsidRDefault="003B2AC5" w:rsidP="003B2AC5">
            <w:pPr>
              <w:pStyle w:val="ListParagraph"/>
              <w:numPr>
                <w:ilvl w:val="0"/>
                <w:numId w:val="13"/>
              </w:numPr>
              <w:spacing w:after="0" w:line="240" w:lineRule="auto"/>
              <w:rPr>
                <w:sz w:val="22"/>
                <w:szCs w:val="22"/>
              </w:rPr>
            </w:pPr>
            <w:r w:rsidRPr="006503EA">
              <w:rPr>
                <w:sz w:val="22"/>
                <w:szCs w:val="22"/>
              </w:rPr>
              <w:t xml:space="preserve">We broadly agree with the proposal to tie ‘substantive link’ to a period of employment at </w:t>
            </w:r>
            <w:r w:rsidR="00E413A9" w:rsidRPr="006503EA">
              <w:rPr>
                <w:sz w:val="22"/>
                <w:szCs w:val="22"/>
              </w:rPr>
              <w:t xml:space="preserve">the </w:t>
            </w:r>
            <w:r w:rsidRPr="006503EA">
              <w:rPr>
                <w:sz w:val="22"/>
                <w:szCs w:val="22"/>
              </w:rPr>
              <w:t>institution, however</w:t>
            </w:r>
            <w:r w:rsidR="007502A4">
              <w:rPr>
                <w:sz w:val="22"/>
                <w:szCs w:val="22"/>
              </w:rPr>
              <w:t>,</w:t>
            </w:r>
            <w:r w:rsidRPr="006503EA">
              <w:rPr>
                <w:sz w:val="22"/>
                <w:szCs w:val="22"/>
              </w:rPr>
              <w:t xml:space="preserve"> the</w:t>
            </w:r>
            <w:r w:rsidR="00B165C8" w:rsidRPr="006503EA">
              <w:rPr>
                <w:sz w:val="22"/>
                <w:szCs w:val="22"/>
              </w:rPr>
              <w:t>re</w:t>
            </w:r>
            <w:r w:rsidRPr="006503EA">
              <w:rPr>
                <w:sz w:val="22"/>
                <w:szCs w:val="22"/>
              </w:rPr>
              <w:t xml:space="preserve"> needs to be some consideration of the timing of the </w:t>
            </w:r>
            <w:r w:rsidR="00E413A9" w:rsidRPr="006503EA">
              <w:rPr>
                <w:sz w:val="22"/>
                <w:szCs w:val="22"/>
              </w:rPr>
              <w:t xml:space="preserve">employment </w:t>
            </w:r>
            <w:r w:rsidRPr="006503EA">
              <w:rPr>
                <w:sz w:val="22"/>
                <w:szCs w:val="22"/>
              </w:rPr>
              <w:t>and the timing of publications.</w:t>
            </w:r>
            <w:r w:rsidR="00E413A9" w:rsidRPr="006503EA">
              <w:rPr>
                <w:sz w:val="22"/>
                <w:szCs w:val="22"/>
              </w:rPr>
              <w:br/>
            </w:r>
          </w:p>
          <w:p w14:paraId="70E65BFA" w14:textId="6B7A10AB" w:rsidR="003B2AC5" w:rsidRPr="006503EA" w:rsidRDefault="003B2AC5" w:rsidP="003B2AC5">
            <w:pPr>
              <w:pStyle w:val="ListParagraph"/>
              <w:numPr>
                <w:ilvl w:val="0"/>
                <w:numId w:val="13"/>
              </w:numPr>
              <w:spacing w:after="0" w:line="240" w:lineRule="auto"/>
              <w:rPr>
                <w:b/>
                <w:bCs/>
                <w:sz w:val="22"/>
                <w:szCs w:val="22"/>
              </w:rPr>
            </w:pPr>
            <w:r w:rsidRPr="006503EA">
              <w:rPr>
                <w:sz w:val="22"/>
                <w:szCs w:val="22"/>
              </w:rPr>
              <w:t xml:space="preserve">Agreeing the contract length </w:t>
            </w:r>
            <w:r w:rsidR="007502A4">
              <w:rPr>
                <w:sz w:val="22"/>
                <w:szCs w:val="22"/>
              </w:rPr>
              <w:t>(</w:t>
            </w:r>
            <w:r w:rsidRPr="006503EA">
              <w:rPr>
                <w:sz w:val="22"/>
                <w:szCs w:val="22"/>
              </w:rPr>
              <w:t xml:space="preserve">proposal for 6 months at 0.2FTE in post) requires a clear rationale, informed by sector data to determine if this is an appropriate length of time to reflect </w:t>
            </w:r>
            <w:r w:rsidR="007502A4">
              <w:rPr>
                <w:sz w:val="22"/>
                <w:szCs w:val="22"/>
              </w:rPr>
              <w:t>a demonstrable c</w:t>
            </w:r>
            <w:r w:rsidRPr="006503EA">
              <w:rPr>
                <w:sz w:val="22"/>
                <w:szCs w:val="22"/>
              </w:rPr>
              <w:t>o</w:t>
            </w:r>
            <w:r w:rsidR="007502A4">
              <w:rPr>
                <w:sz w:val="22"/>
                <w:szCs w:val="22"/>
              </w:rPr>
              <w:t>ntribution to</w:t>
            </w:r>
            <w:r w:rsidRPr="006503EA">
              <w:rPr>
                <w:sz w:val="22"/>
                <w:szCs w:val="22"/>
              </w:rPr>
              <w:t xml:space="preserve"> the institution.  Allowing submissions from people employed 0.2 FTE for </w:t>
            </w:r>
            <w:r w:rsidR="007502A4">
              <w:rPr>
                <w:sz w:val="22"/>
                <w:szCs w:val="22"/>
              </w:rPr>
              <w:t xml:space="preserve">just </w:t>
            </w:r>
            <w:r w:rsidRPr="006503EA">
              <w:rPr>
                <w:sz w:val="22"/>
                <w:szCs w:val="22"/>
              </w:rPr>
              <w:t>6 months could encourage transfer markets</w:t>
            </w:r>
            <w:r w:rsidR="007502A4">
              <w:rPr>
                <w:sz w:val="22"/>
                <w:szCs w:val="22"/>
              </w:rPr>
              <w:t xml:space="preserve"> and</w:t>
            </w:r>
            <w:r w:rsidRPr="006503EA">
              <w:rPr>
                <w:sz w:val="22"/>
                <w:szCs w:val="22"/>
              </w:rPr>
              <w:t xml:space="preserve"> buying-in staff on short-term contracts to contribute papers generated at previous institution.</w:t>
            </w:r>
            <w:r w:rsidRPr="006503EA">
              <w:rPr>
                <w:sz w:val="22"/>
                <w:szCs w:val="22"/>
              </w:rPr>
              <w:br/>
            </w:r>
          </w:p>
          <w:p w14:paraId="79F40D24" w14:textId="7BBC95EA" w:rsidR="003B2AC5" w:rsidRPr="006503EA" w:rsidRDefault="003B2AC5" w:rsidP="003B2AC5">
            <w:pPr>
              <w:rPr>
                <w:rFonts w:ascii="Arial" w:hAnsi="Arial" w:cs="Arial"/>
              </w:rPr>
            </w:pPr>
            <w:r w:rsidRPr="006503EA">
              <w:rPr>
                <w:rFonts w:ascii="Arial" w:hAnsi="Arial" w:cs="Arial"/>
                <w:b/>
                <w:bCs/>
              </w:rPr>
              <w:t>Alternative or additional indicators should also be considered such as:</w:t>
            </w:r>
            <w:r w:rsidRPr="006503EA">
              <w:rPr>
                <w:rFonts w:ascii="Arial" w:hAnsi="Arial" w:cs="Arial"/>
                <w:b/>
                <w:bCs/>
              </w:rPr>
              <w:br/>
            </w:r>
            <w:r w:rsidRPr="006503EA">
              <w:rPr>
                <w:rFonts w:ascii="Arial" w:hAnsi="Arial" w:cs="Arial"/>
              </w:rPr>
              <w:t xml:space="preserve">Institutional attribution </w:t>
            </w:r>
            <w:r w:rsidR="00E413A9" w:rsidRPr="006503EA">
              <w:rPr>
                <w:rFonts w:ascii="Arial" w:hAnsi="Arial" w:cs="Arial"/>
              </w:rPr>
              <w:t xml:space="preserve">/ affiliation </w:t>
            </w:r>
            <w:r w:rsidRPr="006503EA">
              <w:rPr>
                <w:rFonts w:ascii="Arial" w:hAnsi="Arial" w:cs="Arial"/>
              </w:rPr>
              <w:t>on outputs</w:t>
            </w:r>
            <w:r w:rsidRPr="006503EA">
              <w:rPr>
                <w:rFonts w:ascii="Arial" w:hAnsi="Arial" w:cs="Arial"/>
              </w:rPr>
              <w:br/>
            </w:r>
            <w:r w:rsidR="00E413A9" w:rsidRPr="006503EA">
              <w:rPr>
                <w:rFonts w:ascii="Arial" w:hAnsi="Arial" w:cs="Arial"/>
              </w:rPr>
              <w:t>Demonstrable record of c</w:t>
            </w:r>
            <w:r w:rsidRPr="006503EA">
              <w:rPr>
                <w:rFonts w:ascii="Arial" w:hAnsi="Arial" w:cs="Arial"/>
              </w:rPr>
              <w:t xml:space="preserve">o-publishing with </w:t>
            </w:r>
            <w:r w:rsidR="00E413A9" w:rsidRPr="006503EA">
              <w:rPr>
                <w:rFonts w:ascii="Arial" w:hAnsi="Arial" w:cs="Arial"/>
              </w:rPr>
              <w:t>submitting institution</w:t>
            </w:r>
            <w:r w:rsidR="00B65827" w:rsidRPr="006503EA">
              <w:rPr>
                <w:rFonts w:ascii="Arial" w:hAnsi="Arial" w:cs="Arial"/>
              </w:rPr>
              <w:t xml:space="preserve">, </w:t>
            </w:r>
            <w:proofErr w:type="gramStart"/>
            <w:r w:rsidRPr="006503EA">
              <w:rPr>
                <w:rFonts w:ascii="Arial" w:hAnsi="Arial" w:cs="Arial"/>
              </w:rPr>
              <w:t>previously</w:t>
            </w:r>
            <w:proofErr w:type="gramEnd"/>
            <w:r w:rsidRPr="006503EA">
              <w:rPr>
                <w:rFonts w:ascii="Arial" w:hAnsi="Arial" w:cs="Arial"/>
              </w:rPr>
              <w:t xml:space="preserve"> </w:t>
            </w:r>
          </w:p>
          <w:p w14:paraId="40CE0472" w14:textId="6C494486" w:rsidR="00E413A9" w:rsidRPr="006503EA" w:rsidRDefault="00E413A9" w:rsidP="00E413A9">
            <w:pPr>
              <w:rPr>
                <w:rFonts w:ascii="Arial" w:hAnsi="Arial" w:cs="Arial"/>
              </w:rPr>
            </w:pPr>
            <w:r w:rsidRPr="006503EA">
              <w:rPr>
                <w:rFonts w:ascii="Arial" w:hAnsi="Arial" w:cs="Arial"/>
              </w:rPr>
              <w:t>Visiting professors/emeritus profs on honorary appointments.</w:t>
            </w:r>
          </w:p>
          <w:p w14:paraId="3A8D63DA" w14:textId="01C814EF" w:rsidR="00E413A9" w:rsidRPr="006503EA" w:rsidRDefault="00E413A9" w:rsidP="00E413A9">
            <w:pPr>
              <w:rPr>
                <w:rFonts w:ascii="Arial" w:hAnsi="Arial" w:cs="Arial"/>
              </w:rPr>
            </w:pPr>
            <w:r w:rsidRPr="006503EA">
              <w:rPr>
                <w:rFonts w:ascii="Arial" w:hAnsi="Arial" w:cs="Arial"/>
              </w:rPr>
              <w:t>Involvement in supervisory teams</w:t>
            </w:r>
          </w:p>
          <w:p w14:paraId="5D3C8540" w14:textId="6C8207E5" w:rsidR="00E413A9" w:rsidRPr="006503EA" w:rsidRDefault="00E413A9" w:rsidP="00E413A9">
            <w:pPr>
              <w:rPr>
                <w:rFonts w:ascii="Arial" w:hAnsi="Arial" w:cs="Arial"/>
              </w:rPr>
            </w:pPr>
            <w:r w:rsidRPr="006503EA">
              <w:rPr>
                <w:rFonts w:ascii="Arial" w:hAnsi="Arial" w:cs="Arial"/>
              </w:rPr>
              <w:t>Line management of staff</w:t>
            </w:r>
          </w:p>
          <w:p w14:paraId="7C18F5CC" w14:textId="4231F03D" w:rsidR="003B2AC5" w:rsidRPr="006503EA" w:rsidRDefault="00E413A9" w:rsidP="00E413A9">
            <w:pPr>
              <w:rPr>
                <w:rFonts w:ascii="Arial" w:hAnsi="Arial" w:cs="Arial"/>
                <w:b/>
                <w:bCs/>
              </w:rPr>
            </w:pPr>
            <w:r w:rsidRPr="006503EA">
              <w:rPr>
                <w:rFonts w:ascii="Arial" w:hAnsi="Arial" w:cs="Arial"/>
              </w:rPr>
              <w:t xml:space="preserve">Contribution to UoA activities (academic committees etc). </w:t>
            </w:r>
            <w:r w:rsidR="003B2AC5" w:rsidRPr="006503EA">
              <w:rPr>
                <w:rFonts w:ascii="Arial" w:hAnsi="Arial" w:cs="Arial"/>
                <w:b/>
                <w:bCs/>
              </w:rPr>
              <w:br/>
            </w:r>
          </w:p>
        </w:tc>
      </w:tr>
    </w:tbl>
    <w:p w14:paraId="4810FFF4" w14:textId="77777777" w:rsidR="00241711" w:rsidRPr="006503EA" w:rsidRDefault="00241711">
      <w:pPr>
        <w:rPr>
          <w:rFonts w:ascii="Arial" w:hAnsi="Arial" w:cs="Arial"/>
        </w:rPr>
      </w:pPr>
    </w:p>
    <w:tbl>
      <w:tblPr>
        <w:tblStyle w:val="TableGrid"/>
        <w:tblW w:w="0" w:type="auto"/>
        <w:tblLook w:val="04A0" w:firstRow="1" w:lastRow="0" w:firstColumn="1" w:lastColumn="0" w:noHBand="0" w:noVBand="1"/>
      </w:tblPr>
      <w:tblGrid>
        <w:gridCol w:w="9016"/>
      </w:tblGrid>
      <w:tr w:rsidR="006B2939" w:rsidRPr="006503EA" w14:paraId="496F00A6" w14:textId="77777777" w:rsidTr="006503EA">
        <w:trPr>
          <w:trHeight w:val="600"/>
        </w:trPr>
        <w:tc>
          <w:tcPr>
            <w:tcW w:w="9016" w:type="dxa"/>
            <w:tcBorders>
              <w:bottom w:val="single" w:sz="4" w:space="0" w:color="auto"/>
            </w:tcBorders>
            <w:hideMark/>
          </w:tcPr>
          <w:p w14:paraId="2B146B8E" w14:textId="72BC4B60" w:rsidR="006B2939" w:rsidRPr="006503EA" w:rsidRDefault="00C9251D">
            <w:pPr>
              <w:rPr>
                <w:rFonts w:ascii="Arial" w:hAnsi="Arial" w:cs="Arial"/>
                <w:b/>
                <w:bCs/>
              </w:rPr>
            </w:pPr>
            <w:r w:rsidRPr="006503EA">
              <w:rPr>
                <w:rFonts w:ascii="Arial" w:hAnsi="Arial" w:cs="Arial"/>
                <w:b/>
                <w:bCs/>
              </w:rPr>
              <w:t xml:space="preserve">12. </w:t>
            </w:r>
            <w:r w:rsidR="006B2939" w:rsidRPr="006503EA">
              <w:rPr>
                <w:rFonts w:ascii="Arial" w:hAnsi="Arial" w:cs="Arial"/>
                <w:b/>
                <w:bCs/>
              </w:rPr>
              <w:t>Do the proposed arrangements for co-authored outputs strike the right balance between supporting collaboration and ensuring that assessment focuses on the work of the unit?</w:t>
            </w:r>
          </w:p>
        </w:tc>
      </w:tr>
      <w:tr w:rsidR="00A21B32" w:rsidRPr="006503EA" w14:paraId="1DA1F1D2" w14:textId="77777777" w:rsidTr="006503EA">
        <w:trPr>
          <w:trHeight w:val="600"/>
        </w:trPr>
        <w:tc>
          <w:tcPr>
            <w:tcW w:w="9016" w:type="dxa"/>
            <w:tcBorders>
              <w:bottom w:val="single" w:sz="4" w:space="0" w:color="auto"/>
            </w:tcBorders>
            <w:shd w:val="clear" w:color="auto" w:fill="auto"/>
          </w:tcPr>
          <w:p w14:paraId="232D5BE1" w14:textId="77777777" w:rsidR="00A21B32" w:rsidRPr="006503EA" w:rsidRDefault="00A21B32" w:rsidP="008A3926">
            <w:pPr>
              <w:pStyle w:val="ListParagraph"/>
              <w:numPr>
                <w:ilvl w:val="0"/>
                <w:numId w:val="14"/>
              </w:numPr>
              <w:spacing w:after="0" w:line="240" w:lineRule="auto"/>
              <w:rPr>
                <w:sz w:val="22"/>
                <w:szCs w:val="22"/>
              </w:rPr>
            </w:pPr>
            <w:r w:rsidRPr="006503EA">
              <w:rPr>
                <w:sz w:val="22"/>
                <w:szCs w:val="22"/>
              </w:rPr>
              <w:t>We are unable to fully answer this question because there is insufficient detail on the proposed arrangements.</w:t>
            </w:r>
            <w:r w:rsidRPr="006503EA">
              <w:rPr>
                <w:sz w:val="22"/>
                <w:szCs w:val="22"/>
              </w:rPr>
              <w:br/>
            </w:r>
          </w:p>
          <w:p w14:paraId="353CC35D" w14:textId="08E8D964" w:rsidR="008A3926" w:rsidRPr="006503EA" w:rsidRDefault="00A21B32" w:rsidP="008A3926">
            <w:pPr>
              <w:pStyle w:val="ListParagraph"/>
              <w:numPr>
                <w:ilvl w:val="0"/>
                <w:numId w:val="14"/>
              </w:numPr>
              <w:spacing w:after="0" w:line="240" w:lineRule="auto"/>
              <w:rPr>
                <w:sz w:val="22"/>
                <w:szCs w:val="22"/>
              </w:rPr>
            </w:pPr>
            <w:r w:rsidRPr="006503EA">
              <w:rPr>
                <w:sz w:val="22"/>
                <w:szCs w:val="22"/>
              </w:rPr>
              <w:t xml:space="preserve">It is unclear if only co-authored outputs can be submitted in multiple UoAs? Or </w:t>
            </w:r>
            <w:r w:rsidR="008A3926" w:rsidRPr="006503EA">
              <w:rPr>
                <w:sz w:val="22"/>
                <w:szCs w:val="22"/>
              </w:rPr>
              <w:t>if</w:t>
            </w:r>
            <w:r w:rsidRPr="006503EA">
              <w:rPr>
                <w:sz w:val="22"/>
                <w:szCs w:val="22"/>
              </w:rPr>
              <w:t xml:space="preserve"> any outputs which fit </w:t>
            </w:r>
            <w:r w:rsidR="008A3926" w:rsidRPr="006503EA">
              <w:rPr>
                <w:sz w:val="22"/>
                <w:szCs w:val="22"/>
              </w:rPr>
              <w:t>multiple</w:t>
            </w:r>
            <w:r w:rsidRPr="006503EA">
              <w:rPr>
                <w:sz w:val="22"/>
                <w:szCs w:val="22"/>
              </w:rPr>
              <w:t xml:space="preserve"> descriptors</w:t>
            </w:r>
            <w:r w:rsidR="008A3926" w:rsidRPr="006503EA">
              <w:rPr>
                <w:sz w:val="22"/>
                <w:szCs w:val="22"/>
              </w:rPr>
              <w:t xml:space="preserve"> can be submitted to multiple UoAs.  </w:t>
            </w:r>
          </w:p>
          <w:p w14:paraId="5FDF51A0" w14:textId="77777777" w:rsidR="008A3926" w:rsidRPr="006503EA" w:rsidRDefault="008A3926" w:rsidP="008A3926">
            <w:pPr>
              <w:pStyle w:val="ListParagraph"/>
              <w:spacing w:after="0" w:line="240" w:lineRule="auto"/>
              <w:ind w:left="720" w:firstLine="0"/>
              <w:rPr>
                <w:sz w:val="22"/>
                <w:szCs w:val="22"/>
              </w:rPr>
            </w:pPr>
          </w:p>
          <w:p w14:paraId="36791EEE" w14:textId="36948B5C" w:rsidR="00A21B32" w:rsidRPr="006503EA" w:rsidRDefault="00A21B32" w:rsidP="008A3926">
            <w:pPr>
              <w:pStyle w:val="ListParagraph"/>
              <w:numPr>
                <w:ilvl w:val="0"/>
                <w:numId w:val="14"/>
              </w:numPr>
              <w:spacing w:after="0" w:line="240" w:lineRule="auto"/>
              <w:rPr>
                <w:sz w:val="22"/>
                <w:szCs w:val="22"/>
              </w:rPr>
            </w:pPr>
            <w:r w:rsidRPr="006503EA">
              <w:rPr>
                <w:sz w:val="22"/>
                <w:szCs w:val="22"/>
              </w:rPr>
              <w:t xml:space="preserve">It might be considered unethical to count a single author's output multiple times </w:t>
            </w:r>
            <w:r w:rsidR="008A3926" w:rsidRPr="006503EA">
              <w:rPr>
                <w:sz w:val="22"/>
                <w:szCs w:val="22"/>
              </w:rPr>
              <w:t xml:space="preserve">in multiple UoAs </w:t>
            </w:r>
            <w:r w:rsidRPr="006503EA">
              <w:rPr>
                <w:sz w:val="22"/>
                <w:szCs w:val="22"/>
              </w:rPr>
              <w:t>and could lead to game</w:t>
            </w:r>
            <w:r w:rsidR="00EA02AA">
              <w:rPr>
                <w:sz w:val="22"/>
                <w:szCs w:val="22"/>
              </w:rPr>
              <w:t>-</w:t>
            </w:r>
            <w:r w:rsidRPr="006503EA">
              <w:rPr>
                <w:sz w:val="22"/>
                <w:szCs w:val="22"/>
              </w:rPr>
              <w:t xml:space="preserve">playing whereby institutions submit the same output in multiple UoAs due to </w:t>
            </w:r>
            <w:r w:rsidR="00EA02AA">
              <w:rPr>
                <w:sz w:val="22"/>
                <w:szCs w:val="22"/>
              </w:rPr>
              <w:t xml:space="preserve">the </w:t>
            </w:r>
            <w:r w:rsidR="008A3926" w:rsidRPr="006503EA">
              <w:rPr>
                <w:sz w:val="22"/>
                <w:szCs w:val="22"/>
              </w:rPr>
              <w:t xml:space="preserve">broad and </w:t>
            </w:r>
            <w:r w:rsidRPr="006503EA">
              <w:rPr>
                <w:sz w:val="22"/>
                <w:szCs w:val="22"/>
              </w:rPr>
              <w:t xml:space="preserve">fluid </w:t>
            </w:r>
            <w:r w:rsidR="00EA02AA">
              <w:rPr>
                <w:sz w:val="22"/>
                <w:szCs w:val="22"/>
              </w:rPr>
              <w:t xml:space="preserve">nature of some </w:t>
            </w:r>
            <w:r w:rsidRPr="006503EA">
              <w:rPr>
                <w:sz w:val="22"/>
                <w:szCs w:val="22"/>
              </w:rPr>
              <w:t xml:space="preserve">UoA descriptors (particularly </w:t>
            </w:r>
            <w:r w:rsidR="00EA02AA">
              <w:rPr>
                <w:sz w:val="22"/>
                <w:szCs w:val="22"/>
              </w:rPr>
              <w:t xml:space="preserve">in </w:t>
            </w:r>
            <w:r w:rsidRPr="006503EA">
              <w:rPr>
                <w:sz w:val="22"/>
                <w:szCs w:val="22"/>
              </w:rPr>
              <w:t>Panel D).</w:t>
            </w:r>
          </w:p>
          <w:p w14:paraId="3ED17D33" w14:textId="77777777" w:rsidR="00A21B32" w:rsidRPr="006503EA" w:rsidRDefault="00A21B32">
            <w:pPr>
              <w:rPr>
                <w:rFonts w:ascii="Arial" w:hAnsi="Arial" w:cs="Arial"/>
              </w:rPr>
            </w:pPr>
          </w:p>
          <w:p w14:paraId="77CA0EAD" w14:textId="5A0927E6" w:rsidR="00A21B32" w:rsidRPr="006503EA" w:rsidRDefault="00A21B32" w:rsidP="008A3926">
            <w:pPr>
              <w:pStyle w:val="ListParagraph"/>
              <w:numPr>
                <w:ilvl w:val="0"/>
                <w:numId w:val="14"/>
              </w:numPr>
              <w:spacing w:after="0" w:line="240" w:lineRule="auto"/>
              <w:rPr>
                <w:b/>
                <w:bCs/>
                <w:sz w:val="22"/>
                <w:szCs w:val="22"/>
              </w:rPr>
            </w:pPr>
            <w:r w:rsidRPr="006503EA">
              <w:rPr>
                <w:sz w:val="22"/>
                <w:szCs w:val="22"/>
              </w:rPr>
              <w:t>However, if an output is truly multi-disciplinary, it should be recognised and rewarded across the disciplines.</w:t>
            </w:r>
            <w:r w:rsidR="008A3926" w:rsidRPr="006503EA">
              <w:rPr>
                <w:sz w:val="22"/>
                <w:szCs w:val="22"/>
              </w:rPr>
              <w:t xml:space="preserve">  Fair and consistent assessment of the ‘representativeness’ statement will be pivotal here, whereby </w:t>
            </w:r>
            <w:r w:rsidR="008A3926" w:rsidRPr="00FF45E7">
              <w:rPr>
                <w:i/>
                <w:iCs/>
                <w:sz w:val="22"/>
                <w:szCs w:val="22"/>
              </w:rPr>
              <w:t>'units will be required to explain how their submitted output pool is representative of the research undertaken within the disciplinary area</w:t>
            </w:r>
            <w:r w:rsidR="00FF45E7">
              <w:rPr>
                <w:i/>
                <w:iCs/>
                <w:sz w:val="22"/>
                <w:szCs w:val="22"/>
              </w:rPr>
              <w:t>’</w:t>
            </w:r>
          </w:p>
        </w:tc>
      </w:tr>
      <w:tr w:rsidR="006503EA" w:rsidRPr="006503EA" w14:paraId="6187E92C" w14:textId="77777777" w:rsidTr="006503EA">
        <w:trPr>
          <w:trHeight w:val="600"/>
        </w:trPr>
        <w:tc>
          <w:tcPr>
            <w:tcW w:w="9016" w:type="dxa"/>
            <w:tcBorders>
              <w:top w:val="single" w:sz="4" w:space="0" w:color="auto"/>
              <w:left w:val="nil"/>
              <w:bottom w:val="single" w:sz="4" w:space="0" w:color="auto"/>
              <w:right w:val="nil"/>
            </w:tcBorders>
            <w:shd w:val="clear" w:color="auto" w:fill="auto"/>
          </w:tcPr>
          <w:p w14:paraId="70C21AB8" w14:textId="77777777" w:rsidR="006503EA" w:rsidRPr="006503EA" w:rsidRDefault="006503EA" w:rsidP="006503EA">
            <w:pPr>
              <w:pStyle w:val="ListParagraph"/>
              <w:spacing w:after="0" w:line="240" w:lineRule="auto"/>
              <w:ind w:left="720" w:firstLine="0"/>
              <w:rPr>
                <w:sz w:val="20"/>
                <w:szCs w:val="20"/>
              </w:rPr>
            </w:pPr>
          </w:p>
        </w:tc>
      </w:tr>
      <w:tr w:rsidR="006B2939" w:rsidRPr="006503EA" w14:paraId="019C8E7E" w14:textId="77777777" w:rsidTr="006503EA">
        <w:trPr>
          <w:trHeight w:val="600"/>
        </w:trPr>
        <w:tc>
          <w:tcPr>
            <w:tcW w:w="9016" w:type="dxa"/>
            <w:tcBorders>
              <w:top w:val="single" w:sz="4" w:space="0" w:color="auto"/>
            </w:tcBorders>
            <w:hideMark/>
          </w:tcPr>
          <w:p w14:paraId="4B4DC572" w14:textId="087D0FA5" w:rsidR="006B2939" w:rsidRPr="006503EA" w:rsidRDefault="00C9251D" w:rsidP="006B2939">
            <w:pPr>
              <w:rPr>
                <w:rFonts w:ascii="Arial" w:eastAsia="Times New Roman" w:hAnsi="Arial" w:cs="Arial"/>
                <w:b/>
                <w:bCs/>
                <w:color w:val="FFFFFF"/>
                <w:kern w:val="0"/>
                <w:lang w:eastAsia="en-GB"/>
                <w14:ligatures w14:val="none"/>
              </w:rPr>
            </w:pPr>
            <w:r w:rsidRPr="006503EA">
              <w:rPr>
                <w:rFonts w:ascii="Arial" w:eastAsia="Times New Roman" w:hAnsi="Arial" w:cs="Arial"/>
                <w:b/>
                <w:bCs/>
                <w:kern w:val="0"/>
                <w:lang w:eastAsia="en-GB"/>
                <w14:ligatures w14:val="none"/>
              </w:rPr>
              <w:t xml:space="preserve">13. </w:t>
            </w:r>
            <w:r w:rsidR="006B2939" w:rsidRPr="006503EA">
              <w:rPr>
                <w:rFonts w:ascii="Arial" w:eastAsia="Times New Roman" w:hAnsi="Arial" w:cs="Arial"/>
                <w:b/>
                <w:bCs/>
                <w:kern w:val="0"/>
                <w:lang w:eastAsia="en-GB"/>
                <w14:ligatures w14:val="none"/>
              </w:rPr>
              <w:t>Are there any fu</w:t>
            </w:r>
            <w:r w:rsidR="008A3926" w:rsidRPr="006503EA">
              <w:rPr>
                <w:rFonts w:ascii="Arial" w:eastAsia="Times New Roman" w:hAnsi="Arial" w:cs="Arial"/>
                <w:b/>
                <w:bCs/>
                <w:kern w:val="0"/>
                <w:lang w:eastAsia="en-GB"/>
                <w14:ligatures w14:val="none"/>
              </w:rPr>
              <w:t>r</w:t>
            </w:r>
            <w:r w:rsidR="006B2939" w:rsidRPr="006503EA">
              <w:rPr>
                <w:rFonts w:ascii="Arial" w:eastAsia="Times New Roman" w:hAnsi="Arial" w:cs="Arial"/>
                <w:b/>
                <w:bCs/>
                <w:kern w:val="0"/>
                <w:lang w:eastAsia="en-GB"/>
                <w14:ligatures w14:val="none"/>
              </w:rPr>
              <w:t xml:space="preserve">ther considerations around co-authored outputs that need be </w:t>
            </w:r>
            <w:proofErr w:type="gramStart"/>
            <w:r w:rsidR="006B2939" w:rsidRPr="006503EA">
              <w:rPr>
                <w:rFonts w:ascii="Arial" w:eastAsia="Times New Roman" w:hAnsi="Arial" w:cs="Arial"/>
                <w:b/>
                <w:bCs/>
                <w:kern w:val="0"/>
                <w:lang w:eastAsia="en-GB"/>
                <w14:ligatures w14:val="none"/>
              </w:rPr>
              <w:t>taken into account</w:t>
            </w:r>
            <w:proofErr w:type="gramEnd"/>
            <w:r w:rsidR="006B2939" w:rsidRPr="006503EA">
              <w:rPr>
                <w:rFonts w:ascii="Arial" w:eastAsia="Times New Roman" w:hAnsi="Arial" w:cs="Arial"/>
                <w:b/>
                <w:bCs/>
                <w:kern w:val="0"/>
                <w:lang w:eastAsia="en-GB"/>
                <w14:ligatures w14:val="none"/>
              </w:rPr>
              <w:t>? </w:t>
            </w:r>
          </w:p>
        </w:tc>
      </w:tr>
      <w:tr w:rsidR="008A3926" w:rsidRPr="006503EA" w14:paraId="1B1270C1" w14:textId="77777777" w:rsidTr="006503EA">
        <w:trPr>
          <w:trHeight w:val="600"/>
        </w:trPr>
        <w:tc>
          <w:tcPr>
            <w:tcW w:w="9016" w:type="dxa"/>
            <w:shd w:val="clear" w:color="auto" w:fill="auto"/>
          </w:tcPr>
          <w:p w14:paraId="61A1B525" w14:textId="69F84BE0" w:rsidR="008A3926" w:rsidRPr="006503EA" w:rsidRDefault="008A3926" w:rsidP="008A3926">
            <w:pPr>
              <w:pStyle w:val="ListParagraph"/>
              <w:numPr>
                <w:ilvl w:val="0"/>
                <w:numId w:val="15"/>
              </w:numPr>
              <w:spacing w:after="0" w:line="240" w:lineRule="auto"/>
              <w:rPr>
                <w:rFonts w:eastAsia="Times New Roman"/>
                <w:color w:val="000000"/>
                <w:sz w:val="22"/>
                <w:szCs w:val="22"/>
                <w:lang w:eastAsia="en-GB"/>
              </w:rPr>
            </w:pPr>
            <w:r w:rsidRPr="006503EA">
              <w:rPr>
                <w:rFonts w:eastAsia="Times New Roman"/>
                <w:color w:val="000000"/>
                <w:sz w:val="22"/>
                <w:szCs w:val="22"/>
                <w:lang w:eastAsia="en-GB"/>
              </w:rPr>
              <w:t>The approach requires robust auditing of</w:t>
            </w:r>
            <w:r w:rsidR="00B17009">
              <w:rPr>
                <w:rFonts w:eastAsia="Times New Roman"/>
                <w:color w:val="000000"/>
                <w:sz w:val="22"/>
                <w:szCs w:val="22"/>
                <w:lang w:eastAsia="en-GB"/>
              </w:rPr>
              <w:t xml:space="preserve"> output</w:t>
            </w:r>
            <w:r w:rsidRPr="006503EA">
              <w:rPr>
                <w:rFonts w:eastAsia="Times New Roman"/>
                <w:color w:val="000000"/>
                <w:sz w:val="22"/>
                <w:szCs w:val="22"/>
                <w:lang w:eastAsia="en-GB"/>
              </w:rPr>
              <w:t xml:space="preserve"> submission to different units or else there could be instances where outputs are submitted to multiple Units based on a claim of interdisciplinarity through a te</w:t>
            </w:r>
            <w:r w:rsidR="00B65827" w:rsidRPr="006503EA">
              <w:rPr>
                <w:rFonts w:eastAsia="Times New Roman"/>
                <w:color w:val="000000"/>
                <w:sz w:val="22"/>
                <w:szCs w:val="22"/>
                <w:lang w:eastAsia="en-GB"/>
              </w:rPr>
              <w:t>nuous</w:t>
            </w:r>
            <w:r w:rsidRPr="006503EA">
              <w:rPr>
                <w:rFonts w:eastAsia="Times New Roman"/>
                <w:color w:val="000000"/>
                <w:sz w:val="22"/>
                <w:szCs w:val="22"/>
                <w:lang w:eastAsia="en-GB"/>
              </w:rPr>
              <w:t xml:space="preserve"> link to a descriptor. </w:t>
            </w:r>
            <w:r w:rsidR="00B17009">
              <w:rPr>
                <w:rFonts w:eastAsia="Times New Roman"/>
                <w:color w:val="000000"/>
                <w:sz w:val="22"/>
                <w:szCs w:val="22"/>
                <w:lang w:eastAsia="en-GB"/>
              </w:rPr>
              <w:br/>
            </w:r>
            <w:r w:rsidRPr="006503EA">
              <w:rPr>
                <w:rFonts w:eastAsia="Times New Roman"/>
                <w:color w:val="000000"/>
                <w:sz w:val="22"/>
                <w:szCs w:val="22"/>
                <w:lang w:eastAsia="en-GB"/>
              </w:rPr>
              <w:t>The volume of outputs cross</w:t>
            </w:r>
            <w:r w:rsidR="00B17009">
              <w:rPr>
                <w:rFonts w:eastAsia="Times New Roman"/>
                <w:color w:val="000000"/>
                <w:sz w:val="22"/>
                <w:szCs w:val="22"/>
                <w:lang w:eastAsia="en-GB"/>
              </w:rPr>
              <w:t>-</w:t>
            </w:r>
            <w:r w:rsidRPr="006503EA">
              <w:rPr>
                <w:rFonts w:eastAsia="Times New Roman"/>
                <w:color w:val="000000"/>
                <w:sz w:val="22"/>
                <w:szCs w:val="22"/>
                <w:lang w:eastAsia="en-GB"/>
              </w:rPr>
              <w:t>referred by panels and/or considered as interdisciplinar</w:t>
            </w:r>
            <w:r w:rsidR="00571A37">
              <w:rPr>
                <w:rFonts w:eastAsia="Times New Roman"/>
                <w:color w:val="000000"/>
                <w:sz w:val="22"/>
                <w:szCs w:val="22"/>
                <w:lang w:eastAsia="en-GB"/>
              </w:rPr>
              <w:t xml:space="preserve">y </w:t>
            </w:r>
            <w:r w:rsidRPr="006503EA">
              <w:rPr>
                <w:rFonts w:eastAsia="Times New Roman"/>
                <w:color w:val="000000"/>
                <w:sz w:val="22"/>
                <w:szCs w:val="22"/>
                <w:lang w:eastAsia="en-GB"/>
              </w:rPr>
              <w:t>in REF2021 shows how easy it is for an output to match many descriptors because some are all-encompassing.</w:t>
            </w:r>
            <w:r w:rsidRPr="006503EA">
              <w:rPr>
                <w:rFonts w:eastAsia="Times New Roman"/>
                <w:color w:val="000000"/>
                <w:sz w:val="22"/>
                <w:szCs w:val="22"/>
                <w:lang w:eastAsia="en-GB"/>
              </w:rPr>
              <w:br/>
            </w:r>
          </w:p>
          <w:p w14:paraId="04C8813B" w14:textId="36E656F4" w:rsidR="00237B28" w:rsidRPr="006503EA" w:rsidRDefault="008A3926" w:rsidP="00237B28">
            <w:pPr>
              <w:pStyle w:val="ListParagraph"/>
              <w:numPr>
                <w:ilvl w:val="0"/>
                <w:numId w:val="15"/>
              </w:numPr>
              <w:spacing w:after="0" w:line="240" w:lineRule="auto"/>
              <w:rPr>
                <w:rFonts w:eastAsia="Times New Roman"/>
                <w:color w:val="000000"/>
                <w:lang w:eastAsia="en-GB"/>
              </w:rPr>
            </w:pPr>
            <w:r w:rsidRPr="006503EA">
              <w:rPr>
                <w:rFonts w:eastAsia="Times New Roman"/>
                <w:color w:val="000000"/>
                <w:sz w:val="22"/>
                <w:szCs w:val="22"/>
                <w:lang w:eastAsia="en-GB"/>
              </w:rPr>
              <w:t xml:space="preserve">We welcome the continued </w:t>
            </w:r>
            <w:r w:rsidR="00B17009">
              <w:rPr>
                <w:rFonts w:eastAsia="Times New Roman"/>
                <w:color w:val="000000"/>
                <w:sz w:val="22"/>
                <w:szCs w:val="22"/>
                <w:lang w:eastAsia="en-GB"/>
              </w:rPr>
              <w:t xml:space="preserve">use of </w:t>
            </w:r>
            <w:r w:rsidRPr="006503EA">
              <w:rPr>
                <w:rFonts w:eastAsia="Times New Roman"/>
                <w:color w:val="000000"/>
                <w:sz w:val="22"/>
                <w:szCs w:val="22"/>
                <w:lang w:eastAsia="en-GB"/>
              </w:rPr>
              <w:t xml:space="preserve">auditing </w:t>
            </w:r>
            <w:r w:rsidR="00B17009">
              <w:rPr>
                <w:rFonts w:eastAsia="Times New Roman"/>
                <w:color w:val="000000"/>
                <w:sz w:val="22"/>
                <w:szCs w:val="22"/>
                <w:lang w:eastAsia="en-GB"/>
              </w:rPr>
              <w:t>for</w:t>
            </w:r>
            <w:r w:rsidR="00980814" w:rsidRPr="006503EA">
              <w:rPr>
                <w:rFonts w:eastAsia="Times New Roman"/>
                <w:color w:val="000000"/>
                <w:sz w:val="22"/>
                <w:szCs w:val="22"/>
                <w:lang w:eastAsia="en-GB"/>
              </w:rPr>
              <w:t xml:space="preserve"> a</w:t>
            </w:r>
            <w:r w:rsidRPr="006503EA">
              <w:rPr>
                <w:rFonts w:eastAsia="Times New Roman"/>
                <w:color w:val="000000"/>
                <w:sz w:val="22"/>
                <w:szCs w:val="22"/>
                <w:lang w:eastAsia="en-GB"/>
              </w:rPr>
              <w:t xml:space="preserve"> ‘substantive contribution’ as was used in REF 2021</w:t>
            </w:r>
            <w:r w:rsidR="00980814" w:rsidRPr="006503EA">
              <w:rPr>
                <w:rFonts w:eastAsia="Times New Roman"/>
                <w:color w:val="000000"/>
                <w:sz w:val="22"/>
                <w:szCs w:val="22"/>
                <w:lang w:eastAsia="en-GB"/>
              </w:rPr>
              <w:t xml:space="preserve"> in which authors have a clear, evident, and direct contribution, </w:t>
            </w:r>
            <w:r w:rsidR="00B17009">
              <w:rPr>
                <w:rFonts w:eastAsia="Times New Roman"/>
                <w:color w:val="000000"/>
                <w:sz w:val="22"/>
                <w:szCs w:val="22"/>
                <w:lang w:eastAsia="en-GB"/>
              </w:rPr>
              <w:t xml:space="preserve">to an output, </w:t>
            </w:r>
            <w:r w:rsidRPr="006503EA">
              <w:rPr>
                <w:rFonts w:eastAsia="Times New Roman"/>
                <w:color w:val="000000"/>
                <w:sz w:val="22"/>
                <w:szCs w:val="22"/>
                <w:lang w:eastAsia="en-GB"/>
              </w:rPr>
              <w:t xml:space="preserve">but </w:t>
            </w:r>
            <w:r w:rsidR="00980814" w:rsidRPr="006503EA">
              <w:rPr>
                <w:rFonts w:eastAsia="Times New Roman"/>
                <w:color w:val="000000"/>
                <w:sz w:val="22"/>
                <w:szCs w:val="22"/>
                <w:lang w:eastAsia="en-GB"/>
              </w:rPr>
              <w:t xml:space="preserve">we </w:t>
            </w:r>
            <w:r w:rsidRPr="006503EA">
              <w:rPr>
                <w:rFonts w:eastAsia="Times New Roman"/>
                <w:color w:val="000000"/>
                <w:sz w:val="22"/>
                <w:szCs w:val="22"/>
                <w:lang w:eastAsia="en-GB"/>
              </w:rPr>
              <w:t xml:space="preserve">recognise this is somewhat at odds with the de-coupling </w:t>
            </w:r>
            <w:r w:rsidR="00980814" w:rsidRPr="006503EA">
              <w:rPr>
                <w:rFonts w:eastAsia="Times New Roman"/>
                <w:color w:val="000000"/>
                <w:sz w:val="22"/>
                <w:szCs w:val="22"/>
                <w:lang w:eastAsia="en-GB"/>
              </w:rPr>
              <w:t xml:space="preserve">of </w:t>
            </w:r>
            <w:r w:rsidRPr="006503EA">
              <w:rPr>
                <w:rFonts w:eastAsia="Times New Roman"/>
                <w:color w:val="000000"/>
                <w:sz w:val="22"/>
                <w:szCs w:val="22"/>
                <w:lang w:eastAsia="en-GB"/>
              </w:rPr>
              <w:t>staff principle.</w:t>
            </w:r>
            <w:r w:rsidR="00237B28" w:rsidRPr="006503EA">
              <w:rPr>
                <w:rFonts w:eastAsia="Times New Roman"/>
                <w:color w:val="000000"/>
                <w:lang w:eastAsia="en-GB"/>
              </w:rPr>
              <w:br/>
            </w:r>
          </w:p>
        </w:tc>
      </w:tr>
    </w:tbl>
    <w:p w14:paraId="26A8E9E7" w14:textId="77777777" w:rsidR="00241711" w:rsidRPr="006503EA" w:rsidRDefault="00241711">
      <w:pPr>
        <w:rPr>
          <w:rFonts w:ascii="Arial" w:hAnsi="Arial" w:cs="Arial"/>
        </w:rPr>
      </w:pPr>
    </w:p>
    <w:p w14:paraId="4D91F27A" w14:textId="77777777" w:rsidR="006503EA" w:rsidRDefault="006503EA">
      <w:pPr>
        <w:rPr>
          <w:rFonts w:ascii="Arial" w:hAnsi="Arial" w:cs="Arial"/>
          <w:b/>
          <w:bCs/>
        </w:rPr>
      </w:pPr>
    </w:p>
    <w:p w14:paraId="4AA3A793" w14:textId="77777777" w:rsidR="006503EA" w:rsidRDefault="006503EA">
      <w:pPr>
        <w:rPr>
          <w:rFonts w:ascii="Arial" w:hAnsi="Arial" w:cs="Arial"/>
          <w:b/>
          <w:bCs/>
        </w:rPr>
      </w:pPr>
    </w:p>
    <w:p w14:paraId="0AF29FF3" w14:textId="73101287" w:rsidR="00C9251D" w:rsidRPr="006503EA" w:rsidRDefault="00C9251D">
      <w:pPr>
        <w:rPr>
          <w:rFonts w:ascii="Arial" w:hAnsi="Arial" w:cs="Arial"/>
          <w:b/>
          <w:bCs/>
        </w:rPr>
      </w:pPr>
      <w:r w:rsidRPr="006503EA">
        <w:rPr>
          <w:rFonts w:ascii="Arial" w:hAnsi="Arial" w:cs="Arial"/>
          <w:b/>
          <w:bCs/>
        </w:rPr>
        <w:t xml:space="preserve">Impact Case Studies </w:t>
      </w:r>
    </w:p>
    <w:p w14:paraId="749A172C" w14:textId="1705BC8D" w:rsidR="00C9251D" w:rsidRPr="006503EA" w:rsidRDefault="00C9251D">
      <w:pPr>
        <w:rPr>
          <w:rFonts w:ascii="Arial" w:hAnsi="Arial" w:cs="Arial"/>
        </w:rPr>
      </w:pPr>
      <w:r w:rsidRPr="006503EA">
        <w:rPr>
          <w:rFonts w:ascii="Arial" w:hAnsi="Arial" w:cs="Arial"/>
        </w:rPr>
        <w:lastRenderedPageBreak/>
        <w:t>The funding bodies propose to reduce the minimum number of impact case studies required to one. They also propose to revise the boundaries, including splitting the lowest boundary (Annex A, paragraph 33-37). The funding bodies are particularly keen to hear the views of institutions with small units.</w:t>
      </w:r>
    </w:p>
    <w:tbl>
      <w:tblPr>
        <w:tblStyle w:val="TableGrid"/>
        <w:tblW w:w="0" w:type="auto"/>
        <w:tblLook w:val="04A0" w:firstRow="1" w:lastRow="0" w:firstColumn="1" w:lastColumn="0" w:noHBand="0" w:noVBand="1"/>
      </w:tblPr>
      <w:tblGrid>
        <w:gridCol w:w="9016"/>
      </w:tblGrid>
      <w:tr w:rsidR="006B2939" w:rsidRPr="006503EA" w14:paraId="20EEC9B4" w14:textId="77777777" w:rsidTr="006B2939">
        <w:trPr>
          <w:trHeight w:val="600"/>
        </w:trPr>
        <w:tc>
          <w:tcPr>
            <w:tcW w:w="9016" w:type="dxa"/>
            <w:hideMark/>
          </w:tcPr>
          <w:p w14:paraId="7347B4C4" w14:textId="343CAEAC" w:rsidR="006B2939" w:rsidRPr="006503EA" w:rsidRDefault="00C9251D">
            <w:pPr>
              <w:rPr>
                <w:rFonts w:ascii="Arial" w:hAnsi="Arial" w:cs="Arial"/>
                <w:b/>
                <w:bCs/>
              </w:rPr>
            </w:pPr>
            <w:r w:rsidRPr="006503EA">
              <w:rPr>
                <w:rFonts w:ascii="Arial" w:hAnsi="Arial" w:cs="Arial"/>
                <w:b/>
                <w:bCs/>
              </w:rPr>
              <w:t xml:space="preserve">14. </w:t>
            </w:r>
            <w:r w:rsidR="006B2939" w:rsidRPr="006503EA">
              <w:rPr>
                <w:rFonts w:ascii="Arial" w:hAnsi="Arial" w:cs="Arial"/>
                <w:b/>
                <w:bCs/>
              </w:rPr>
              <w:t>What will be the impact of reducing the minimum number to one?</w:t>
            </w:r>
          </w:p>
        </w:tc>
      </w:tr>
      <w:tr w:rsidR="00237B28" w:rsidRPr="006503EA" w14:paraId="5C253AF3" w14:textId="77777777" w:rsidTr="006503EA">
        <w:trPr>
          <w:trHeight w:val="600"/>
        </w:trPr>
        <w:tc>
          <w:tcPr>
            <w:tcW w:w="9016" w:type="dxa"/>
            <w:tcBorders>
              <w:bottom w:val="single" w:sz="4" w:space="0" w:color="auto"/>
            </w:tcBorders>
            <w:shd w:val="clear" w:color="auto" w:fill="auto"/>
          </w:tcPr>
          <w:p w14:paraId="4C1F0909" w14:textId="29E18416" w:rsidR="00237B28" w:rsidRPr="006503EA" w:rsidRDefault="00237B28" w:rsidP="00237B28">
            <w:pPr>
              <w:pStyle w:val="ListParagraph"/>
              <w:numPr>
                <w:ilvl w:val="0"/>
                <w:numId w:val="16"/>
              </w:numPr>
              <w:spacing w:after="0" w:line="240" w:lineRule="auto"/>
              <w:rPr>
                <w:sz w:val="22"/>
                <w:szCs w:val="22"/>
              </w:rPr>
            </w:pPr>
            <w:r w:rsidRPr="006503EA">
              <w:rPr>
                <w:sz w:val="22"/>
                <w:szCs w:val="22"/>
              </w:rPr>
              <w:t xml:space="preserve">We welcome the change to the minimum threshold for smaller units in association with the introduction of the narrative statement. </w:t>
            </w:r>
            <w:r w:rsidRPr="006503EA">
              <w:rPr>
                <w:sz w:val="22"/>
                <w:szCs w:val="22"/>
              </w:rPr>
              <w:br/>
            </w:r>
          </w:p>
          <w:p w14:paraId="38970006" w14:textId="0EA659FC" w:rsidR="00237B28" w:rsidRPr="006503EA" w:rsidRDefault="00237B28" w:rsidP="00237B28">
            <w:pPr>
              <w:pStyle w:val="ListParagraph"/>
              <w:numPr>
                <w:ilvl w:val="0"/>
                <w:numId w:val="16"/>
              </w:numPr>
              <w:rPr>
                <w:sz w:val="22"/>
                <w:szCs w:val="22"/>
              </w:rPr>
            </w:pPr>
            <w:r w:rsidRPr="006503EA">
              <w:rPr>
                <w:sz w:val="22"/>
                <w:szCs w:val="22"/>
              </w:rPr>
              <w:t xml:space="preserve">There is a risk that staff in smaller </w:t>
            </w:r>
            <w:r w:rsidR="00571A37">
              <w:rPr>
                <w:sz w:val="22"/>
                <w:szCs w:val="22"/>
              </w:rPr>
              <w:t xml:space="preserve">units </w:t>
            </w:r>
            <w:r w:rsidRPr="006503EA">
              <w:rPr>
                <w:sz w:val="22"/>
                <w:szCs w:val="22"/>
              </w:rPr>
              <w:t>are discouraged from working on impact</w:t>
            </w:r>
            <w:r w:rsidR="00115DD5">
              <w:rPr>
                <w:sz w:val="22"/>
                <w:szCs w:val="22"/>
              </w:rPr>
              <w:t xml:space="preserve">, </w:t>
            </w:r>
            <w:r w:rsidRPr="006503EA">
              <w:rPr>
                <w:sz w:val="22"/>
                <w:szCs w:val="22"/>
              </w:rPr>
              <w:t>simply because only one impact case study is required</w:t>
            </w:r>
            <w:r w:rsidR="00115DD5">
              <w:rPr>
                <w:sz w:val="22"/>
                <w:szCs w:val="22"/>
              </w:rPr>
              <w:t xml:space="preserve"> for submission</w:t>
            </w:r>
            <w:r w:rsidRPr="006503EA">
              <w:rPr>
                <w:sz w:val="22"/>
                <w:szCs w:val="22"/>
              </w:rPr>
              <w:t xml:space="preserve">, however </w:t>
            </w:r>
            <w:r w:rsidR="00115DD5">
              <w:rPr>
                <w:sz w:val="22"/>
                <w:szCs w:val="22"/>
              </w:rPr>
              <w:t xml:space="preserve">we feel that </w:t>
            </w:r>
            <w:r w:rsidRPr="006503EA">
              <w:rPr>
                <w:sz w:val="22"/>
                <w:szCs w:val="22"/>
              </w:rPr>
              <w:t xml:space="preserve">this is effectively countered by the introduction of narrative statement which encourages </w:t>
            </w:r>
            <w:r w:rsidR="00115DD5">
              <w:rPr>
                <w:sz w:val="22"/>
                <w:szCs w:val="22"/>
              </w:rPr>
              <w:t>institutions</w:t>
            </w:r>
            <w:r w:rsidRPr="006503EA">
              <w:rPr>
                <w:sz w:val="22"/>
                <w:szCs w:val="22"/>
              </w:rPr>
              <w:t xml:space="preserve"> to facilitate </w:t>
            </w:r>
            <w:r w:rsidR="00115DD5">
              <w:rPr>
                <w:sz w:val="22"/>
                <w:szCs w:val="22"/>
              </w:rPr>
              <w:t xml:space="preserve">and invest in </w:t>
            </w:r>
            <w:r w:rsidRPr="006503EA">
              <w:rPr>
                <w:sz w:val="22"/>
                <w:szCs w:val="22"/>
              </w:rPr>
              <w:t xml:space="preserve">broader impact and engagement activities, which do not necessarily conform to </w:t>
            </w:r>
            <w:r w:rsidR="004A0E96">
              <w:rPr>
                <w:sz w:val="22"/>
                <w:szCs w:val="22"/>
              </w:rPr>
              <w:t>the</w:t>
            </w:r>
            <w:r w:rsidR="00115DD5">
              <w:rPr>
                <w:sz w:val="22"/>
                <w:szCs w:val="22"/>
              </w:rPr>
              <w:t xml:space="preserve"> REF</w:t>
            </w:r>
            <w:r w:rsidRPr="006503EA">
              <w:rPr>
                <w:sz w:val="22"/>
                <w:szCs w:val="22"/>
              </w:rPr>
              <w:t xml:space="preserve"> impact case study format.</w:t>
            </w:r>
          </w:p>
          <w:p w14:paraId="49D71AA0" w14:textId="13E8C1AC" w:rsidR="00237B28" w:rsidRPr="006503EA" w:rsidRDefault="00237B28" w:rsidP="00237B28">
            <w:pPr>
              <w:ind w:left="360"/>
              <w:rPr>
                <w:rFonts w:ascii="Arial" w:hAnsi="Arial" w:cs="Arial"/>
                <w:b/>
                <w:bCs/>
              </w:rPr>
            </w:pPr>
          </w:p>
        </w:tc>
      </w:tr>
      <w:tr w:rsidR="006503EA" w:rsidRPr="006503EA" w14:paraId="139DC64E" w14:textId="77777777" w:rsidTr="006503EA">
        <w:trPr>
          <w:trHeight w:val="600"/>
        </w:trPr>
        <w:tc>
          <w:tcPr>
            <w:tcW w:w="9016" w:type="dxa"/>
            <w:tcBorders>
              <w:top w:val="single" w:sz="4" w:space="0" w:color="auto"/>
              <w:left w:val="nil"/>
              <w:bottom w:val="single" w:sz="4" w:space="0" w:color="auto"/>
              <w:right w:val="nil"/>
            </w:tcBorders>
          </w:tcPr>
          <w:p w14:paraId="35FBB00D" w14:textId="77777777" w:rsidR="006503EA" w:rsidRPr="006503EA" w:rsidRDefault="006503EA" w:rsidP="006B2939">
            <w:pPr>
              <w:rPr>
                <w:rFonts w:ascii="Arial" w:eastAsia="Times New Roman" w:hAnsi="Arial" w:cs="Arial"/>
                <w:b/>
                <w:bCs/>
                <w:kern w:val="0"/>
                <w:lang w:eastAsia="en-GB"/>
                <w14:ligatures w14:val="none"/>
              </w:rPr>
            </w:pPr>
          </w:p>
        </w:tc>
      </w:tr>
      <w:tr w:rsidR="006B2939" w:rsidRPr="006503EA" w14:paraId="53D7EE54" w14:textId="77777777" w:rsidTr="006503EA">
        <w:trPr>
          <w:trHeight w:val="600"/>
        </w:trPr>
        <w:tc>
          <w:tcPr>
            <w:tcW w:w="9016" w:type="dxa"/>
            <w:tcBorders>
              <w:top w:val="single" w:sz="4" w:space="0" w:color="auto"/>
            </w:tcBorders>
            <w:hideMark/>
          </w:tcPr>
          <w:p w14:paraId="3C20DD56" w14:textId="19124687" w:rsidR="006B2939" w:rsidRPr="006503EA" w:rsidRDefault="00C9251D" w:rsidP="006B2939">
            <w:pPr>
              <w:rPr>
                <w:rFonts w:ascii="Arial" w:eastAsia="Times New Roman" w:hAnsi="Arial" w:cs="Arial"/>
                <w:b/>
                <w:bCs/>
                <w:color w:val="FFFFFF"/>
                <w:kern w:val="0"/>
                <w:lang w:eastAsia="en-GB"/>
                <w14:ligatures w14:val="none"/>
              </w:rPr>
            </w:pPr>
            <w:r w:rsidRPr="006503EA">
              <w:rPr>
                <w:rFonts w:ascii="Arial" w:eastAsia="Times New Roman" w:hAnsi="Arial" w:cs="Arial"/>
                <w:b/>
                <w:bCs/>
                <w:kern w:val="0"/>
                <w:lang w:eastAsia="en-GB"/>
                <w14:ligatures w14:val="none"/>
              </w:rPr>
              <w:t xml:space="preserve">15. </w:t>
            </w:r>
            <w:r w:rsidR="006B2939" w:rsidRPr="006503EA">
              <w:rPr>
                <w:rFonts w:ascii="Arial" w:eastAsia="Times New Roman" w:hAnsi="Arial" w:cs="Arial"/>
                <w:b/>
                <w:bCs/>
                <w:kern w:val="0"/>
                <w:lang w:eastAsia="en-GB"/>
                <w14:ligatures w14:val="none"/>
              </w:rPr>
              <w:t>What will be the impact of revising the thresholds between case study requirements?</w:t>
            </w:r>
          </w:p>
        </w:tc>
      </w:tr>
      <w:tr w:rsidR="00237B28" w:rsidRPr="006503EA" w14:paraId="405BC712" w14:textId="77777777" w:rsidTr="006503EA">
        <w:trPr>
          <w:trHeight w:val="600"/>
        </w:trPr>
        <w:tc>
          <w:tcPr>
            <w:tcW w:w="9016" w:type="dxa"/>
            <w:shd w:val="clear" w:color="auto" w:fill="auto"/>
          </w:tcPr>
          <w:p w14:paraId="3F9B3562" w14:textId="59AB95BF" w:rsidR="00237B28" w:rsidRPr="006503EA" w:rsidRDefault="00237B28" w:rsidP="00237B28">
            <w:pPr>
              <w:pStyle w:val="ListParagraph"/>
              <w:numPr>
                <w:ilvl w:val="0"/>
                <w:numId w:val="17"/>
              </w:numPr>
              <w:spacing w:after="0" w:line="240" w:lineRule="auto"/>
              <w:rPr>
                <w:rFonts w:eastAsia="Times New Roman"/>
                <w:sz w:val="22"/>
                <w:szCs w:val="22"/>
                <w:lang w:eastAsia="en-GB"/>
              </w:rPr>
            </w:pPr>
            <w:r w:rsidRPr="006503EA">
              <w:rPr>
                <w:rFonts w:eastAsia="Times New Roman"/>
                <w:sz w:val="22"/>
                <w:szCs w:val="22"/>
                <w:lang w:eastAsia="en-GB"/>
              </w:rPr>
              <w:t xml:space="preserve">We welcome the change to threshold boundaries, so long as auditing of HESA </w:t>
            </w:r>
            <w:r w:rsidR="0016788C">
              <w:rPr>
                <w:rFonts w:eastAsia="Times New Roman"/>
                <w:sz w:val="22"/>
                <w:szCs w:val="22"/>
                <w:lang w:eastAsia="en-GB"/>
              </w:rPr>
              <w:t xml:space="preserve">data </w:t>
            </w:r>
            <w:r w:rsidRPr="006503EA">
              <w:rPr>
                <w:rFonts w:eastAsia="Times New Roman"/>
                <w:sz w:val="22"/>
                <w:szCs w:val="22"/>
                <w:lang w:eastAsia="en-GB"/>
              </w:rPr>
              <w:t>UoA alignment is robust</w:t>
            </w:r>
            <w:r w:rsidR="00B17732" w:rsidRPr="006503EA">
              <w:rPr>
                <w:rFonts w:eastAsia="Times New Roman"/>
                <w:sz w:val="22"/>
                <w:szCs w:val="22"/>
                <w:lang w:eastAsia="en-GB"/>
              </w:rPr>
              <w:t>,</w:t>
            </w:r>
            <w:r w:rsidRPr="006503EA">
              <w:rPr>
                <w:rFonts w:eastAsia="Times New Roman"/>
                <w:sz w:val="22"/>
                <w:szCs w:val="22"/>
                <w:lang w:eastAsia="en-GB"/>
              </w:rPr>
              <w:t xml:space="preserve"> to avoid artificial volume</w:t>
            </w:r>
            <w:r w:rsidR="00B17732" w:rsidRPr="006503EA">
              <w:rPr>
                <w:rFonts w:eastAsia="Times New Roman"/>
                <w:sz w:val="22"/>
                <w:szCs w:val="22"/>
                <w:lang w:eastAsia="en-GB"/>
              </w:rPr>
              <w:t>-contributing</w:t>
            </w:r>
            <w:r w:rsidRPr="006503EA">
              <w:rPr>
                <w:rFonts w:eastAsia="Times New Roman"/>
                <w:sz w:val="22"/>
                <w:szCs w:val="22"/>
                <w:lang w:eastAsia="en-GB"/>
              </w:rPr>
              <w:t xml:space="preserve"> modelling, simply to remain within thresholds.</w:t>
            </w:r>
          </w:p>
        </w:tc>
      </w:tr>
    </w:tbl>
    <w:p w14:paraId="0BDE172B" w14:textId="77777777" w:rsidR="006B2939" w:rsidRPr="006503EA" w:rsidRDefault="006B2939">
      <w:pPr>
        <w:rPr>
          <w:rFonts w:ascii="Arial" w:hAnsi="Arial" w:cs="Arial"/>
        </w:rPr>
      </w:pPr>
    </w:p>
    <w:tbl>
      <w:tblPr>
        <w:tblStyle w:val="TableGrid"/>
        <w:tblW w:w="0" w:type="auto"/>
        <w:tblLook w:val="04A0" w:firstRow="1" w:lastRow="0" w:firstColumn="1" w:lastColumn="0" w:noHBand="0" w:noVBand="1"/>
      </w:tblPr>
      <w:tblGrid>
        <w:gridCol w:w="9016"/>
      </w:tblGrid>
      <w:tr w:rsidR="00E725F4" w:rsidRPr="006503EA" w14:paraId="33B48881" w14:textId="77777777" w:rsidTr="005C66D4">
        <w:trPr>
          <w:trHeight w:val="600"/>
        </w:trPr>
        <w:tc>
          <w:tcPr>
            <w:tcW w:w="9016" w:type="dxa"/>
            <w:hideMark/>
          </w:tcPr>
          <w:p w14:paraId="2077EC64" w14:textId="2BE4DC1E" w:rsidR="00E725F4" w:rsidRPr="006503EA" w:rsidRDefault="00C9251D">
            <w:pPr>
              <w:rPr>
                <w:rFonts w:ascii="Arial" w:hAnsi="Arial" w:cs="Arial"/>
                <w:b/>
                <w:bCs/>
              </w:rPr>
            </w:pPr>
            <w:r w:rsidRPr="006503EA">
              <w:rPr>
                <w:rFonts w:ascii="Arial" w:hAnsi="Arial" w:cs="Arial"/>
                <w:b/>
                <w:bCs/>
              </w:rPr>
              <w:t xml:space="preserve">16. </w:t>
            </w:r>
            <w:r w:rsidR="00E725F4" w:rsidRPr="006503EA">
              <w:rPr>
                <w:rFonts w:ascii="Arial" w:hAnsi="Arial" w:cs="Arial"/>
                <w:b/>
                <w:bCs/>
              </w:rPr>
              <w:t>To what extent do you support weighting the impact statement on a sliding scale in proportion to the number of case studies submitted?</w:t>
            </w:r>
          </w:p>
        </w:tc>
      </w:tr>
      <w:tr w:rsidR="00B17732" w:rsidRPr="006503EA" w14:paraId="362FB8CB" w14:textId="77777777" w:rsidTr="006503EA">
        <w:trPr>
          <w:trHeight w:val="600"/>
        </w:trPr>
        <w:tc>
          <w:tcPr>
            <w:tcW w:w="9016" w:type="dxa"/>
            <w:shd w:val="clear" w:color="auto" w:fill="auto"/>
          </w:tcPr>
          <w:p w14:paraId="57DB4A35" w14:textId="2C14000F" w:rsidR="00B17732" w:rsidRPr="006503EA" w:rsidRDefault="00B17732" w:rsidP="00B17732">
            <w:pPr>
              <w:pStyle w:val="ListParagraph"/>
              <w:numPr>
                <w:ilvl w:val="0"/>
                <w:numId w:val="17"/>
              </w:numPr>
              <w:spacing w:after="0" w:line="240" w:lineRule="auto"/>
              <w:rPr>
                <w:sz w:val="22"/>
                <w:szCs w:val="22"/>
              </w:rPr>
            </w:pPr>
            <w:r w:rsidRPr="006503EA">
              <w:rPr>
                <w:sz w:val="22"/>
                <w:szCs w:val="22"/>
              </w:rPr>
              <w:t>We welcome the opportunity for smaller units with one x ICS to have an opportunity to describe broader impact activity in the unit, but 50% is a high weighting for th</w:t>
            </w:r>
            <w:r w:rsidR="0016788C">
              <w:rPr>
                <w:sz w:val="22"/>
                <w:szCs w:val="22"/>
              </w:rPr>
              <w:t xml:space="preserve">e </w:t>
            </w:r>
            <w:r w:rsidRPr="006503EA">
              <w:rPr>
                <w:sz w:val="22"/>
                <w:szCs w:val="22"/>
              </w:rPr>
              <w:t xml:space="preserve">statement.  Small units could inherently have a weaker impact/ engagement strategy simply due to the cohort size but in this </w:t>
            </w:r>
            <w:r w:rsidR="004C7D7E" w:rsidRPr="006503EA">
              <w:rPr>
                <w:sz w:val="22"/>
                <w:szCs w:val="22"/>
              </w:rPr>
              <w:t>model,</w:t>
            </w:r>
            <w:r w:rsidRPr="006503EA">
              <w:rPr>
                <w:sz w:val="22"/>
                <w:szCs w:val="22"/>
              </w:rPr>
              <w:t xml:space="preserve"> they might be penalised by failing to demonstrate a thriving impact culture</w:t>
            </w:r>
            <w:r w:rsidR="004C7D7E" w:rsidRPr="006503EA">
              <w:rPr>
                <w:sz w:val="22"/>
                <w:szCs w:val="22"/>
              </w:rPr>
              <w:t>, despite generating a strong example of impact</w:t>
            </w:r>
            <w:r w:rsidRPr="006503EA">
              <w:rPr>
                <w:sz w:val="22"/>
                <w:szCs w:val="22"/>
              </w:rPr>
              <w:t>.</w:t>
            </w:r>
            <w:r w:rsidRPr="006503EA">
              <w:rPr>
                <w:sz w:val="22"/>
                <w:szCs w:val="22"/>
              </w:rPr>
              <w:br/>
            </w:r>
          </w:p>
          <w:p w14:paraId="09D921C5" w14:textId="69F13896" w:rsidR="0016788C" w:rsidRPr="0016788C" w:rsidRDefault="00B17732" w:rsidP="00B17732">
            <w:pPr>
              <w:pStyle w:val="ListParagraph"/>
              <w:numPr>
                <w:ilvl w:val="0"/>
                <w:numId w:val="17"/>
              </w:numPr>
              <w:spacing w:after="0" w:line="240" w:lineRule="auto"/>
            </w:pPr>
            <w:r w:rsidRPr="006503EA">
              <w:rPr>
                <w:sz w:val="22"/>
                <w:szCs w:val="22"/>
              </w:rPr>
              <w:t xml:space="preserve">The minimum of 20% for the statement for the highest number of ICS also seems high. Further details needed on the content of the statement would make it easier to judge.  </w:t>
            </w:r>
            <w:r w:rsidR="0016788C">
              <w:rPr>
                <w:sz w:val="22"/>
                <w:szCs w:val="22"/>
              </w:rPr>
              <w:br/>
            </w:r>
          </w:p>
          <w:p w14:paraId="3718317F" w14:textId="58BB9A00" w:rsidR="00B17732" w:rsidRPr="006503EA" w:rsidRDefault="0016788C" w:rsidP="00B17732">
            <w:pPr>
              <w:pStyle w:val="ListParagraph"/>
              <w:numPr>
                <w:ilvl w:val="0"/>
                <w:numId w:val="17"/>
              </w:numPr>
              <w:spacing w:after="0" w:line="240" w:lineRule="auto"/>
            </w:pPr>
            <w:r>
              <w:rPr>
                <w:sz w:val="22"/>
                <w:szCs w:val="22"/>
              </w:rPr>
              <w:t>Considering the newness of this narrative, i</w:t>
            </w:r>
            <w:r w:rsidR="00B17732" w:rsidRPr="006503EA">
              <w:rPr>
                <w:sz w:val="22"/>
                <w:szCs w:val="22"/>
              </w:rPr>
              <w:t>t might be appropriate to pilot the statement at 10% for all units in this REF</w:t>
            </w:r>
            <w:r>
              <w:rPr>
                <w:sz w:val="22"/>
                <w:szCs w:val="22"/>
              </w:rPr>
              <w:t xml:space="preserve"> exercise</w:t>
            </w:r>
            <w:r w:rsidR="00B17732" w:rsidRPr="006503EA">
              <w:rPr>
                <w:sz w:val="22"/>
                <w:szCs w:val="22"/>
              </w:rPr>
              <w:t xml:space="preserve"> and increase</w:t>
            </w:r>
            <w:r>
              <w:rPr>
                <w:sz w:val="22"/>
                <w:szCs w:val="22"/>
              </w:rPr>
              <w:t xml:space="preserve"> the weighting</w:t>
            </w:r>
            <w:r w:rsidR="00B17732" w:rsidRPr="006503EA">
              <w:rPr>
                <w:sz w:val="22"/>
                <w:szCs w:val="22"/>
              </w:rPr>
              <w:t xml:space="preserve"> in </w:t>
            </w:r>
            <w:r>
              <w:rPr>
                <w:sz w:val="22"/>
                <w:szCs w:val="22"/>
              </w:rPr>
              <w:t xml:space="preserve">a </w:t>
            </w:r>
            <w:r w:rsidR="00B17732" w:rsidRPr="006503EA">
              <w:rPr>
                <w:sz w:val="22"/>
                <w:szCs w:val="22"/>
              </w:rPr>
              <w:t>future REF, once it is embedded and understood</w:t>
            </w:r>
            <w:r>
              <w:rPr>
                <w:sz w:val="22"/>
                <w:szCs w:val="22"/>
              </w:rPr>
              <w:t xml:space="preserve"> by institutions and the panel reviewers.</w:t>
            </w:r>
          </w:p>
        </w:tc>
      </w:tr>
    </w:tbl>
    <w:p w14:paraId="10C04515" w14:textId="77777777" w:rsidR="00C9251D" w:rsidRPr="006503EA" w:rsidRDefault="00C9251D">
      <w:pPr>
        <w:rPr>
          <w:rFonts w:ascii="Arial" w:hAnsi="Arial" w:cs="Arial"/>
        </w:rPr>
      </w:pPr>
    </w:p>
    <w:p w14:paraId="2E10A87C" w14:textId="77777777" w:rsidR="00C9251D" w:rsidRPr="006503EA" w:rsidRDefault="00C9251D">
      <w:pPr>
        <w:rPr>
          <w:rFonts w:ascii="Arial" w:hAnsi="Arial" w:cs="Arial"/>
          <w:b/>
          <w:bCs/>
        </w:rPr>
      </w:pPr>
      <w:r w:rsidRPr="006503EA">
        <w:rPr>
          <w:rFonts w:ascii="Arial" w:hAnsi="Arial" w:cs="Arial"/>
          <w:b/>
          <w:bCs/>
        </w:rPr>
        <w:t xml:space="preserve">Unit of Assessment </w:t>
      </w:r>
    </w:p>
    <w:p w14:paraId="5FD5D522" w14:textId="1FA8E973" w:rsidR="00C9251D" w:rsidRPr="006503EA" w:rsidRDefault="00C9251D">
      <w:pPr>
        <w:rPr>
          <w:rFonts w:ascii="Arial" w:hAnsi="Arial" w:cs="Arial"/>
        </w:rPr>
      </w:pPr>
      <w:r w:rsidRPr="006503EA">
        <w:rPr>
          <w:rFonts w:ascii="Arial" w:hAnsi="Arial" w:cs="Arial"/>
        </w:rPr>
        <w:t>The funding bodies propose to retain the REF 2021 Unit of Assessment structure (Annex B). The funding bodies invite views from disciplinary communities and institutions on any disciplinary developments since REF 2021 that would require changes to be made to the UOA structure.</w:t>
      </w:r>
    </w:p>
    <w:tbl>
      <w:tblPr>
        <w:tblStyle w:val="TableGrid"/>
        <w:tblW w:w="0" w:type="auto"/>
        <w:tblLook w:val="04A0" w:firstRow="1" w:lastRow="0" w:firstColumn="1" w:lastColumn="0" w:noHBand="0" w:noVBand="1"/>
      </w:tblPr>
      <w:tblGrid>
        <w:gridCol w:w="9016"/>
      </w:tblGrid>
      <w:tr w:rsidR="00104061" w:rsidRPr="006503EA" w14:paraId="1241C0A9" w14:textId="77777777" w:rsidTr="00104061">
        <w:trPr>
          <w:trHeight w:val="600"/>
        </w:trPr>
        <w:tc>
          <w:tcPr>
            <w:tcW w:w="9016" w:type="dxa"/>
            <w:hideMark/>
          </w:tcPr>
          <w:p w14:paraId="6E3C16C0" w14:textId="25C6A48B" w:rsidR="00104061" w:rsidRPr="006503EA" w:rsidRDefault="00C9251D">
            <w:pPr>
              <w:rPr>
                <w:rFonts w:ascii="Arial" w:hAnsi="Arial" w:cs="Arial"/>
                <w:b/>
                <w:bCs/>
              </w:rPr>
            </w:pPr>
            <w:r w:rsidRPr="006503EA">
              <w:rPr>
                <w:rFonts w:ascii="Arial" w:hAnsi="Arial" w:cs="Arial"/>
                <w:b/>
                <w:bCs/>
              </w:rPr>
              <w:lastRenderedPageBreak/>
              <w:t xml:space="preserve">17. </w:t>
            </w:r>
            <w:r w:rsidR="00104061" w:rsidRPr="006503EA">
              <w:rPr>
                <w:rFonts w:ascii="Arial" w:hAnsi="Arial" w:cs="Arial"/>
                <w:b/>
                <w:bCs/>
              </w:rPr>
              <w:t>If the UoA structure is relevant to you/ your organisation, please indicate clearly what you propose to the UoA Structure and provide your rationale and any evidence to support your proposal.</w:t>
            </w:r>
          </w:p>
        </w:tc>
      </w:tr>
      <w:tr w:rsidR="00104061" w:rsidRPr="006503EA" w14:paraId="3C173822" w14:textId="77777777" w:rsidTr="00104061">
        <w:trPr>
          <w:trHeight w:val="825"/>
        </w:trPr>
        <w:tc>
          <w:tcPr>
            <w:tcW w:w="9016" w:type="dxa"/>
            <w:hideMark/>
          </w:tcPr>
          <w:p w14:paraId="7F88BF13" w14:textId="685FC0CA" w:rsidR="00104061" w:rsidRPr="006503EA" w:rsidRDefault="002F01BB" w:rsidP="005057EE">
            <w:pPr>
              <w:spacing w:after="160" w:line="259" w:lineRule="auto"/>
              <w:rPr>
                <w:rFonts w:ascii="Arial" w:hAnsi="Arial" w:cs="Arial"/>
              </w:rPr>
            </w:pPr>
            <w:r w:rsidRPr="006503EA">
              <w:rPr>
                <w:rFonts w:ascii="Arial" w:hAnsi="Arial" w:cs="Arial"/>
              </w:rPr>
              <w:t>T</w:t>
            </w:r>
            <w:r w:rsidR="00104061" w:rsidRPr="006503EA">
              <w:rPr>
                <w:rFonts w:ascii="Arial" w:hAnsi="Arial" w:cs="Arial"/>
              </w:rPr>
              <w:t>he structure seems appropriate as is</w:t>
            </w:r>
            <w:r w:rsidR="0016788C">
              <w:rPr>
                <w:rFonts w:ascii="Arial" w:hAnsi="Arial" w:cs="Arial"/>
              </w:rPr>
              <w:t>,</w:t>
            </w:r>
            <w:r w:rsidRPr="006503EA">
              <w:rPr>
                <w:rFonts w:ascii="Arial" w:hAnsi="Arial" w:cs="Arial"/>
              </w:rPr>
              <w:t xml:space="preserve"> and by staying the same</w:t>
            </w:r>
            <w:r w:rsidR="0016788C">
              <w:rPr>
                <w:rFonts w:ascii="Arial" w:hAnsi="Arial" w:cs="Arial"/>
              </w:rPr>
              <w:t xml:space="preserve"> it</w:t>
            </w:r>
            <w:r w:rsidRPr="006503EA">
              <w:rPr>
                <w:rFonts w:ascii="Arial" w:hAnsi="Arial" w:cs="Arial"/>
              </w:rPr>
              <w:t xml:space="preserve"> provides some continuity from REF 2021</w:t>
            </w:r>
            <w:r w:rsidR="005057EE" w:rsidRPr="006503EA">
              <w:rPr>
                <w:rFonts w:ascii="Arial" w:hAnsi="Arial" w:cs="Arial"/>
              </w:rPr>
              <w:t xml:space="preserve"> and understanding of the groups of disciplines that make up a UoA </w:t>
            </w:r>
            <w:r w:rsidRPr="006503EA">
              <w:rPr>
                <w:rFonts w:ascii="Arial" w:hAnsi="Arial" w:cs="Arial"/>
              </w:rPr>
              <w:t xml:space="preserve">. </w:t>
            </w:r>
          </w:p>
        </w:tc>
      </w:tr>
    </w:tbl>
    <w:p w14:paraId="17C1B740" w14:textId="77777777" w:rsidR="005C66D4" w:rsidRPr="006503EA" w:rsidRDefault="005C66D4">
      <w:pPr>
        <w:rPr>
          <w:rFonts w:ascii="Arial" w:hAnsi="Arial" w:cs="Arial"/>
        </w:rPr>
      </w:pPr>
    </w:p>
    <w:p w14:paraId="1D796F07" w14:textId="77777777" w:rsidR="00C9251D" w:rsidRPr="006503EA" w:rsidRDefault="00C9251D">
      <w:pPr>
        <w:rPr>
          <w:rFonts w:ascii="Arial" w:hAnsi="Arial" w:cs="Arial"/>
          <w:b/>
          <w:bCs/>
        </w:rPr>
      </w:pPr>
      <w:r w:rsidRPr="006503EA">
        <w:rPr>
          <w:rFonts w:ascii="Arial" w:hAnsi="Arial" w:cs="Arial"/>
          <w:b/>
          <w:bCs/>
        </w:rPr>
        <w:t xml:space="preserve">Impact of the Covid-19 pandemic </w:t>
      </w:r>
    </w:p>
    <w:p w14:paraId="221AD015" w14:textId="0CB882AA" w:rsidR="00C9251D" w:rsidRPr="006503EA" w:rsidRDefault="00C9251D">
      <w:pPr>
        <w:rPr>
          <w:rFonts w:ascii="Arial" w:hAnsi="Arial" w:cs="Arial"/>
        </w:rPr>
      </w:pPr>
      <w:r w:rsidRPr="006503EA">
        <w:rPr>
          <w:rFonts w:ascii="Arial" w:hAnsi="Arial" w:cs="Arial"/>
        </w:rPr>
        <w:t>The funding bodies intend to retain the statements on Covid impact that were used in REF 2021, and to require some consideration of how Covid impacts have been addressed in output selection as part of Codes of Practice.</w:t>
      </w:r>
    </w:p>
    <w:tbl>
      <w:tblPr>
        <w:tblStyle w:val="TableGrid"/>
        <w:tblW w:w="0" w:type="auto"/>
        <w:tblLook w:val="04A0" w:firstRow="1" w:lastRow="0" w:firstColumn="1" w:lastColumn="0" w:noHBand="0" w:noVBand="1"/>
      </w:tblPr>
      <w:tblGrid>
        <w:gridCol w:w="9016"/>
      </w:tblGrid>
      <w:tr w:rsidR="00104061" w:rsidRPr="006503EA" w14:paraId="4497227B" w14:textId="77777777" w:rsidTr="00104061">
        <w:trPr>
          <w:trHeight w:val="600"/>
        </w:trPr>
        <w:tc>
          <w:tcPr>
            <w:tcW w:w="9016" w:type="dxa"/>
            <w:hideMark/>
          </w:tcPr>
          <w:p w14:paraId="35A636F5" w14:textId="5FD2390E" w:rsidR="00104061" w:rsidRPr="006503EA" w:rsidRDefault="00C9251D">
            <w:pPr>
              <w:rPr>
                <w:rFonts w:ascii="Arial" w:hAnsi="Arial" w:cs="Arial"/>
                <w:b/>
                <w:bCs/>
              </w:rPr>
            </w:pPr>
            <w:r w:rsidRPr="006503EA">
              <w:rPr>
                <w:rFonts w:ascii="Arial" w:hAnsi="Arial" w:cs="Arial"/>
                <w:b/>
                <w:bCs/>
              </w:rPr>
              <w:t xml:space="preserve">18. </w:t>
            </w:r>
            <w:r w:rsidR="00104061" w:rsidRPr="006503EA">
              <w:rPr>
                <w:rFonts w:ascii="Arial" w:hAnsi="Arial" w:cs="Arial"/>
                <w:b/>
                <w:bCs/>
              </w:rPr>
              <w:t xml:space="preserve">What is your view on the proposed measures to </w:t>
            </w:r>
            <w:proofErr w:type="gramStart"/>
            <w:r w:rsidR="00104061" w:rsidRPr="006503EA">
              <w:rPr>
                <w:rFonts w:ascii="Arial" w:hAnsi="Arial" w:cs="Arial"/>
                <w:b/>
                <w:bCs/>
              </w:rPr>
              <w:t>take into account</w:t>
            </w:r>
            <w:proofErr w:type="gramEnd"/>
            <w:r w:rsidR="00104061" w:rsidRPr="006503EA">
              <w:rPr>
                <w:rFonts w:ascii="Arial" w:hAnsi="Arial" w:cs="Arial"/>
                <w:b/>
                <w:bCs/>
              </w:rPr>
              <w:t xml:space="preserve"> the impact of the Covid pandemic? </w:t>
            </w:r>
          </w:p>
        </w:tc>
      </w:tr>
      <w:tr w:rsidR="00104061" w:rsidRPr="006503EA" w14:paraId="65E38C82" w14:textId="77777777" w:rsidTr="00104061">
        <w:trPr>
          <w:trHeight w:val="825"/>
        </w:trPr>
        <w:tc>
          <w:tcPr>
            <w:tcW w:w="9016" w:type="dxa"/>
            <w:hideMark/>
          </w:tcPr>
          <w:p w14:paraId="5FC70480" w14:textId="3C73FB2C" w:rsidR="005057EE" w:rsidRPr="006503EA" w:rsidRDefault="005057EE">
            <w:pPr>
              <w:spacing w:after="160" w:line="259" w:lineRule="auto"/>
              <w:rPr>
                <w:rFonts w:ascii="Arial" w:hAnsi="Arial" w:cs="Arial"/>
              </w:rPr>
            </w:pPr>
            <w:r w:rsidRPr="006503EA">
              <w:rPr>
                <w:rFonts w:ascii="Arial" w:hAnsi="Arial" w:cs="Arial"/>
              </w:rPr>
              <w:t>As EDI seems to be at the heart of REF2028, we are g</w:t>
            </w:r>
            <w:r w:rsidR="00104061" w:rsidRPr="006503EA">
              <w:rPr>
                <w:rFonts w:ascii="Arial" w:hAnsi="Arial" w:cs="Arial"/>
              </w:rPr>
              <w:t>enerally supportive</w:t>
            </w:r>
            <w:r w:rsidRPr="006503EA">
              <w:rPr>
                <w:rFonts w:ascii="Arial" w:hAnsi="Arial" w:cs="Arial"/>
              </w:rPr>
              <w:t xml:space="preserve"> of the proposed measures. More</w:t>
            </w:r>
            <w:r w:rsidR="00104061" w:rsidRPr="006503EA">
              <w:rPr>
                <w:rFonts w:ascii="Arial" w:hAnsi="Arial" w:cs="Arial"/>
              </w:rPr>
              <w:t xml:space="preserve"> clarity / assurance on how the panel members will be trained / advised to use these statements consistently, transparently and reward appropriately</w:t>
            </w:r>
            <w:r w:rsidR="0016788C">
              <w:rPr>
                <w:rFonts w:ascii="Arial" w:hAnsi="Arial" w:cs="Arial"/>
              </w:rPr>
              <w:t>,</w:t>
            </w:r>
            <w:r w:rsidRPr="006503EA">
              <w:rPr>
                <w:rFonts w:ascii="Arial" w:hAnsi="Arial" w:cs="Arial"/>
              </w:rPr>
              <w:t xml:space="preserve"> is required</w:t>
            </w:r>
            <w:r w:rsidR="00104061" w:rsidRPr="006503EA">
              <w:rPr>
                <w:rFonts w:ascii="Arial" w:hAnsi="Arial" w:cs="Arial"/>
              </w:rPr>
              <w:t>.</w:t>
            </w:r>
          </w:p>
          <w:p w14:paraId="75129B7A" w14:textId="0252B1C4" w:rsidR="00104061" w:rsidRPr="006503EA" w:rsidRDefault="00104061" w:rsidP="006503EA">
            <w:pPr>
              <w:rPr>
                <w:rFonts w:ascii="Arial" w:hAnsi="Arial" w:cs="Arial"/>
              </w:rPr>
            </w:pPr>
          </w:p>
        </w:tc>
      </w:tr>
    </w:tbl>
    <w:p w14:paraId="694B4AC2" w14:textId="77777777" w:rsidR="00104061" w:rsidRPr="006503EA" w:rsidRDefault="00104061">
      <w:pPr>
        <w:rPr>
          <w:rFonts w:ascii="Arial" w:hAnsi="Arial" w:cs="Arial"/>
        </w:rPr>
      </w:pPr>
    </w:p>
    <w:tbl>
      <w:tblPr>
        <w:tblStyle w:val="TableGrid"/>
        <w:tblW w:w="0" w:type="auto"/>
        <w:tblLook w:val="04A0" w:firstRow="1" w:lastRow="0" w:firstColumn="1" w:lastColumn="0" w:noHBand="0" w:noVBand="1"/>
      </w:tblPr>
      <w:tblGrid>
        <w:gridCol w:w="9016"/>
      </w:tblGrid>
      <w:tr w:rsidR="00104061" w:rsidRPr="006503EA" w14:paraId="04255E5D" w14:textId="77777777" w:rsidTr="00104061">
        <w:trPr>
          <w:trHeight w:val="600"/>
        </w:trPr>
        <w:tc>
          <w:tcPr>
            <w:tcW w:w="9016" w:type="dxa"/>
            <w:hideMark/>
          </w:tcPr>
          <w:p w14:paraId="23C62926" w14:textId="7764FC55" w:rsidR="00104061" w:rsidRPr="006503EA" w:rsidRDefault="00C9251D">
            <w:pPr>
              <w:rPr>
                <w:rFonts w:ascii="Arial" w:hAnsi="Arial" w:cs="Arial"/>
                <w:b/>
                <w:bCs/>
              </w:rPr>
            </w:pPr>
            <w:r w:rsidRPr="006503EA">
              <w:rPr>
                <w:rFonts w:ascii="Arial" w:hAnsi="Arial" w:cs="Arial"/>
                <w:b/>
                <w:bCs/>
              </w:rPr>
              <w:t xml:space="preserve">19. </w:t>
            </w:r>
            <w:r w:rsidR="00104061" w:rsidRPr="006503EA">
              <w:rPr>
                <w:rFonts w:ascii="Arial" w:hAnsi="Arial" w:cs="Arial"/>
                <w:b/>
                <w:bCs/>
              </w:rPr>
              <w:t xml:space="preserve">What other measures should the funding bodies consider </w:t>
            </w:r>
            <w:proofErr w:type="gramStart"/>
            <w:r w:rsidR="00104061" w:rsidRPr="006503EA">
              <w:rPr>
                <w:rFonts w:ascii="Arial" w:hAnsi="Arial" w:cs="Arial"/>
                <w:b/>
                <w:bCs/>
              </w:rPr>
              <w:t>to take</w:t>
            </w:r>
            <w:proofErr w:type="gramEnd"/>
            <w:r w:rsidR="00104061" w:rsidRPr="006503EA">
              <w:rPr>
                <w:rFonts w:ascii="Arial" w:hAnsi="Arial" w:cs="Arial"/>
                <w:b/>
                <w:bCs/>
              </w:rPr>
              <w:t xml:space="preserve"> into account the impact of the Covid pandemic? </w:t>
            </w:r>
          </w:p>
        </w:tc>
      </w:tr>
      <w:tr w:rsidR="00104061" w:rsidRPr="006503EA" w14:paraId="6461E21A" w14:textId="77777777" w:rsidTr="00104061">
        <w:trPr>
          <w:trHeight w:val="825"/>
        </w:trPr>
        <w:tc>
          <w:tcPr>
            <w:tcW w:w="9016" w:type="dxa"/>
            <w:hideMark/>
          </w:tcPr>
          <w:p w14:paraId="28A1DB2C" w14:textId="0100FB59" w:rsidR="00104061" w:rsidRPr="006503EA" w:rsidRDefault="005057EE" w:rsidP="006503EA">
            <w:pPr>
              <w:spacing w:after="160" w:line="259" w:lineRule="auto"/>
              <w:rPr>
                <w:rFonts w:ascii="Arial" w:hAnsi="Arial" w:cs="Arial"/>
              </w:rPr>
            </w:pPr>
            <w:r w:rsidRPr="006503EA">
              <w:rPr>
                <w:rFonts w:ascii="Arial" w:hAnsi="Arial" w:cs="Arial"/>
              </w:rPr>
              <w:t xml:space="preserve">No further measures should be implemented in this regard. </w:t>
            </w:r>
            <w:r w:rsidR="0016788C">
              <w:rPr>
                <w:rFonts w:ascii="Arial" w:hAnsi="Arial" w:cs="Arial"/>
              </w:rPr>
              <w:br/>
            </w:r>
            <w:r w:rsidR="0016788C">
              <w:rPr>
                <w:rFonts w:ascii="Arial" w:hAnsi="Arial" w:cs="Arial"/>
              </w:rPr>
              <w:br/>
            </w:r>
            <w:r w:rsidRPr="006503EA">
              <w:rPr>
                <w:rFonts w:ascii="Arial" w:hAnsi="Arial" w:cs="Arial"/>
              </w:rPr>
              <w:t xml:space="preserve">However, if the Covid pandemic </w:t>
            </w:r>
            <w:r w:rsidR="00104061" w:rsidRPr="006503EA">
              <w:rPr>
                <w:rFonts w:ascii="Arial" w:hAnsi="Arial" w:cs="Arial"/>
              </w:rPr>
              <w:t>has affected some institutions disproportionately</w:t>
            </w:r>
            <w:r w:rsidR="0016788C">
              <w:rPr>
                <w:rFonts w:ascii="Arial" w:hAnsi="Arial" w:cs="Arial"/>
              </w:rPr>
              <w:t>,</w:t>
            </w:r>
            <w:r w:rsidR="00104061" w:rsidRPr="006503EA">
              <w:rPr>
                <w:rFonts w:ascii="Arial" w:hAnsi="Arial" w:cs="Arial"/>
              </w:rPr>
              <w:t xml:space="preserve"> that should be </w:t>
            </w:r>
            <w:proofErr w:type="gramStart"/>
            <w:r w:rsidR="00104061" w:rsidRPr="006503EA">
              <w:rPr>
                <w:rFonts w:ascii="Arial" w:hAnsi="Arial" w:cs="Arial"/>
              </w:rPr>
              <w:t>taken into account</w:t>
            </w:r>
            <w:proofErr w:type="gramEnd"/>
            <w:r w:rsidR="006A5ED4" w:rsidRPr="006503EA">
              <w:rPr>
                <w:rFonts w:ascii="Arial" w:hAnsi="Arial" w:cs="Arial"/>
              </w:rPr>
              <w:t xml:space="preserve"> via the </w:t>
            </w:r>
            <w:r w:rsidR="00983526" w:rsidRPr="006503EA">
              <w:rPr>
                <w:rFonts w:ascii="Arial" w:hAnsi="Arial" w:cs="Arial"/>
              </w:rPr>
              <w:t xml:space="preserve">quantitative </w:t>
            </w:r>
            <w:r w:rsidR="006A5ED4" w:rsidRPr="006503EA">
              <w:rPr>
                <w:rFonts w:ascii="Arial" w:hAnsi="Arial" w:cs="Arial"/>
              </w:rPr>
              <w:t>unit reduction circumstance process</w:t>
            </w:r>
            <w:r w:rsidRPr="006503EA">
              <w:rPr>
                <w:rFonts w:ascii="Arial" w:hAnsi="Arial" w:cs="Arial"/>
              </w:rPr>
              <w:t xml:space="preserve">. </w:t>
            </w:r>
          </w:p>
        </w:tc>
      </w:tr>
    </w:tbl>
    <w:p w14:paraId="4AE14918" w14:textId="77777777" w:rsidR="00104061" w:rsidRPr="006503EA" w:rsidRDefault="00104061">
      <w:pPr>
        <w:rPr>
          <w:rFonts w:ascii="Arial" w:hAnsi="Arial" w:cs="Arial"/>
        </w:rPr>
      </w:pPr>
    </w:p>
    <w:sectPr w:rsidR="00104061" w:rsidRPr="006503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C213" w14:textId="77777777" w:rsidR="00E60511" w:rsidRDefault="00E60511" w:rsidP="00477773">
      <w:pPr>
        <w:spacing w:after="0" w:line="240" w:lineRule="auto"/>
      </w:pPr>
      <w:r>
        <w:separator/>
      </w:r>
    </w:p>
  </w:endnote>
  <w:endnote w:type="continuationSeparator" w:id="0">
    <w:p w14:paraId="44C661C4" w14:textId="77777777" w:rsidR="00E60511" w:rsidRDefault="00E60511" w:rsidP="0047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EE4" w14:textId="77777777" w:rsidR="00E60511" w:rsidRDefault="00E60511" w:rsidP="00477773">
      <w:pPr>
        <w:spacing w:after="0" w:line="240" w:lineRule="auto"/>
      </w:pPr>
      <w:r>
        <w:separator/>
      </w:r>
    </w:p>
  </w:footnote>
  <w:footnote w:type="continuationSeparator" w:id="0">
    <w:p w14:paraId="342956DE" w14:textId="77777777" w:rsidR="00E60511" w:rsidRDefault="00E60511" w:rsidP="00477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DA0"/>
    <w:multiLevelType w:val="hybridMultilevel"/>
    <w:tmpl w:val="8FF40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DDA"/>
    <w:multiLevelType w:val="hybridMultilevel"/>
    <w:tmpl w:val="DACAFE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C2F3E"/>
    <w:multiLevelType w:val="hybridMultilevel"/>
    <w:tmpl w:val="1FB0F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265DB"/>
    <w:multiLevelType w:val="hybridMultilevel"/>
    <w:tmpl w:val="80304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40B0D"/>
    <w:multiLevelType w:val="hybridMultilevel"/>
    <w:tmpl w:val="AF3E6B6A"/>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5" w15:restartNumberingAfterBreak="0">
    <w:nsid w:val="30074B56"/>
    <w:multiLevelType w:val="hybridMultilevel"/>
    <w:tmpl w:val="D4A41E7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A82C04"/>
    <w:multiLevelType w:val="hybridMultilevel"/>
    <w:tmpl w:val="C31E0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433C0"/>
    <w:multiLevelType w:val="hybridMultilevel"/>
    <w:tmpl w:val="A524E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D246D"/>
    <w:multiLevelType w:val="hybridMultilevel"/>
    <w:tmpl w:val="9522D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50D94"/>
    <w:multiLevelType w:val="hybridMultilevel"/>
    <w:tmpl w:val="36D290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66F9A"/>
    <w:multiLevelType w:val="hybridMultilevel"/>
    <w:tmpl w:val="70B2F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8633A"/>
    <w:multiLevelType w:val="hybridMultilevel"/>
    <w:tmpl w:val="0DDE6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E7F23"/>
    <w:multiLevelType w:val="hybridMultilevel"/>
    <w:tmpl w:val="8278C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94967"/>
    <w:multiLevelType w:val="hybridMultilevel"/>
    <w:tmpl w:val="4C1AE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D2CF4"/>
    <w:multiLevelType w:val="hybridMultilevel"/>
    <w:tmpl w:val="9006E0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52C7B"/>
    <w:multiLevelType w:val="hybridMultilevel"/>
    <w:tmpl w:val="5CD24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A484B"/>
    <w:multiLevelType w:val="hybridMultilevel"/>
    <w:tmpl w:val="576EA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98906">
    <w:abstractNumId w:val="4"/>
  </w:num>
  <w:num w:numId="2" w16cid:durableId="461266092">
    <w:abstractNumId w:val="1"/>
  </w:num>
  <w:num w:numId="3" w16cid:durableId="1335448894">
    <w:abstractNumId w:val="0"/>
  </w:num>
  <w:num w:numId="4" w16cid:durableId="1434402074">
    <w:abstractNumId w:val="6"/>
  </w:num>
  <w:num w:numId="5" w16cid:durableId="1778602049">
    <w:abstractNumId w:val="3"/>
  </w:num>
  <w:num w:numId="6" w16cid:durableId="242030223">
    <w:abstractNumId w:val="2"/>
  </w:num>
  <w:num w:numId="7" w16cid:durableId="1711881595">
    <w:abstractNumId w:val="12"/>
  </w:num>
  <w:num w:numId="8" w16cid:durableId="1525710755">
    <w:abstractNumId w:val="15"/>
  </w:num>
  <w:num w:numId="9" w16cid:durableId="1238171799">
    <w:abstractNumId w:val="10"/>
  </w:num>
  <w:num w:numId="10" w16cid:durableId="649406391">
    <w:abstractNumId w:val="7"/>
  </w:num>
  <w:num w:numId="11" w16cid:durableId="967051328">
    <w:abstractNumId w:val="5"/>
  </w:num>
  <w:num w:numId="12" w16cid:durableId="1335454912">
    <w:abstractNumId w:val="14"/>
  </w:num>
  <w:num w:numId="13" w16cid:durableId="366104830">
    <w:abstractNumId w:val="9"/>
  </w:num>
  <w:num w:numId="14" w16cid:durableId="362751624">
    <w:abstractNumId w:val="11"/>
  </w:num>
  <w:num w:numId="15" w16cid:durableId="756947254">
    <w:abstractNumId w:val="16"/>
  </w:num>
  <w:num w:numId="16" w16cid:durableId="1321351954">
    <w:abstractNumId w:val="13"/>
  </w:num>
  <w:num w:numId="17" w16cid:durableId="695816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1"/>
    <w:rsid w:val="00056155"/>
    <w:rsid w:val="00085DC8"/>
    <w:rsid w:val="000A7E2A"/>
    <w:rsid w:val="000F2443"/>
    <w:rsid w:val="000F2EA7"/>
    <w:rsid w:val="00104061"/>
    <w:rsid w:val="00110823"/>
    <w:rsid w:val="00115DD5"/>
    <w:rsid w:val="0016045A"/>
    <w:rsid w:val="00164853"/>
    <w:rsid w:val="0016788C"/>
    <w:rsid w:val="001B230C"/>
    <w:rsid w:val="001D6672"/>
    <w:rsid w:val="00237B28"/>
    <w:rsid w:val="00241711"/>
    <w:rsid w:val="00262F97"/>
    <w:rsid w:val="00284601"/>
    <w:rsid w:val="002965FF"/>
    <w:rsid w:val="002A14F8"/>
    <w:rsid w:val="002D05BC"/>
    <w:rsid w:val="002F01BB"/>
    <w:rsid w:val="002F29A4"/>
    <w:rsid w:val="00332091"/>
    <w:rsid w:val="00341584"/>
    <w:rsid w:val="00366BB1"/>
    <w:rsid w:val="00370A83"/>
    <w:rsid w:val="003713CC"/>
    <w:rsid w:val="00392C3A"/>
    <w:rsid w:val="003B2AC5"/>
    <w:rsid w:val="003E78AE"/>
    <w:rsid w:val="004435B0"/>
    <w:rsid w:val="00477773"/>
    <w:rsid w:val="004A0E96"/>
    <w:rsid w:val="004C2E2B"/>
    <w:rsid w:val="004C7D7E"/>
    <w:rsid w:val="005057EE"/>
    <w:rsid w:val="00556E2D"/>
    <w:rsid w:val="005652A9"/>
    <w:rsid w:val="00570453"/>
    <w:rsid w:val="00571A37"/>
    <w:rsid w:val="0057688A"/>
    <w:rsid w:val="00586734"/>
    <w:rsid w:val="005A78D0"/>
    <w:rsid w:val="005C66D4"/>
    <w:rsid w:val="005D006E"/>
    <w:rsid w:val="005F16C9"/>
    <w:rsid w:val="006503EA"/>
    <w:rsid w:val="006951AB"/>
    <w:rsid w:val="006A5ED4"/>
    <w:rsid w:val="006B2939"/>
    <w:rsid w:val="006B38EC"/>
    <w:rsid w:val="006F457B"/>
    <w:rsid w:val="00713643"/>
    <w:rsid w:val="00744995"/>
    <w:rsid w:val="00746D11"/>
    <w:rsid w:val="007502A4"/>
    <w:rsid w:val="00795045"/>
    <w:rsid w:val="007A0944"/>
    <w:rsid w:val="007B2F82"/>
    <w:rsid w:val="007D51F1"/>
    <w:rsid w:val="0082170B"/>
    <w:rsid w:val="0084528F"/>
    <w:rsid w:val="008872EF"/>
    <w:rsid w:val="00895057"/>
    <w:rsid w:val="008975AB"/>
    <w:rsid w:val="008A3926"/>
    <w:rsid w:val="008C7139"/>
    <w:rsid w:val="008F56FC"/>
    <w:rsid w:val="0094167E"/>
    <w:rsid w:val="00950AA0"/>
    <w:rsid w:val="009642CA"/>
    <w:rsid w:val="00976E38"/>
    <w:rsid w:val="00980814"/>
    <w:rsid w:val="00983526"/>
    <w:rsid w:val="009C6DF6"/>
    <w:rsid w:val="009D35A4"/>
    <w:rsid w:val="009D7672"/>
    <w:rsid w:val="00A02005"/>
    <w:rsid w:val="00A21B32"/>
    <w:rsid w:val="00A9764D"/>
    <w:rsid w:val="00AA6842"/>
    <w:rsid w:val="00AC00F0"/>
    <w:rsid w:val="00AC5DD1"/>
    <w:rsid w:val="00AE1CE8"/>
    <w:rsid w:val="00AF351B"/>
    <w:rsid w:val="00B14883"/>
    <w:rsid w:val="00B165C8"/>
    <w:rsid w:val="00B17009"/>
    <w:rsid w:val="00B17732"/>
    <w:rsid w:val="00B65827"/>
    <w:rsid w:val="00B723AD"/>
    <w:rsid w:val="00B765C5"/>
    <w:rsid w:val="00BA7F79"/>
    <w:rsid w:val="00C304CC"/>
    <w:rsid w:val="00C9251D"/>
    <w:rsid w:val="00C93F13"/>
    <w:rsid w:val="00CD2A81"/>
    <w:rsid w:val="00CD44FD"/>
    <w:rsid w:val="00CE6216"/>
    <w:rsid w:val="00D1656F"/>
    <w:rsid w:val="00DB0AD5"/>
    <w:rsid w:val="00DD0A9E"/>
    <w:rsid w:val="00E328AB"/>
    <w:rsid w:val="00E335F8"/>
    <w:rsid w:val="00E413A9"/>
    <w:rsid w:val="00E54D72"/>
    <w:rsid w:val="00E60511"/>
    <w:rsid w:val="00E725F4"/>
    <w:rsid w:val="00E7763B"/>
    <w:rsid w:val="00E91BB1"/>
    <w:rsid w:val="00EA02AA"/>
    <w:rsid w:val="00F21A9F"/>
    <w:rsid w:val="00F353AE"/>
    <w:rsid w:val="00F520A2"/>
    <w:rsid w:val="00F627BF"/>
    <w:rsid w:val="00F646B3"/>
    <w:rsid w:val="00F65F6F"/>
    <w:rsid w:val="00F679DE"/>
    <w:rsid w:val="00FC0410"/>
    <w:rsid w:val="00FD4A6D"/>
    <w:rsid w:val="00FE1E5F"/>
    <w:rsid w:val="00FE4054"/>
    <w:rsid w:val="00FF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A5BF"/>
  <w15:chartTrackingRefBased/>
  <w15:docId w15:val="{1FD686D9-1290-4C91-9369-B2704945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73"/>
  </w:style>
  <w:style w:type="paragraph" w:styleId="Footer">
    <w:name w:val="footer"/>
    <w:basedOn w:val="Normal"/>
    <w:link w:val="FooterChar"/>
    <w:uiPriority w:val="99"/>
    <w:unhideWhenUsed/>
    <w:rsid w:val="0047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73"/>
  </w:style>
  <w:style w:type="character" w:styleId="Hyperlink">
    <w:name w:val="Hyperlink"/>
    <w:basedOn w:val="DefaultParagraphFont"/>
    <w:uiPriority w:val="99"/>
    <w:unhideWhenUsed/>
    <w:rsid w:val="00C9251D"/>
    <w:rPr>
      <w:color w:val="0563C1" w:themeColor="hyperlink"/>
      <w:u w:val="single"/>
    </w:rPr>
  </w:style>
  <w:style w:type="character" w:styleId="UnresolvedMention">
    <w:name w:val="Unresolved Mention"/>
    <w:basedOn w:val="DefaultParagraphFont"/>
    <w:uiPriority w:val="99"/>
    <w:semiHidden/>
    <w:unhideWhenUsed/>
    <w:rsid w:val="00C9251D"/>
    <w:rPr>
      <w:color w:val="605E5C"/>
      <w:shd w:val="clear" w:color="auto" w:fill="E1DFDD"/>
    </w:rPr>
  </w:style>
  <w:style w:type="paragraph" w:styleId="ListParagraph">
    <w:name w:val="List Paragraph"/>
    <w:basedOn w:val="Normal"/>
    <w:uiPriority w:val="34"/>
    <w:qFormat/>
    <w:rsid w:val="00F21A9F"/>
    <w:pPr>
      <w:widowControl w:val="0"/>
      <w:autoSpaceDE w:val="0"/>
      <w:autoSpaceDN w:val="0"/>
      <w:spacing w:after="240" w:line="314" w:lineRule="auto"/>
      <w:ind w:left="706" w:hanging="317"/>
    </w:pPr>
    <w:rPr>
      <w:rFonts w:ascii="Arial" w:eastAsia="Arial" w:hAnsi="Arial" w:cs="Arial"/>
      <w:kern w:val="0"/>
      <w:sz w:val="24"/>
      <w:szCs w:val="24"/>
      <w14:ligatures w14:val="none"/>
    </w:rPr>
  </w:style>
  <w:style w:type="character" w:styleId="CommentReference">
    <w:name w:val="annotation reference"/>
    <w:basedOn w:val="DefaultParagraphFont"/>
    <w:uiPriority w:val="99"/>
    <w:semiHidden/>
    <w:unhideWhenUsed/>
    <w:rsid w:val="000F2443"/>
    <w:rPr>
      <w:sz w:val="16"/>
      <w:szCs w:val="16"/>
    </w:rPr>
  </w:style>
  <w:style w:type="paragraph" w:styleId="CommentText">
    <w:name w:val="annotation text"/>
    <w:basedOn w:val="Normal"/>
    <w:link w:val="CommentTextChar"/>
    <w:uiPriority w:val="99"/>
    <w:unhideWhenUsed/>
    <w:rsid w:val="000F2443"/>
    <w:pPr>
      <w:spacing w:line="240" w:lineRule="auto"/>
    </w:pPr>
    <w:rPr>
      <w:sz w:val="20"/>
      <w:szCs w:val="20"/>
    </w:rPr>
  </w:style>
  <w:style w:type="character" w:customStyle="1" w:styleId="CommentTextChar">
    <w:name w:val="Comment Text Char"/>
    <w:basedOn w:val="DefaultParagraphFont"/>
    <w:link w:val="CommentText"/>
    <w:uiPriority w:val="99"/>
    <w:rsid w:val="000F2443"/>
    <w:rPr>
      <w:sz w:val="20"/>
      <w:szCs w:val="20"/>
    </w:rPr>
  </w:style>
  <w:style w:type="paragraph" w:styleId="CommentSubject">
    <w:name w:val="annotation subject"/>
    <w:basedOn w:val="CommentText"/>
    <w:next w:val="CommentText"/>
    <w:link w:val="CommentSubjectChar"/>
    <w:uiPriority w:val="99"/>
    <w:semiHidden/>
    <w:unhideWhenUsed/>
    <w:rsid w:val="000F2443"/>
    <w:rPr>
      <w:b/>
      <w:bCs/>
    </w:rPr>
  </w:style>
  <w:style w:type="character" w:customStyle="1" w:styleId="CommentSubjectChar">
    <w:name w:val="Comment Subject Char"/>
    <w:basedOn w:val="CommentTextChar"/>
    <w:link w:val="CommentSubject"/>
    <w:uiPriority w:val="99"/>
    <w:semiHidden/>
    <w:rsid w:val="000F2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406">
      <w:bodyDiv w:val="1"/>
      <w:marLeft w:val="0"/>
      <w:marRight w:val="0"/>
      <w:marTop w:val="0"/>
      <w:marBottom w:val="0"/>
      <w:divBdr>
        <w:top w:val="none" w:sz="0" w:space="0" w:color="auto"/>
        <w:left w:val="none" w:sz="0" w:space="0" w:color="auto"/>
        <w:bottom w:val="none" w:sz="0" w:space="0" w:color="auto"/>
        <w:right w:val="none" w:sz="0" w:space="0" w:color="auto"/>
      </w:divBdr>
    </w:div>
    <w:div w:id="571815616">
      <w:bodyDiv w:val="1"/>
      <w:marLeft w:val="0"/>
      <w:marRight w:val="0"/>
      <w:marTop w:val="0"/>
      <w:marBottom w:val="0"/>
      <w:divBdr>
        <w:top w:val="none" w:sz="0" w:space="0" w:color="auto"/>
        <w:left w:val="none" w:sz="0" w:space="0" w:color="auto"/>
        <w:bottom w:val="none" w:sz="0" w:space="0" w:color="auto"/>
        <w:right w:val="none" w:sz="0" w:space="0" w:color="auto"/>
      </w:divBdr>
    </w:div>
    <w:div w:id="675229376">
      <w:bodyDiv w:val="1"/>
      <w:marLeft w:val="0"/>
      <w:marRight w:val="0"/>
      <w:marTop w:val="0"/>
      <w:marBottom w:val="0"/>
      <w:divBdr>
        <w:top w:val="none" w:sz="0" w:space="0" w:color="auto"/>
        <w:left w:val="none" w:sz="0" w:space="0" w:color="auto"/>
        <w:bottom w:val="none" w:sz="0" w:space="0" w:color="auto"/>
        <w:right w:val="none" w:sz="0" w:space="0" w:color="auto"/>
      </w:divBdr>
    </w:div>
    <w:div w:id="679283490">
      <w:bodyDiv w:val="1"/>
      <w:marLeft w:val="0"/>
      <w:marRight w:val="0"/>
      <w:marTop w:val="0"/>
      <w:marBottom w:val="0"/>
      <w:divBdr>
        <w:top w:val="none" w:sz="0" w:space="0" w:color="auto"/>
        <w:left w:val="none" w:sz="0" w:space="0" w:color="auto"/>
        <w:bottom w:val="none" w:sz="0" w:space="0" w:color="auto"/>
        <w:right w:val="none" w:sz="0" w:space="0" w:color="auto"/>
      </w:divBdr>
    </w:div>
    <w:div w:id="703554260">
      <w:bodyDiv w:val="1"/>
      <w:marLeft w:val="0"/>
      <w:marRight w:val="0"/>
      <w:marTop w:val="0"/>
      <w:marBottom w:val="0"/>
      <w:divBdr>
        <w:top w:val="none" w:sz="0" w:space="0" w:color="auto"/>
        <w:left w:val="none" w:sz="0" w:space="0" w:color="auto"/>
        <w:bottom w:val="none" w:sz="0" w:space="0" w:color="auto"/>
        <w:right w:val="none" w:sz="0" w:space="0" w:color="auto"/>
      </w:divBdr>
    </w:div>
    <w:div w:id="769619166">
      <w:bodyDiv w:val="1"/>
      <w:marLeft w:val="0"/>
      <w:marRight w:val="0"/>
      <w:marTop w:val="0"/>
      <w:marBottom w:val="0"/>
      <w:divBdr>
        <w:top w:val="none" w:sz="0" w:space="0" w:color="auto"/>
        <w:left w:val="none" w:sz="0" w:space="0" w:color="auto"/>
        <w:bottom w:val="none" w:sz="0" w:space="0" w:color="auto"/>
        <w:right w:val="none" w:sz="0" w:space="0" w:color="auto"/>
      </w:divBdr>
    </w:div>
    <w:div w:id="936251177">
      <w:bodyDiv w:val="1"/>
      <w:marLeft w:val="0"/>
      <w:marRight w:val="0"/>
      <w:marTop w:val="0"/>
      <w:marBottom w:val="0"/>
      <w:divBdr>
        <w:top w:val="none" w:sz="0" w:space="0" w:color="auto"/>
        <w:left w:val="none" w:sz="0" w:space="0" w:color="auto"/>
        <w:bottom w:val="none" w:sz="0" w:space="0" w:color="auto"/>
        <w:right w:val="none" w:sz="0" w:space="0" w:color="auto"/>
      </w:divBdr>
    </w:div>
    <w:div w:id="1020202157">
      <w:bodyDiv w:val="1"/>
      <w:marLeft w:val="0"/>
      <w:marRight w:val="0"/>
      <w:marTop w:val="0"/>
      <w:marBottom w:val="0"/>
      <w:divBdr>
        <w:top w:val="none" w:sz="0" w:space="0" w:color="auto"/>
        <w:left w:val="none" w:sz="0" w:space="0" w:color="auto"/>
        <w:bottom w:val="none" w:sz="0" w:space="0" w:color="auto"/>
        <w:right w:val="none" w:sz="0" w:space="0" w:color="auto"/>
      </w:divBdr>
    </w:div>
    <w:div w:id="1233930534">
      <w:bodyDiv w:val="1"/>
      <w:marLeft w:val="0"/>
      <w:marRight w:val="0"/>
      <w:marTop w:val="0"/>
      <w:marBottom w:val="0"/>
      <w:divBdr>
        <w:top w:val="none" w:sz="0" w:space="0" w:color="auto"/>
        <w:left w:val="none" w:sz="0" w:space="0" w:color="auto"/>
        <w:bottom w:val="none" w:sz="0" w:space="0" w:color="auto"/>
        <w:right w:val="none" w:sz="0" w:space="0" w:color="auto"/>
      </w:divBdr>
    </w:div>
    <w:div w:id="1347246639">
      <w:bodyDiv w:val="1"/>
      <w:marLeft w:val="0"/>
      <w:marRight w:val="0"/>
      <w:marTop w:val="0"/>
      <w:marBottom w:val="0"/>
      <w:divBdr>
        <w:top w:val="none" w:sz="0" w:space="0" w:color="auto"/>
        <w:left w:val="none" w:sz="0" w:space="0" w:color="auto"/>
        <w:bottom w:val="none" w:sz="0" w:space="0" w:color="auto"/>
        <w:right w:val="none" w:sz="0" w:space="0" w:color="auto"/>
      </w:divBdr>
    </w:div>
    <w:div w:id="1410153784">
      <w:bodyDiv w:val="1"/>
      <w:marLeft w:val="0"/>
      <w:marRight w:val="0"/>
      <w:marTop w:val="0"/>
      <w:marBottom w:val="0"/>
      <w:divBdr>
        <w:top w:val="none" w:sz="0" w:space="0" w:color="auto"/>
        <w:left w:val="none" w:sz="0" w:space="0" w:color="auto"/>
        <w:bottom w:val="none" w:sz="0" w:space="0" w:color="auto"/>
        <w:right w:val="none" w:sz="0" w:space="0" w:color="auto"/>
      </w:divBdr>
    </w:div>
    <w:div w:id="1571503936">
      <w:bodyDiv w:val="1"/>
      <w:marLeft w:val="0"/>
      <w:marRight w:val="0"/>
      <w:marTop w:val="0"/>
      <w:marBottom w:val="0"/>
      <w:divBdr>
        <w:top w:val="none" w:sz="0" w:space="0" w:color="auto"/>
        <w:left w:val="none" w:sz="0" w:space="0" w:color="auto"/>
        <w:bottom w:val="none" w:sz="0" w:space="0" w:color="auto"/>
        <w:right w:val="none" w:sz="0" w:space="0" w:color="auto"/>
      </w:divBdr>
    </w:div>
    <w:div w:id="1778022843">
      <w:bodyDiv w:val="1"/>
      <w:marLeft w:val="0"/>
      <w:marRight w:val="0"/>
      <w:marTop w:val="0"/>
      <w:marBottom w:val="0"/>
      <w:divBdr>
        <w:top w:val="none" w:sz="0" w:space="0" w:color="auto"/>
        <w:left w:val="none" w:sz="0" w:space="0" w:color="auto"/>
        <w:bottom w:val="none" w:sz="0" w:space="0" w:color="auto"/>
        <w:right w:val="none" w:sz="0" w:space="0" w:color="auto"/>
      </w:divBdr>
    </w:div>
    <w:div w:id="1785271789">
      <w:bodyDiv w:val="1"/>
      <w:marLeft w:val="0"/>
      <w:marRight w:val="0"/>
      <w:marTop w:val="0"/>
      <w:marBottom w:val="0"/>
      <w:divBdr>
        <w:top w:val="none" w:sz="0" w:space="0" w:color="auto"/>
        <w:left w:val="none" w:sz="0" w:space="0" w:color="auto"/>
        <w:bottom w:val="none" w:sz="0" w:space="0" w:color="auto"/>
        <w:right w:val="none" w:sz="0" w:space="0" w:color="auto"/>
      </w:divBdr>
    </w:div>
    <w:div w:id="1871601155">
      <w:bodyDiv w:val="1"/>
      <w:marLeft w:val="0"/>
      <w:marRight w:val="0"/>
      <w:marTop w:val="0"/>
      <w:marBottom w:val="0"/>
      <w:divBdr>
        <w:top w:val="none" w:sz="0" w:space="0" w:color="auto"/>
        <w:left w:val="none" w:sz="0" w:space="0" w:color="auto"/>
        <w:bottom w:val="none" w:sz="0" w:space="0" w:color="auto"/>
        <w:right w:val="none" w:sz="0" w:space="0" w:color="auto"/>
      </w:divBdr>
    </w:div>
    <w:div w:id="1924099120">
      <w:bodyDiv w:val="1"/>
      <w:marLeft w:val="0"/>
      <w:marRight w:val="0"/>
      <w:marTop w:val="0"/>
      <w:marBottom w:val="0"/>
      <w:divBdr>
        <w:top w:val="none" w:sz="0" w:space="0" w:color="auto"/>
        <w:left w:val="none" w:sz="0" w:space="0" w:color="auto"/>
        <w:bottom w:val="none" w:sz="0" w:space="0" w:color="auto"/>
        <w:right w:val="none" w:sz="0" w:space="0" w:color="auto"/>
      </w:divBdr>
    </w:div>
    <w:div w:id="1974946969">
      <w:bodyDiv w:val="1"/>
      <w:marLeft w:val="0"/>
      <w:marRight w:val="0"/>
      <w:marTop w:val="0"/>
      <w:marBottom w:val="0"/>
      <w:divBdr>
        <w:top w:val="none" w:sz="0" w:space="0" w:color="auto"/>
        <w:left w:val="none" w:sz="0" w:space="0" w:color="auto"/>
        <w:bottom w:val="none" w:sz="0" w:space="0" w:color="auto"/>
        <w:right w:val="none" w:sz="0" w:space="0" w:color="auto"/>
      </w:divBdr>
    </w:div>
    <w:div w:id="21031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isc.ac.uk/future-research-assessment-programme/initial-decision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A78F14-1F2A-47DD-9A79-89EC59A08213}"/>
</file>

<file path=customXml/itemProps2.xml><?xml version="1.0" encoding="utf-8"?>
<ds:datastoreItem xmlns:ds="http://schemas.openxmlformats.org/officeDocument/2006/customXml" ds:itemID="{1E138959-0765-4630-9F7F-B82CCDFBB627}"/>
</file>

<file path=customXml/itemProps3.xml><?xml version="1.0" encoding="utf-8"?>
<ds:datastoreItem xmlns:ds="http://schemas.openxmlformats.org/officeDocument/2006/customXml" ds:itemID="{A620D6F4-30A6-4218-91F5-A661B1DD96E5}"/>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2</cp:revision>
  <dcterms:created xsi:type="dcterms:W3CDTF">2023-09-26T10:36:00Z</dcterms:created>
  <dcterms:modified xsi:type="dcterms:W3CDTF">2023-09-26T10:36:00Z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ies>
</file>