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4F" w:rsidRPr="00384F13" w:rsidRDefault="00384F13" w:rsidP="00384F13">
      <w:pPr>
        <w:kinsoku w:val="0"/>
        <w:overflowPunct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inline distT="0" distB="0" distL="0" distR="0" wp14:anchorId="2FE1F646" wp14:editId="0AB19F51">
            <wp:extent cx="2876550" cy="7048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19" w:rsidRPr="00F50066" w:rsidRDefault="00E9304D" w:rsidP="00AE6F4F">
      <w:pPr>
        <w:kinsoku w:val="0"/>
        <w:overflowPunct w:val="0"/>
        <w:autoSpaceDE w:val="0"/>
        <w:autoSpaceDN w:val="0"/>
        <w:adjustRightInd w:val="0"/>
        <w:spacing w:before="156" w:after="0" w:line="480" w:lineRule="auto"/>
        <w:ind w:left="720" w:right="2265"/>
        <w:jc w:val="center"/>
        <w:outlineLvl w:val="0"/>
        <w:rPr>
          <w:rFonts w:ascii="Titillium" w:hAnsi="Titillium" w:cs="Arial"/>
          <w:b/>
          <w:bCs/>
          <w:color w:val="FF6600"/>
        </w:rPr>
      </w:pPr>
      <w:r w:rsidRPr="00F50066">
        <w:rPr>
          <w:rFonts w:ascii="Titillium" w:hAnsi="Titillium" w:cs="Arial"/>
          <w:b/>
          <w:bCs/>
          <w:color w:val="FF6600"/>
        </w:rPr>
        <w:t>INCLUSION STATEMENT 2017</w:t>
      </w:r>
    </w:p>
    <w:p w:rsidR="00725519" w:rsidRPr="00BF6674" w:rsidRDefault="00E1086D" w:rsidP="0072551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tillium" w:hAnsi="Titillium" w:cs="Arial"/>
          <w:bCs/>
        </w:rPr>
      </w:pPr>
      <w:r w:rsidRPr="00BF6674">
        <w:rPr>
          <w:rFonts w:ascii="Titillium" w:hAnsi="Titillium" w:cs="Arial"/>
          <w:bCs/>
        </w:rPr>
        <w:t xml:space="preserve">We are </w:t>
      </w:r>
      <w:r w:rsidR="00F87F64" w:rsidRPr="00BF6674">
        <w:rPr>
          <w:rFonts w:ascii="Titillium" w:hAnsi="Titillium" w:cs="Arial"/>
          <w:bCs/>
        </w:rPr>
        <w:t>an inspiring and innovative U</w:t>
      </w:r>
      <w:r w:rsidR="00081D0F" w:rsidRPr="00BF6674">
        <w:rPr>
          <w:rFonts w:ascii="Titillium" w:hAnsi="Titillium" w:cs="Arial"/>
          <w:bCs/>
        </w:rPr>
        <w:t>niversity that is deeply connected to our communities and in tune with o</w:t>
      </w:r>
      <w:r w:rsidR="00675EBC" w:rsidRPr="00BF6674">
        <w:rPr>
          <w:rFonts w:ascii="Titillium" w:hAnsi="Titillium" w:cs="Arial"/>
          <w:bCs/>
        </w:rPr>
        <w:t>ur time.  We value the diversity of our student and staff community and</w:t>
      </w:r>
      <w:r w:rsidR="00583697" w:rsidRPr="00BF6674">
        <w:rPr>
          <w:rFonts w:ascii="Titillium" w:hAnsi="Titillium" w:cs="Arial"/>
          <w:bCs/>
        </w:rPr>
        <w:t xml:space="preserve"> </w:t>
      </w:r>
      <w:r w:rsidR="00DE72D7" w:rsidRPr="00BF6674">
        <w:rPr>
          <w:rFonts w:ascii="Titillium" w:hAnsi="Titillium" w:cs="Arial"/>
          <w:bCs/>
        </w:rPr>
        <w:t xml:space="preserve">are </w:t>
      </w:r>
      <w:r w:rsidR="002057F1" w:rsidRPr="00BF6674">
        <w:rPr>
          <w:rFonts w:ascii="Titillium" w:hAnsi="Titillium" w:cs="Arial"/>
          <w:bCs/>
        </w:rPr>
        <w:t xml:space="preserve">committed to </w:t>
      </w:r>
      <w:r w:rsidR="00081D0F" w:rsidRPr="00BF6674">
        <w:rPr>
          <w:rFonts w:ascii="Titillium" w:hAnsi="Titillium" w:cs="Arial"/>
          <w:bCs/>
        </w:rPr>
        <w:t>the creation of a truly inclusive culture for all.</w:t>
      </w:r>
    </w:p>
    <w:p w:rsidR="00081D0F" w:rsidRPr="00BF6674" w:rsidRDefault="00081D0F" w:rsidP="0072551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tillium" w:hAnsi="Titillium" w:cs="Arial"/>
          <w:bCs/>
        </w:rPr>
      </w:pPr>
    </w:p>
    <w:p w:rsidR="00081D0F" w:rsidRPr="00BF6674" w:rsidRDefault="00081D0F" w:rsidP="0072551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tillium" w:hAnsi="Titillium" w:cs="Arial"/>
          <w:bCs/>
        </w:rPr>
      </w:pPr>
      <w:r w:rsidRPr="00BF6674">
        <w:rPr>
          <w:rFonts w:ascii="Titillium" w:hAnsi="Titillium" w:cs="Arial"/>
          <w:bCs/>
        </w:rPr>
        <w:t>The principles of this s</w:t>
      </w:r>
      <w:r w:rsidR="00E1086D" w:rsidRPr="00BF6674">
        <w:rPr>
          <w:rFonts w:ascii="Titillium" w:hAnsi="Titillium" w:cs="Arial"/>
          <w:bCs/>
        </w:rPr>
        <w:t xml:space="preserve">tatement apply to all our </w:t>
      </w:r>
      <w:r w:rsidR="008668CE">
        <w:rPr>
          <w:rFonts w:ascii="Titillium" w:hAnsi="Titillium" w:cs="Arial"/>
          <w:bCs/>
        </w:rPr>
        <w:t>staff and students</w:t>
      </w:r>
      <w:r w:rsidR="00DE72D7" w:rsidRPr="00BF6674">
        <w:rPr>
          <w:rFonts w:ascii="Titillium" w:hAnsi="Titillium" w:cs="Arial"/>
          <w:bCs/>
        </w:rPr>
        <w:t>.</w:t>
      </w:r>
      <w:r w:rsidR="008668CE">
        <w:rPr>
          <w:rFonts w:ascii="Titillium" w:hAnsi="Titillium" w:cs="Arial"/>
          <w:bCs/>
        </w:rPr>
        <w:t xml:space="preserve">  </w:t>
      </w:r>
      <w:r w:rsidR="00DE72D7" w:rsidRPr="00BF6674">
        <w:rPr>
          <w:rFonts w:ascii="Titillium" w:hAnsi="Titillium" w:cs="Arial"/>
          <w:bCs/>
        </w:rPr>
        <w:t xml:space="preserve">Inclusion is one of our </w:t>
      </w:r>
      <w:r w:rsidR="00DA2F13">
        <w:rPr>
          <w:rFonts w:ascii="Titillium" w:hAnsi="Titillium" w:cs="Arial"/>
          <w:bCs/>
        </w:rPr>
        <w:t xml:space="preserve">four </w:t>
      </w:r>
      <w:hyperlink r:id="rId11" w:history="1">
        <w:r w:rsidR="00DE72D7" w:rsidRPr="009A3E59">
          <w:rPr>
            <w:rStyle w:val="Hyperlink"/>
            <w:rFonts w:ascii="Titillium" w:hAnsi="Titillium" w:cs="Arial"/>
            <w:bCs/>
          </w:rPr>
          <w:t>values</w:t>
        </w:r>
      </w:hyperlink>
      <w:r w:rsidR="00DA2F13">
        <w:rPr>
          <w:rFonts w:ascii="Titillium" w:hAnsi="Titillium" w:cs="Arial"/>
          <w:bCs/>
        </w:rPr>
        <w:t xml:space="preserve"> (professional, innovative, ambitious and inclusive)</w:t>
      </w:r>
      <w:r w:rsidR="00583697" w:rsidRPr="00BF6674">
        <w:rPr>
          <w:rFonts w:ascii="Titillium" w:hAnsi="Titillium" w:cs="Arial"/>
          <w:bCs/>
        </w:rPr>
        <w:t>,</w:t>
      </w:r>
      <w:r w:rsidR="00DE72D7" w:rsidRPr="00BF6674">
        <w:rPr>
          <w:rFonts w:ascii="Titillium" w:hAnsi="Titillium" w:cs="Arial"/>
          <w:bCs/>
        </w:rPr>
        <w:t xml:space="preserve"> and our expected behaviours </w:t>
      </w:r>
      <w:r w:rsidR="00583697" w:rsidRPr="00BF6674">
        <w:rPr>
          <w:rFonts w:ascii="Titillium" w:hAnsi="Titillium" w:cs="Arial"/>
          <w:bCs/>
        </w:rPr>
        <w:t>seek to create a culture where everyone feels proud, confident, challenged and supported.</w:t>
      </w:r>
      <w:r w:rsidR="006378C3">
        <w:rPr>
          <w:rFonts w:ascii="Titillium" w:hAnsi="Titillium" w:cs="Arial"/>
          <w:bCs/>
        </w:rPr>
        <w:t xml:space="preserve">  </w:t>
      </w:r>
    </w:p>
    <w:p w:rsidR="002057F1" w:rsidRPr="00BF6674" w:rsidRDefault="002057F1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27"/>
        <w:rPr>
          <w:rFonts w:ascii="Titillium" w:hAnsi="Titillium" w:cs="Arial"/>
        </w:rPr>
      </w:pPr>
    </w:p>
    <w:p w:rsidR="00725519" w:rsidRPr="00BF6674" w:rsidRDefault="00675EBC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We are committed to promot</w:t>
      </w:r>
      <w:r w:rsidR="00A651CF" w:rsidRPr="00BF6674">
        <w:rPr>
          <w:rFonts w:ascii="Titillium" w:hAnsi="Titillium" w:cs="Arial"/>
        </w:rPr>
        <w:t>ing and implemen</w:t>
      </w:r>
      <w:r w:rsidRPr="00BF6674">
        <w:rPr>
          <w:rFonts w:ascii="Titillium" w:hAnsi="Titillium" w:cs="Arial"/>
        </w:rPr>
        <w:t>ting equality</w:t>
      </w:r>
      <w:r w:rsidR="00A651CF" w:rsidRPr="00BF6674">
        <w:rPr>
          <w:rFonts w:ascii="Titillium" w:hAnsi="Titillium" w:cs="Arial"/>
        </w:rPr>
        <w:t xml:space="preserve"> of opportunity in all that we do.</w:t>
      </w:r>
      <w:r w:rsidRPr="00BF6674">
        <w:rPr>
          <w:rFonts w:ascii="Titillium" w:hAnsi="Titillium" w:cs="Arial"/>
        </w:rPr>
        <w:t xml:space="preserve">  </w:t>
      </w:r>
      <w:r w:rsidR="00583697" w:rsidRPr="00BF6674">
        <w:rPr>
          <w:rFonts w:ascii="Titillium" w:hAnsi="Titillium" w:cs="Arial"/>
        </w:rPr>
        <w:t>We will always provide a place to work or study without bias and do not discriminate on the grounds of those characteristics protected under the Equality Act 2010</w:t>
      </w:r>
      <w:r w:rsidR="00A651CF" w:rsidRPr="00BF6674">
        <w:rPr>
          <w:rFonts w:ascii="Titillium" w:hAnsi="Titillium" w:cs="Arial"/>
        </w:rPr>
        <w:t>.</w:t>
      </w:r>
      <w:r w:rsidR="001E357D" w:rsidRPr="00BF6674">
        <w:rPr>
          <w:rFonts w:ascii="Titillium" w:hAnsi="Titillium" w:cs="Arial"/>
        </w:rPr>
        <w:t xml:space="preserve">  As an inclusive institution there are additional grounds on which we will not discriminate, and Edinburgh Napier University is particularly committed to widening access to higher education.</w:t>
      </w:r>
    </w:p>
    <w:p w:rsidR="00A651CF" w:rsidRPr="00BF6674" w:rsidRDefault="00A651CF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</w:p>
    <w:p w:rsidR="00A651CF" w:rsidRPr="00BF6674" w:rsidRDefault="009B4C2C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  <w:r>
        <w:rPr>
          <w:rFonts w:ascii="Titillium" w:hAnsi="Titillium" w:cs="Arial"/>
        </w:rPr>
        <w:t>The protected characteristics</w:t>
      </w:r>
      <w:r w:rsidR="00A651CF" w:rsidRPr="00BF6674">
        <w:rPr>
          <w:rFonts w:ascii="Titillium" w:hAnsi="Titillium" w:cs="Arial"/>
        </w:rPr>
        <w:t>:</w:t>
      </w:r>
    </w:p>
    <w:p w:rsidR="001E357D" w:rsidRPr="00BF6674" w:rsidRDefault="001E357D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</w:p>
    <w:p w:rsidR="001E357D" w:rsidRPr="00BF6674" w:rsidRDefault="009B4C2C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>g</w:t>
      </w:r>
      <w:r w:rsidR="001E357D" w:rsidRPr="00BF6674">
        <w:rPr>
          <w:rFonts w:ascii="Titillium" w:hAnsi="Titillium" w:cs="Arial"/>
        </w:rPr>
        <w:t>ender</w:t>
      </w:r>
      <w:r>
        <w:rPr>
          <w:rFonts w:ascii="Titillium" w:hAnsi="Titillium" w:cs="Arial"/>
        </w:rPr>
        <w:t xml:space="preserve"> (sex)</w:t>
      </w:r>
    </w:p>
    <w:p w:rsidR="001E357D" w:rsidRPr="00BF6674" w:rsidRDefault="009B4C2C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>age</w:t>
      </w:r>
      <w:r w:rsidR="001E357D" w:rsidRPr="00BF6674">
        <w:rPr>
          <w:rFonts w:ascii="Titillium" w:hAnsi="Titillium" w:cs="Arial"/>
        </w:rPr>
        <w:t xml:space="preserve"> </w:t>
      </w:r>
    </w:p>
    <w:p w:rsidR="001E357D" w:rsidRPr="009B4C2C" w:rsidRDefault="001E357D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disability</w:t>
      </w:r>
      <w:r w:rsidR="00EE264D">
        <w:rPr>
          <w:rFonts w:ascii="Titillium" w:hAnsi="Titillium" w:cs="Arial"/>
        </w:rPr>
        <w:t xml:space="preserve"> (including seen and unseen disability)</w:t>
      </w:r>
    </w:p>
    <w:p w:rsidR="001E357D" w:rsidRPr="00BF6674" w:rsidRDefault="001E357D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sexual orientation</w:t>
      </w:r>
    </w:p>
    <w:p w:rsidR="001E357D" w:rsidRPr="00BF6674" w:rsidRDefault="009B4C2C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>religion or belief</w:t>
      </w:r>
    </w:p>
    <w:p w:rsidR="001E357D" w:rsidRPr="00BF6674" w:rsidRDefault="001E357D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pregnancy or</w:t>
      </w:r>
      <w:r w:rsidRPr="00BF6674">
        <w:rPr>
          <w:rFonts w:ascii="Titillium" w:hAnsi="Titillium" w:cs="Arial"/>
          <w:spacing w:val="-3"/>
        </w:rPr>
        <w:t xml:space="preserve"> </w:t>
      </w:r>
      <w:r w:rsidRPr="00BF6674">
        <w:rPr>
          <w:rFonts w:ascii="Titillium" w:hAnsi="Titillium" w:cs="Arial"/>
        </w:rPr>
        <w:t>maternity</w:t>
      </w:r>
    </w:p>
    <w:p w:rsidR="001E357D" w:rsidRDefault="001E357D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gender</w:t>
      </w:r>
      <w:r w:rsidRPr="00BF6674">
        <w:rPr>
          <w:rFonts w:ascii="Titillium" w:hAnsi="Titillium" w:cs="Arial"/>
          <w:spacing w:val="-1"/>
        </w:rPr>
        <w:t xml:space="preserve"> </w:t>
      </w:r>
      <w:r w:rsidRPr="00BF6674">
        <w:rPr>
          <w:rFonts w:ascii="Titillium" w:hAnsi="Titillium" w:cs="Arial"/>
        </w:rPr>
        <w:t>reassignment</w:t>
      </w:r>
    </w:p>
    <w:p w:rsidR="009B4C2C" w:rsidRDefault="009B4C2C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marriage or civil partnership </w:t>
      </w:r>
    </w:p>
    <w:p w:rsidR="009B4C2C" w:rsidRPr="00BF6674" w:rsidRDefault="009B4C2C" w:rsidP="001E357D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>race</w:t>
      </w:r>
    </w:p>
    <w:p w:rsidR="009B4C2C" w:rsidRDefault="009B4C2C" w:rsidP="009B4C2C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</w:p>
    <w:p w:rsidR="009B4C2C" w:rsidRDefault="009B4C2C" w:rsidP="009B4C2C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Additional characteristics: </w:t>
      </w:r>
    </w:p>
    <w:p w:rsidR="009B4C2C" w:rsidRDefault="009B4C2C" w:rsidP="009B4C2C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3"/>
        <w:rPr>
          <w:rFonts w:ascii="Titillium" w:hAnsi="Titillium" w:cs="Arial"/>
        </w:rPr>
      </w:pPr>
    </w:p>
    <w:p w:rsidR="009B4C2C" w:rsidRDefault="009B4C2C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socio-economic</w:t>
      </w:r>
      <w:r w:rsidRPr="00BF6674">
        <w:rPr>
          <w:rFonts w:ascii="Titillium" w:hAnsi="Titillium" w:cs="Arial"/>
          <w:spacing w:val="-3"/>
        </w:rPr>
        <w:t xml:space="preserve"> </w:t>
      </w:r>
      <w:r w:rsidRPr="00BF6674">
        <w:rPr>
          <w:rFonts w:ascii="Titillium" w:hAnsi="Titillium" w:cs="Arial"/>
        </w:rPr>
        <w:t>background</w:t>
      </w:r>
    </w:p>
    <w:p w:rsidR="009B4C2C" w:rsidRDefault="009B4C2C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care experience </w:t>
      </w:r>
    </w:p>
    <w:p w:rsidR="009B4C2C" w:rsidRDefault="009B4C2C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caring responsibilities</w:t>
      </w:r>
    </w:p>
    <w:p w:rsidR="009B4C2C" w:rsidRPr="00BF6674" w:rsidRDefault="009B4C2C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family</w:t>
      </w:r>
      <w:r w:rsidRPr="00BF6674">
        <w:rPr>
          <w:rFonts w:ascii="Titillium" w:hAnsi="Titillium" w:cs="Arial"/>
          <w:spacing w:val="-2"/>
        </w:rPr>
        <w:t xml:space="preserve"> </w:t>
      </w:r>
      <w:r w:rsidRPr="00BF6674">
        <w:rPr>
          <w:rFonts w:ascii="Titillium" w:hAnsi="Titillium" w:cs="Arial"/>
        </w:rPr>
        <w:t>circumstances</w:t>
      </w:r>
    </w:p>
    <w:p w:rsidR="009B4C2C" w:rsidRPr="00161CF2" w:rsidRDefault="009B4C2C" w:rsidP="009B4C2C">
      <w:pPr>
        <w:numPr>
          <w:ilvl w:val="0"/>
          <w:numId w:val="5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trade union</w:t>
      </w:r>
      <w:r w:rsidRPr="00BF6674">
        <w:rPr>
          <w:rFonts w:ascii="Titillium" w:hAnsi="Titillium" w:cs="Arial"/>
          <w:spacing w:val="-2"/>
        </w:rPr>
        <w:t xml:space="preserve"> </w:t>
      </w:r>
      <w:r w:rsidRPr="00BF6674">
        <w:rPr>
          <w:rFonts w:ascii="Titillium" w:hAnsi="Titillium" w:cs="Arial"/>
        </w:rPr>
        <w:t>membership</w:t>
      </w:r>
    </w:p>
    <w:p w:rsidR="009B4C2C" w:rsidRPr="009B4C2C" w:rsidRDefault="009B4C2C" w:rsidP="009B4C2C">
      <w:pPr>
        <w:pStyle w:val="ListParagraph"/>
        <w:numPr>
          <w:ilvl w:val="0"/>
          <w:numId w:val="5"/>
        </w:numPr>
        <w:tabs>
          <w:tab w:val="left" w:pos="1194"/>
        </w:tabs>
        <w:kinsoku w:val="0"/>
        <w:overflowPunct w:val="0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previous or reservist service in HM Forces</w:t>
      </w:r>
    </w:p>
    <w:p w:rsidR="001E357D" w:rsidRPr="00BF6674" w:rsidRDefault="001E357D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</w:p>
    <w:p w:rsidR="001E357D" w:rsidRPr="00BF6674" w:rsidRDefault="008274FC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 xml:space="preserve">We have a comprehensive </w:t>
      </w:r>
      <w:r w:rsidR="009B4C2C">
        <w:rPr>
          <w:rFonts w:ascii="Titillium" w:hAnsi="Titillium" w:cs="Arial"/>
        </w:rPr>
        <w:t>suite</w:t>
      </w:r>
      <w:r w:rsidRPr="00BF6674">
        <w:rPr>
          <w:rFonts w:ascii="Titillium" w:hAnsi="Titillium" w:cs="Arial"/>
        </w:rPr>
        <w:t xml:space="preserve"> of policies and procedures </w:t>
      </w:r>
      <w:r w:rsidR="00325BC0" w:rsidRPr="00BF6674">
        <w:rPr>
          <w:rFonts w:ascii="Titillium" w:hAnsi="Titillium" w:cs="Arial"/>
        </w:rPr>
        <w:t>to implement and maintain equality of opportunity and fair treatment for all.  T</w:t>
      </w:r>
      <w:r w:rsidR="00F50066" w:rsidRPr="00BF6674">
        <w:rPr>
          <w:rFonts w:ascii="Titillium" w:hAnsi="Titillium" w:cs="Arial"/>
        </w:rPr>
        <w:t>hese will be</w:t>
      </w:r>
      <w:r w:rsidR="00325BC0" w:rsidRPr="00BF6674">
        <w:rPr>
          <w:rFonts w:ascii="Titillium" w:hAnsi="Titillium" w:cs="Arial"/>
        </w:rPr>
        <w:t xml:space="preserve"> subject t</w:t>
      </w:r>
      <w:r w:rsidR="00F50066" w:rsidRPr="00BF6674">
        <w:rPr>
          <w:rFonts w:ascii="Titillium" w:hAnsi="Titillium" w:cs="Arial"/>
        </w:rPr>
        <w:t xml:space="preserve">o regular review and amendment and can be found at </w:t>
      </w:r>
      <w:hyperlink r:id="rId12" w:history="1">
        <w:r w:rsidR="00F50066" w:rsidRPr="00BF6674">
          <w:rPr>
            <w:rStyle w:val="Hyperlink"/>
            <w:rFonts w:ascii="Titillium" w:hAnsi="Titillium" w:cs="Arial"/>
          </w:rPr>
          <w:t>http://staff.napier.ac.uk/services/hr/HRDocuments</w:t>
        </w:r>
      </w:hyperlink>
    </w:p>
    <w:p w:rsidR="00F50066" w:rsidRPr="00BF6674" w:rsidRDefault="00F50066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</w:p>
    <w:p w:rsidR="00F50066" w:rsidRPr="00BF6674" w:rsidRDefault="00F50066" w:rsidP="0058369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 xml:space="preserve">The </w:t>
      </w:r>
      <w:r w:rsidR="00F87F64" w:rsidRPr="00BF6674">
        <w:rPr>
          <w:rFonts w:ascii="Titillium" w:hAnsi="Titillium" w:cs="Arial"/>
        </w:rPr>
        <w:t>U</w:t>
      </w:r>
      <w:r w:rsidRPr="00BF6674">
        <w:rPr>
          <w:rFonts w:ascii="Titillium" w:hAnsi="Titillium" w:cs="Arial"/>
        </w:rPr>
        <w:t xml:space="preserve">niversity </w:t>
      </w:r>
      <w:r w:rsidR="00D6250E" w:rsidRPr="00BF6674">
        <w:rPr>
          <w:rFonts w:ascii="Titillium" w:hAnsi="Titillium" w:cs="Arial"/>
        </w:rPr>
        <w:t xml:space="preserve">also fully complies with the statutory requirements of the Public Sector Equality Duty and has published specific Equality Outcomes in pursuit of its </w:t>
      </w:r>
      <w:r w:rsidR="0076456E" w:rsidRPr="00BF6674">
        <w:rPr>
          <w:rFonts w:ascii="Titillium" w:hAnsi="Titillium" w:cs="Arial"/>
        </w:rPr>
        <w:t xml:space="preserve">strategic agenda for inclusion.  Progress against each of these outcomes will be reported to Court annually by the Inclusion Committee.  </w:t>
      </w:r>
      <w:r w:rsidR="00D6250E" w:rsidRPr="00BF6674">
        <w:rPr>
          <w:rFonts w:ascii="Titillium" w:hAnsi="Titillium" w:cs="Arial"/>
        </w:rPr>
        <w:t>These, and the G</w:t>
      </w:r>
      <w:r w:rsidR="0076456E" w:rsidRPr="00BF6674">
        <w:rPr>
          <w:rFonts w:ascii="Titillium" w:hAnsi="Titillium" w:cs="Arial"/>
        </w:rPr>
        <w:t xml:space="preserve">ender Action Plan required by the Scottish Funding </w:t>
      </w:r>
      <w:r w:rsidR="00D6250E" w:rsidRPr="00BF6674">
        <w:rPr>
          <w:rFonts w:ascii="Titillium" w:hAnsi="Titillium" w:cs="Arial"/>
        </w:rPr>
        <w:t>Council can be found at:</w:t>
      </w:r>
    </w:p>
    <w:p w:rsidR="00DE35D2" w:rsidRPr="00BF6674" w:rsidRDefault="009356C6" w:rsidP="00DE35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tillium" w:hAnsi="Titillium" w:cs="Arial"/>
        </w:rPr>
      </w:pPr>
      <w:hyperlink r:id="rId13" w:history="1">
        <w:r w:rsidR="002057F1" w:rsidRPr="00BF6674">
          <w:rPr>
            <w:rStyle w:val="Hyperlink"/>
            <w:rFonts w:ascii="Titillium" w:hAnsi="Titillium" w:cs="Arial"/>
          </w:rPr>
          <w:t>http://www.napier.ac.uk/about-us/university-governance/equality-and-diversity-information</w:t>
        </w:r>
      </w:hyperlink>
    </w:p>
    <w:p w:rsidR="00DE35D2" w:rsidRPr="00BF6674" w:rsidRDefault="00DE35D2" w:rsidP="00DE35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tillium" w:hAnsi="Titillium" w:cs="Arial"/>
        </w:rPr>
      </w:pPr>
    </w:p>
    <w:p w:rsidR="006378C3" w:rsidRPr="00BF6674" w:rsidRDefault="0076456E" w:rsidP="006378C3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tillium" w:hAnsi="Titillium" w:cs="Arial"/>
          <w:bCs/>
        </w:rPr>
      </w:pPr>
      <w:r w:rsidRPr="00BF6674">
        <w:rPr>
          <w:rFonts w:ascii="Titillium" w:hAnsi="Titillium" w:cs="Arial"/>
        </w:rPr>
        <w:t>T</w:t>
      </w:r>
      <w:r w:rsidR="00725519" w:rsidRPr="00BF6674">
        <w:rPr>
          <w:rFonts w:ascii="Titillium" w:hAnsi="Titillium" w:cs="Arial"/>
        </w:rPr>
        <w:t>he</w:t>
      </w:r>
      <w:r w:rsidR="007F024B" w:rsidRPr="00BF6674">
        <w:rPr>
          <w:rFonts w:ascii="Titillium" w:hAnsi="Titillium" w:cs="Arial"/>
        </w:rPr>
        <w:t>re is a shared</w:t>
      </w:r>
      <w:r w:rsidR="00F87F64" w:rsidRPr="00BF6674">
        <w:rPr>
          <w:rFonts w:ascii="Titillium" w:hAnsi="Titillium" w:cs="Arial"/>
        </w:rPr>
        <w:t xml:space="preserve"> responsibility for all</w:t>
      </w:r>
      <w:r w:rsidR="009B4C2C">
        <w:rPr>
          <w:rFonts w:ascii="Titillium" w:hAnsi="Titillium" w:cs="Arial"/>
        </w:rPr>
        <w:t xml:space="preserve"> </w:t>
      </w:r>
      <w:r w:rsidR="008668CE">
        <w:rPr>
          <w:rFonts w:ascii="Titillium" w:hAnsi="Titillium" w:cs="Arial"/>
        </w:rPr>
        <w:t xml:space="preserve">in our University community </w:t>
      </w:r>
      <w:r w:rsidR="007F024B" w:rsidRPr="00BF6674">
        <w:rPr>
          <w:rFonts w:ascii="Titillium" w:hAnsi="Titillium" w:cs="Arial"/>
        </w:rPr>
        <w:t>to apply the principle</w:t>
      </w:r>
      <w:r w:rsidR="0093042A" w:rsidRPr="00BF6674">
        <w:rPr>
          <w:rFonts w:ascii="Titillium" w:hAnsi="Titillium" w:cs="Arial"/>
        </w:rPr>
        <w:t>s in this statement</w:t>
      </w:r>
      <w:r w:rsidR="006378C3">
        <w:rPr>
          <w:rFonts w:ascii="Titillium" w:hAnsi="Titillium" w:cs="Arial"/>
        </w:rPr>
        <w:t>, and w</w:t>
      </w:r>
      <w:r w:rsidR="006378C3">
        <w:rPr>
          <w:rFonts w:ascii="Titillium" w:hAnsi="Titillium" w:cs="Arial"/>
          <w:bCs/>
        </w:rPr>
        <w:t>e will treat any failure to comply with our expected behaviours seriously.</w:t>
      </w:r>
    </w:p>
    <w:p w:rsidR="006378C3" w:rsidRDefault="008668CE" w:rsidP="00DE35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tillium" w:hAnsi="Titillium" w:cs="Arial"/>
        </w:rPr>
      </w:pPr>
      <w:r>
        <w:rPr>
          <w:rFonts w:ascii="Titillium" w:hAnsi="Titillium" w:cs="Arial"/>
        </w:rPr>
        <w:t xml:space="preserve"> </w:t>
      </w:r>
    </w:p>
    <w:p w:rsidR="009B4C2C" w:rsidRPr="008668CE" w:rsidRDefault="006378C3" w:rsidP="00DE35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tillium" w:hAnsi="Titillium" w:cs="Arial"/>
          <w:color w:val="000000" w:themeColor="text1"/>
        </w:rPr>
      </w:pPr>
      <w:r>
        <w:rPr>
          <w:rFonts w:ascii="Titillium" w:hAnsi="Titillium" w:cs="Arial"/>
        </w:rPr>
        <w:t>We expect all our</w:t>
      </w:r>
      <w:r w:rsidR="00534316" w:rsidRPr="00BF6674">
        <w:rPr>
          <w:rFonts w:ascii="Titillium" w:hAnsi="Titillium" w:cs="Arial"/>
        </w:rPr>
        <w:t xml:space="preserve"> </w:t>
      </w:r>
      <w:r w:rsidR="008668CE">
        <w:rPr>
          <w:rFonts w:ascii="Titillium" w:hAnsi="Titillium" w:cs="Arial"/>
        </w:rPr>
        <w:t>staff</w:t>
      </w:r>
      <w:r w:rsidR="00FB30DD" w:rsidRPr="00BF6674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 xml:space="preserve">to </w:t>
      </w:r>
      <w:r w:rsidR="00FB30DD" w:rsidRPr="00BF6674">
        <w:rPr>
          <w:rFonts w:ascii="Titillium" w:hAnsi="Titillium" w:cs="Arial"/>
        </w:rPr>
        <w:t>de</w:t>
      </w:r>
      <w:r w:rsidR="00BF6674" w:rsidRPr="00BF6674">
        <w:rPr>
          <w:rFonts w:ascii="Titillium" w:hAnsi="Titillium" w:cs="Arial"/>
        </w:rPr>
        <w:t>monstrate</w:t>
      </w:r>
      <w:r w:rsidR="00FB30DD" w:rsidRPr="00BF6674">
        <w:rPr>
          <w:rFonts w:ascii="Titillium" w:hAnsi="Titillium" w:cs="Arial"/>
        </w:rPr>
        <w:t xml:space="preserve"> behaviours that underpin our </w:t>
      </w:r>
      <w:hyperlink r:id="rId14" w:history="1">
        <w:r w:rsidR="00FB30DD" w:rsidRPr="00BF6674">
          <w:rPr>
            <w:rStyle w:val="Hyperlink"/>
            <w:rFonts w:ascii="Titillium" w:hAnsi="Titillium" w:cs="Arial"/>
          </w:rPr>
          <w:t>values</w:t>
        </w:r>
      </w:hyperlink>
      <w:r w:rsidR="008668CE">
        <w:rPr>
          <w:rFonts w:ascii="Titillium" w:hAnsi="Titillium" w:cs="Arial"/>
        </w:rPr>
        <w:t xml:space="preserve"> and our students </w:t>
      </w:r>
      <w:r>
        <w:rPr>
          <w:rFonts w:ascii="Titillium" w:hAnsi="Titillium" w:cs="Arial"/>
        </w:rPr>
        <w:t xml:space="preserve">to </w:t>
      </w:r>
      <w:r w:rsidR="008668CE">
        <w:rPr>
          <w:rFonts w:ascii="Titillium" w:hAnsi="Titillium" w:cs="Arial"/>
        </w:rPr>
        <w:t xml:space="preserve">act in accordance with our Student Charter.  </w:t>
      </w:r>
    </w:p>
    <w:p w:rsidR="007F024B" w:rsidRPr="00BF6674" w:rsidRDefault="0093042A" w:rsidP="00384F13">
      <w:pPr>
        <w:kinsoku w:val="0"/>
        <w:overflowPunct w:val="0"/>
        <w:autoSpaceDE w:val="0"/>
        <w:autoSpaceDN w:val="0"/>
        <w:adjustRightInd w:val="0"/>
        <w:spacing w:before="230" w:line="240" w:lineRule="auto"/>
        <w:ind w:left="112" w:right="87"/>
        <w:rPr>
          <w:rFonts w:ascii="Titillium" w:hAnsi="Titillium" w:cs="Arial"/>
          <w:u w:val="single"/>
        </w:rPr>
        <w:sectPr w:rsidR="007F024B" w:rsidRPr="00BF6674" w:rsidSect="00725519">
          <w:pgSz w:w="11910" w:h="16840"/>
          <w:pgMar w:top="1580" w:right="1040" w:bottom="280" w:left="1020" w:header="720" w:footer="720" w:gutter="0"/>
          <w:cols w:space="720"/>
          <w:noEndnote/>
        </w:sectPr>
      </w:pPr>
      <w:r w:rsidRPr="00BF6674">
        <w:rPr>
          <w:rFonts w:ascii="Titillium" w:hAnsi="Titillium" w:cs="Arial"/>
          <w:u w:val="single"/>
        </w:rPr>
        <w:t>As an institution Edinburgh Napier University will: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p</w:t>
      </w:r>
      <w:r w:rsidR="0093042A" w:rsidRPr="00BF6674">
        <w:rPr>
          <w:rFonts w:ascii="Titillium" w:hAnsi="Titillium" w:cs="Arial"/>
          <w:sz w:val="22"/>
          <w:szCs w:val="22"/>
        </w:rPr>
        <w:t>rovide</w:t>
      </w:r>
      <w:r w:rsidRPr="00BF6674">
        <w:rPr>
          <w:rFonts w:ascii="Titillium" w:hAnsi="Titillium" w:cs="Arial"/>
          <w:sz w:val="22"/>
          <w:szCs w:val="22"/>
        </w:rPr>
        <w:t xml:space="preserve"> training and l</w:t>
      </w:r>
      <w:r w:rsidR="0093042A" w:rsidRPr="00BF6674">
        <w:rPr>
          <w:rFonts w:ascii="Titillium" w:hAnsi="Titillium" w:cs="Arial"/>
          <w:sz w:val="22"/>
          <w:szCs w:val="22"/>
        </w:rPr>
        <w:t>earning opportunities that will</w:t>
      </w:r>
      <w:r w:rsidRPr="00BF6674">
        <w:rPr>
          <w:rFonts w:ascii="Titillium" w:hAnsi="Titillium" w:cs="Arial"/>
          <w:sz w:val="22"/>
          <w:szCs w:val="22"/>
        </w:rPr>
        <w:t xml:space="preserve"> enable </w:t>
      </w:r>
      <w:r w:rsidR="0093042A" w:rsidRPr="00BF6674">
        <w:rPr>
          <w:rFonts w:ascii="Titillium" w:hAnsi="Titillium" w:cs="Arial"/>
          <w:sz w:val="22"/>
          <w:szCs w:val="22"/>
        </w:rPr>
        <w:t xml:space="preserve">our </w:t>
      </w:r>
      <w:r w:rsidR="002E760D">
        <w:rPr>
          <w:rFonts w:ascii="Titillium" w:hAnsi="Titillium" w:cs="Arial"/>
          <w:sz w:val="22"/>
          <w:szCs w:val="22"/>
        </w:rPr>
        <w:t>staff and students</w:t>
      </w:r>
      <w:r w:rsidRPr="00BF6674">
        <w:rPr>
          <w:rFonts w:ascii="Titillium" w:hAnsi="Titillium" w:cs="Arial"/>
          <w:sz w:val="22"/>
          <w:szCs w:val="22"/>
        </w:rPr>
        <w:t xml:space="preserve"> to consider their own prejudices and adopt good</w:t>
      </w:r>
      <w:r w:rsidRPr="00BF6674">
        <w:rPr>
          <w:rFonts w:ascii="Titillium" w:hAnsi="Titillium" w:cs="Arial"/>
          <w:spacing w:val="-13"/>
          <w:sz w:val="22"/>
          <w:szCs w:val="22"/>
        </w:rPr>
        <w:t xml:space="preserve"> </w:t>
      </w:r>
      <w:r w:rsidRPr="00BF6674">
        <w:rPr>
          <w:rFonts w:ascii="Titillium" w:hAnsi="Titillium" w:cs="Arial"/>
          <w:sz w:val="22"/>
          <w:szCs w:val="22"/>
        </w:rPr>
        <w:t>practice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publicise and raise awareness of this statement and its sup</w:t>
      </w:r>
      <w:r w:rsidR="0093042A" w:rsidRPr="00BF6674">
        <w:rPr>
          <w:rFonts w:ascii="Titillium" w:hAnsi="Titillium" w:cs="Arial"/>
          <w:sz w:val="22"/>
          <w:szCs w:val="22"/>
        </w:rPr>
        <w:t>porting policies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operate a fair, open and transparent procedure for the recruitment of staff and</w:t>
      </w:r>
      <w:r w:rsidRPr="00BF6674">
        <w:rPr>
          <w:rFonts w:ascii="Titillium" w:hAnsi="Titillium" w:cs="Arial"/>
          <w:spacing w:val="-9"/>
          <w:sz w:val="22"/>
          <w:szCs w:val="22"/>
        </w:rPr>
        <w:t xml:space="preserve"> </w:t>
      </w:r>
      <w:r w:rsidRPr="00BF6674">
        <w:rPr>
          <w:rFonts w:ascii="Titillium" w:hAnsi="Titillium" w:cs="Arial"/>
          <w:sz w:val="22"/>
          <w:szCs w:val="22"/>
        </w:rPr>
        <w:t>students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provide fair and accessible opportunities for training and promotion to</w:t>
      </w:r>
      <w:r w:rsidRPr="00BF6674">
        <w:rPr>
          <w:rFonts w:ascii="Titillium" w:hAnsi="Titillium" w:cs="Arial"/>
          <w:spacing w:val="-4"/>
          <w:sz w:val="22"/>
          <w:szCs w:val="22"/>
        </w:rPr>
        <w:t xml:space="preserve"> </w:t>
      </w:r>
      <w:r w:rsidRPr="00BF6674">
        <w:rPr>
          <w:rFonts w:ascii="Titillium" w:hAnsi="Titillium" w:cs="Arial"/>
          <w:sz w:val="22"/>
          <w:szCs w:val="22"/>
        </w:rPr>
        <w:t>staff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operate fair and transparent procedures for student assessment, progression, attainment of a</w:t>
      </w:r>
      <w:r w:rsidR="00F87F64" w:rsidRPr="00BF6674">
        <w:rPr>
          <w:rFonts w:ascii="Titillium" w:hAnsi="Titillium" w:cs="Arial"/>
          <w:sz w:val="22"/>
          <w:szCs w:val="22"/>
        </w:rPr>
        <w:t>wards and involvement in other U</w:t>
      </w:r>
      <w:r w:rsidRPr="00BF6674">
        <w:rPr>
          <w:rFonts w:ascii="Titillium" w:hAnsi="Titillium" w:cs="Arial"/>
          <w:sz w:val="22"/>
          <w:szCs w:val="22"/>
        </w:rPr>
        <w:t>niversity</w:t>
      </w:r>
      <w:r w:rsidRPr="00BF6674">
        <w:rPr>
          <w:rFonts w:ascii="Titillium" w:hAnsi="Titillium" w:cs="Arial"/>
          <w:spacing w:val="-10"/>
          <w:sz w:val="22"/>
          <w:szCs w:val="22"/>
        </w:rPr>
        <w:t xml:space="preserve"> </w:t>
      </w:r>
      <w:r w:rsidRPr="00BF6674">
        <w:rPr>
          <w:rFonts w:ascii="Titillium" w:hAnsi="Titillium" w:cs="Arial"/>
          <w:sz w:val="22"/>
          <w:szCs w:val="22"/>
        </w:rPr>
        <w:t>activities</w:t>
      </w:r>
    </w:p>
    <w:p w:rsidR="00F87F64" w:rsidRPr="00BF6674" w:rsidRDefault="00725519" w:rsidP="00F87F64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promote the use of inclusive language and avoid the use of words or phrases which are discriminatory or exclusive in all University publications and</w:t>
      </w:r>
      <w:r w:rsidRPr="00BF6674">
        <w:rPr>
          <w:rFonts w:ascii="Titillium" w:hAnsi="Titillium" w:cs="Arial"/>
          <w:spacing w:val="-15"/>
          <w:sz w:val="22"/>
          <w:szCs w:val="22"/>
        </w:rPr>
        <w:t xml:space="preserve"> </w:t>
      </w:r>
      <w:r w:rsidRPr="00BF6674">
        <w:rPr>
          <w:rFonts w:ascii="Titillium" w:hAnsi="Titillium" w:cs="Arial"/>
          <w:sz w:val="22"/>
          <w:szCs w:val="22"/>
        </w:rPr>
        <w:t>correspondence</w:t>
      </w:r>
    </w:p>
    <w:p w:rsidR="00384F13" w:rsidRPr="00BF6674" w:rsidRDefault="00725519" w:rsidP="00384F13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 xml:space="preserve">introduce new and update existing policies and procedures which support our </w:t>
      </w:r>
      <w:r w:rsidR="00D33FB4" w:rsidRPr="00BF6674">
        <w:rPr>
          <w:rFonts w:ascii="Titillium" w:hAnsi="Titillium" w:cs="Arial"/>
          <w:sz w:val="22"/>
          <w:szCs w:val="22"/>
        </w:rPr>
        <w:t>inclusion agenda</w:t>
      </w:r>
    </w:p>
    <w:p w:rsidR="00725519" w:rsidRPr="00BF6674" w:rsidRDefault="00725519" w:rsidP="00384F13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ensure that all other University policies, procedures, functions, activities, s</w:t>
      </w:r>
      <w:r w:rsidR="00D33FB4" w:rsidRPr="00BF6674">
        <w:rPr>
          <w:rFonts w:ascii="Titillium" w:hAnsi="Titillium" w:cs="Arial"/>
          <w:sz w:val="22"/>
          <w:szCs w:val="22"/>
        </w:rPr>
        <w:t>trategy and decisions reflect our commitment to the creation of a truly inclusive culture</w:t>
      </w:r>
    </w:p>
    <w:p w:rsidR="00384F13" w:rsidRPr="00BF6674" w:rsidRDefault="00384F13" w:rsidP="00384F13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>challenge discriminatory behaviour, attitudes or practices whenever they occur</w:t>
      </w:r>
    </w:p>
    <w:p w:rsidR="00DA2F13" w:rsidRPr="002E760D" w:rsidRDefault="002E760D" w:rsidP="00725519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2E760D">
        <w:rPr>
          <w:rFonts w:ascii="Titillium" w:hAnsi="Titillium"/>
          <w:sz w:val="22"/>
          <w:szCs w:val="22"/>
        </w:rPr>
        <w:t>e</w:t>
      </w:r>
      <w:r w:rsidR="00DA2F13" w:rsidRPr="002E760D">
        <w:rPr>
          <w:rFonts w:ascii="Titillium" w:hAnsi="Titillium"/>
          <w:sz w:val="22"/>
          <w:szCs w:val="22"/>
        </w:rPr>
        <w:t>nsure fair, open and transparent work allocation for staff and research students</w:t>
      </w:r>
    </w:p>
    <w:p w:rsidR="00DA2F13" w:rsidRPr="002E760D" w:rsidRDefault="002E760D" w:rsidP="00725519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2E760D">
        <w:rPr>
          <w:rFonts w:ascii="Titillium" w:hAnsi="Titillium"/>
          <w:sz w:val="22"/>
          <w:szCs w:val="22"/>
        </w:rPr>
        <w:lastRenderedPageBreak/>
        <w:t>p</w:t>
      </w:r>
      <w:r w:rsidR="00DA2F13" w:rsidRPr="002E760D">
        <w:rPr>
          <w:rFonts w:ascii="Titillium" w:hAnsi="Titillium"/>
          <w:sz w:val="22"/>
          <w:szCs w:val="22"/>
        </w:rPr>
        <w:t>rovide fair, open and transparent recognition for staff and research student contributions</w:t>
      </w:r>
    </w:p>
    <w:p w:rsidR="00DA2F13" w:rsidRPr="009A3E59" w:rsidRDefault="002E760D" w:rsidP="00DA2F13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2E760D">
        <w:rPr>
          <w:rFonts w:ascii="Titillium" w:hAnsi="Titillium"/>
          <w:sz w:val="22"/>
          <w:szCs w:val="22"/>
        </w:rPr>
        <w:t>o</w:t>
      </w:r>
      <w:r w:rsidR="00DA2F13" w:rsidRPr="002E760D">
        <w:rPr>
          <w:rFonts w:ascii="Titillium" w:hAnsi="Titillium"/>
          <w:sz w:val="22"/>
          <w:szCs w:val="22"/>
        </w:rPr>
        <w:t>perate a fair, open and transparent procedure for staff and research student development</w:t>
      </w:r>
    </w:p>
    <w:p w:rsidR="009A3E59" w:rsidRDefault="009A3E59" w:rsidP="009A3E59">
      <w:pPr>
        <w:pStyle w:val="ListParagraph"/>
        <w:numPr>
          <w:ilvl w:val="0"/>
          <w:numId w:val="6"/>
        </w:numPr>
        <w:tabs>
          <w:tab w:val="left" w:pos="1194"/>
        </w:tabs>
        <w:kinsoku w:val="0"/>
        <w:overflowPunct w:val="0"/>
        <w:ind w:right="756"/>
        <w:rPr>
          <w:rFonts w:ascii="Titillium" w:hAnsi="Titillium" w:cs="Arial"/>
          <w:sz w:val="22"/>
          <w:szCs w:val="22"/>
        </w:rPr>
      </w:pPr>
      <w:r w:rsidRPr="00BF6674">
        <w:rPr>
          <w:rFonts w:ascii="Titillium" w:hAnsi="Titillium" w:cs="Arial"/>
          <w:sz w:val="22"/>
          <w:szCs w:val="22"/>
        </w:rPr>
        <w:t xml:space="preserve">treat all with respect </w:t>
      </w:r>
    </w:p>
    <w:p w:rsidR="00F87F64" w:rsidRPr="00BF6674" w:rsidRDefault="00F87F64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12"/>
        <w:rPr>
          <w:rFonts w:ascii="Titillium" w:hAnsi="Titillium" w:cs="Arial"/>
        </w:rPr>
      </w:pPr>
      <w:r w:rsidRPr="00BF6674">
        <w:rPr>
          <w:rFonts w:ascii="Titillium" w:hAnsi="Titillium" w:cs="Arial"/>
          <w:u w:val="single" w:color="000000"/>
        </w:rPr>
        <w:t>Complaints</w:t>
      </w: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ind w:left="112" w:right="353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Anyone who believes they have suffered from any form of discrimination, harassment or victimisation is entitled to raise the matter through the University’s agreed procedures.</w:t>
      </w: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</w:p>
    <w:p w:rsidR="00725519" w:rsidRPr="00BF6674" w:rsidRDefault="00725519" w:rsidP="00725519">
      <w:pPr>
        <w:numPr>
          <w:ilvl w:val="0"/>
          <w:numId w:val="2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3"/>
        <w:rPr>
          <w:rFonts w:ascii="Titillium" w:hAnsi="Titillium" w:cs="Arial"/>
          <w:color w:val="0000FF"/>
        </w:rPr>
      </w:pPr>
      <w:r w:rsidRPr="00BF6674">
        <w:rPr>
          <w:rFonts w:ascii="Titillium" w:hAnsi="Titillium" w:cs="Arial"/>
        </w:rPr>
        <w:t>For students, further information is available at</w:t>
      </w:r>
      <w:r w:rsidRPr="00BF6674">
        <w:rPr>
          <w:rFonts w:ascii="Titillium" w:hAnsi="Titillium" w:cs="Arial"/>
          <w:color w:val="0000FF"/>
        </w:rPr>
        <w:t xml:space="preserve"> </w:t>
      </w:r>
      <w:hyperlink r:id="rId15" w:history="1">
        <w:r w:rsidRPr="00BF6674">
          <w:rPr>
            <w:rFonts w:ascii="Titillium" w:hAnsi="Titillium" w:cs="Arial"/>
            <w:color w:val="0000FF"/>
            <w:u w:val="single"/>
          </w:rPr>
          <w:t>http://my.napier.ac.uk/Student-</w:t>
        </w:r>
      </w:hyperlink>
      <w:hyperlink r:id="rId16" w:history="1">
        <w:r w:rsidRPr="00BF6674">
          <w:rPr>
            <w:rFonts w:ascii="Titillium" w:hAnsi="Titillium" w:cs="Arial"/>
            <w:color w:val="0000FF"/>
            <w:spacing w:val="-2"/>
            <w:u w:val="single"/>
          </w:rPr>
          <w:t xml:space="preserve"> </w:t>
        </w:r>
        <w:r w:rsidRPr="00BF6674">
          <w:rPr>
            <w:rFonts w:ascii="Titillium" w:hAnsi="Titillium" w:cs="Arial"/>
            <w:color w:val="0000FF"/>
            <w:u w:val="single"/>
          </w:rPr>
          <w:t>Administration/Complaints/Pages/Complaints.aspx</w:t>
        </w:r>
      </w:hyperlink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tillium" w:hAnsi="Titillium" w:cs="Arial"/>
        </w:rPr>
      </w:pPr>
    </w:p>
    <w:p w:rsidR="00725519" w:rsidRPr="00BF6674" w:rsidRDefault="00725519" w:rsidP="00725519">
      <w:pPr>
        <w:numPr>
          <w:ilvl w:val="0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1"/>
        <w:rPr>
          <w:rFonts w:ascii="Titillium" w:hAnsi="Titillium" w:cs="Arial"/>
          <w:color w:val="0000FF"/>
        </w:rPr>
      </w:pPr>
      <w:r w:rsidRPr="00BF6674">
        <w:rPr>
          <w:rFonts w:ascii="Titillium" w:hAnsi="Titillium" w:cs="Arial"/>
        </w:rPr>
        <w:t>Staff should consult the Human Resources and Development section of the intranet at</w:t>
      </w:r>
      <w:r w:rsidRPr="00BF6674">
        <w:rPr>
          <w:rFonts w:ascii="Titillium" w:hAnsi="Titillium" w:cs="Arial"/>
          <w:color w:val="0000FF"/>
        </w:rPr>
        <w:t xml:space="preserve"> </w:t>
      </w:r>
      <w:hyperlink r:id="rId17" w:history="1">
        <w:r w:rsidRPr="00BF6674">
          <w:rPr>
            <w:rFonts w:ascii="Titillium" w:hAnsi="Titillium" w:cs="Arial"/>
            <w:color w:val="0000FF"/>
            <w:u w:val="single"/>
          </w:rPr>
          <w:t>http://staff.napier.ac.uk/Services/\HR</w:t>
        </w:r>
      </w:hyperlink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2" w:right="325"/>
        <w:rPr>
          <w:rFonts w:ascii="Titillium" w:hAnsi="Titillium" w:cs="Arial"/>
          <w:color w:val="000000"/>
        </w:rPr>
      </w:pPr>
      <w:r w:rsidRPr="00BF6674">
        <w:rPr>
          <w:rFonts w:ascii="Titillium" w:hAnsi="Titillium" w:cs="Arial"/>
        </w:rPr>
        <w:t xml:space="preserve">If you have </w:t>
      </w:r>
      <w:r w:rsidR="0076456E" w:rsidRPr="00BF6674">
        <w:rPr>
          <w:rFonts w:ascii="Titillium" w:hAnsi="Titillium" w:cs="Arial"/>
        </w:rPr>
        <w:t xml:space="preserve">any questions or comments about equality and diversity at Edinburgh Napier University or our Inclusion Strategy you can contact </w:t>
      </w:r>
      <w:r w:rsidR="00E945C3">
        <w:rPr>
          <w:rFonts w:ascii="Titillium" w:hAnsi="Titillium" w:cs="Arial"/>
        </w:rPr>
        <w:t xml:space="preserve">the </w:t>
      </w:r>
      <w:hyperlink r:id="rId18" w:history="1">
        <w:r w:rsidR="00E945C3" w:rsidRPr="005A5794">
          <w:rPr>
            <w:rStyle w:val="Hyperlink"/>
            <w:rFonts w:ascii="Titillium" w:hAnsi="Titillium" w:cs="Arial"/>
          </w:rPr>
          <w:t>HR Capability Team</w:t>
        </w:r>
      </w:hyperlink>
      <w:r w:rsidR="00F71556" w:rsidRPr="00BF6674">
        <w:rPr>
          <w:rFonts w:ascii="Titillium" w:hAnsi="Titillium" w:cs="Arial"/>
        </w:rPr>
        <w:t xml:space="preserve"> or </w:t>
      </w:r>
      <w:hyperlink r:id="rId19" w:history="1">
        <w:r w:rsidR="00E945C3" w:rsidRPr="005A5794">
          <w:rPr>
            <w:rStyle w:val="Hyperlink"/>
            <w:rFonts w:ascii="Titillium" w:hAnsi="Titillium" w:cs="Arial"/>
          </w:rPr>
          <w:t>Student Wellbeing and Inclusion Team</w:t>
        </w:r>
      </w:hyperlink>
      <w:r w:rsidR="00E945C3">
        <w:rPr>
          <w:rFonts w:ascii="Titillium" w:hAnsi="Titillium" w:cs="Arial"/>
        </w:rPr>
        <w:t>.</w:t>
      </w:r>
    </w:p>
    <w:p w:rsidR="00725519" w:rsidRPr="00BF6674" w:rsidRDefault="00725519" w:rsidP="007255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456E" w:rsidRPr="00BF6674" w:rsidRDefault="0076456E" w:rsidP="00725519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2"/>
        <w:rPr>
          <w:rFonts w:ascii="Arial" w:hAnsi="Arial" w:cs="Arial"/>
        </w:rPr>
      </w:pPr>
    </w:p>
    <w:p w:rsidR="0076456E" w:rsidRPr="00BF6674" w:rsidRDefault="0076456E" w:rsidP="00725519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12"/>
        <w:rPr>
          <w:rFonts w:ascii="Arial" w:hAnsi="Arial" w:cs="Arial"/>
        </w:rPr>
      </w:pPr>
    </w:p>
    <w:p w:rsidR="00725519" w:rsidRPr="00BF6674" w:rsidRDefault="00725519" w:rsidP="0076456E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>Edinburgh Napier University</w:t>
      </w:r>
      <w:r w:rsidR="0076456E" w:rsidRPr="00BF6674">
        <w:rPr>
          <w:rFonts w:ascii="Titillium" w:hAnsi="Titillium" w:cs="Arial"/>
        </w:rPr>
        <w:t xml:space="preserve"> Inclusion Committee </w:t>
      </w:r>
    </w:p>
    <w:p w:rsidR="0076456E" w:rsidRPr="00BF6674" w:rsidRDefault="0076456E" w:rsidP="007645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 w:rsidRPr="00BF6674">
        <w:rPr>
          <w:rFonts w:ascii="Titillium" w:hAnsi="Titillium" w:cs="Arial"/>
        </w:rPr>
        <w:t xml:space="preserve">Inclusion </w:t>
      </w:r>
      <w:r w:rsidR="00725519" w:rsidRPr="00BF6674">
        <w:rPr>
          <w:rFonts w:ascii="Titillium" w:hAnsi="Titillium" w:cs="Arial"/>
        </w:rPr>
        <w:t xml:space="preserve">Statement </w:t>
      </w:r>
    </w:p>
    <w:p w:rsidR="00725519" w:rsidRPr="00BF6674" w:rsidRDefault="005A5794" w:rsidP="007645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tillium" w:hAnsi="Titillium" w:cs="Arial"/>
        </w:rPr>
      </w:pPr>
      <w:r>
        <w:rPr>
          <w:rFonts w:ascii="Titillium" w:hAnsi="Titillium" w:cs="Arial"/>
        </w:rPr>
        <w:t>October</w:t>
      </w:r>
      <w:r w:rsidR="0076456E" w:rsidRPr="00BF6674">
        <w:rPr>
          <w:rFonts w:ascii="Titillium" w:hAnsi="Titillium" w:cs="Arial"/>
        </w:rPr>
        <w:t xml:space="preserve"> 2017</w:t>
      </w:r>
    </w:p>
    <w:p w:rsidR="0076657F" w:rsidRDefault="0076657F"/>
    <w:sectPr w:rsidR="0076657F" w:rsidSect="00BF15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1580" w:right="1080" w:bottom="280" w:left="1020" w:header="720" w:footer="720" w:gutter="0"/>
      <w:cols w:space="720" w:equalWidth="0">
        <w:col w:w="9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BD" w:rsidRDefault="001D32BD" w:rsidP="00DE35D2">
      <w:pPr>
        <w:spacing w:after="0" w:line="240" w:lineRule="auto"/>
      </w:pPr>
      <w:r>
        <w:separator/>
      </w:r>
    </w:p>
  </w:endnote>
  <w:endnote w:type="continuationSeparator" w:id="0">
    <w:p w:rsidR="001D32BD" w:rsidRDefault="001D32BD" w:rsidP="00D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BD" w:rsidRDefault="001D32BD" w:rsidP="00DE35D2">
      <w:pPr>
        <w:spacing w:after="0" w:line="240" w:lineRule="auto"/>
      </w:pPr>
      <w:r>
        <w:separator/>
      </w:r>
    </w:p>
  </w:footnote>
  <w:footnote w:type="continuationSeparator" w:id="0">
    <w:p w:rsidR="001D32BD" w:rsidRDefault="001D32BD" w:rsidP="00D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D2" w:rsidRDefault="00DE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93" w:hanging="360"/>
      </w:pPr>
      <w:rPr>
        <w:rFonts w:ascii="Arial" w:hAnsi="Arial" w:cs="Arial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064" w:hanging="360"/>
      </w:pPr>
    </w:lvl>
    <w:lvl w:ilvl="2">
      <w:numFmt w:val="bullet"/>
      <w:lvlText w:val="•"/>
      <w:lvlJc w:val="left"/>
      <w:pPr>
        <w:ind w:left="2929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658" w:hanging="360"/>
      </w:pPr>
    </w:lvl>
    <w:lvl w:ilvl="5">
      <w:numFmt w:val="bullet"/>
      <w:lvlText w:val="•"/>
      <w:lvlJc w:val="left"/>
      <w:pPr>
        <w:ind w:left="5523" w:hanging="360"/>
      </w:pPr>
    </w:lvl>
    <w:lvl w:ilvl="6">
      <w:numFmt w:val="bullet"/>
      <w:lvlText w:val="•"/>
      <w:lvlJc w:val="left"/>
      <w:pPr>
        <w:ind w:left="6387" w:hanging="360"/>
      </w:pPr>
    </w:lvl>
    <w:lvl w:ilvl="7">
      <w:numFmt w:val="bullet"/>
      <w:lvlText w:val="•"/>
      <w:lvlJc w:val="left"/>
      <w:pPr>
        <w:ind w:left="7252" w:hanging="360"/>
      </w:pPr>
    </w:lvl>
    <w:lvl w:ilvl="8">
      <w:numFmt w:val="bullet"/>
      <w:lvlText w:val="•"/>
      <w:lvlJc w:val="left"/>
      <w:pPr>
        <w:ind w:left="81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2" w:hanging="360"/>
      </w:pPr>
    </w:lvl>
    <w:lvl w:ilvl="2">
      <w:numFmt w:val="bullet"/>
      <w:lvlText w:val="•"/>
      <w:lvlJc w:val="left"/>
      <w:pPr>
        <w:ind w:left="2065" w:hanging="360"/>
      </w:pPr>
    </w:lvl>
    <w:lvl w:ilvl="3">
      <w:numFmt w:val="bullet"/>
      <w:lvlText w:val="•"/>
      <w:lvlJc w:val="left"/>
      <w:pPr>
        <w:ind w:left="303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983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928" w:hanging="360"/>
      </w:pPr>
    </w:lvl>
    <w:lvl w:ilvl="8">
      <w:numFmt w:val="bullet"/>
      <w:lvlText w:val="•"/>
      <w:lvlJc w:val="left"/>
      <w:pPr>
        <w:ind w:left="790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27" w:hanging="360"/>
      </w:pPr>
    </w:lvl>
    <w:lvl w:ilvl="2">
      <w:numFmt w:val="bullet"/>
      <w:lvlText w:val="•"/>
      <w:lvlJc w:val="left"/>
      <w:pPr>
        <w:ind w:left="2088" w:hanging="360"/>
      </w:pPr>
    </w:lvl>
    <w:lvl w:ilvl="3">
      <w:numFmt w:val="bullet"/>
      <w:lvlText w:val="•"/>
      <w:lvlJc w:val="left"/>
      <w:pPr>
        <w:ind w:left="2948" w:hanging="360"/>
      </w:pPr>
    </w:lvl>
    <w:lvl w:ilvl="4">
      <w:numFmt w:val="bullet"/>
      <w:lvlText w:val="•"/>
      <w:lvlJc w:val="left"/>
      <w:pPr>
        <w:ind w:left="3809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530" w:hanging="360"/>
      </w:pPr>
    </w:lvl>
    <w:lvl w:ilvl="7">
      <w:numFmt w:val="bullet"/>
      <w:lvlText w:val="•"/>
      <w:lvlJc w:val="left"/>
      <w:pPr>
        <w:ind w:left="6391" w:hanging="360"/>
      </w:pPr>
    </w:lvl>
    <w:lvl w:ilvl="8">
      <w:numFmt w:val="bullet"/>
      <w:lvlText w:val="•"/>
      <w:lvlJc w:val="left"/>
      <w:pPr>
        <w:ind w:left="725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5" w15:restartNumberingAfterBreak="0">
    <w:nsid w:val="08F13A88"/>
    <w:multiLevelType w:val="multilevel"/>
    <w:tmpl w:val="00000886"/>
    <w:lvl w:ilvl="0">
      <w:numFmt w:val="bullet"/>
      <w:lvlText w:val=""/>
      <w:lvlJc w:val="left"/>
      <w:pPr>
        <w:ind w:left="11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2" w:hanging="360"/>
      </w:pPr>
    </w:lvl>
    <w:lvl w:ilvl="2">
      <w:numFmt w:val="bullet"/>
      <w:lvlText w:val="•"/>
      <w:lvlJc w:val="left"/>
      <w:pPr>
        <w:ind w:left="2065" w:hanging="360"/>
      </w:pPr>
    </w:lvl>
    <w:lvl w:ilvl="3">
      <w:numFmt w:val="bullet"/>
      <w:lvlText w:val="•"/>
      <w:lvlJc w:val="left"/>
      <w:pPr>
        <w:ind w:left="303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983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928" w:hanging="360"/>
      </w:pPr>
    </w:lvl>
    <w:lvl w:ilvl="8">
      <w:numFmt w:val="bullet"/>
      <w:lvlText w:val="•"/>
      <w:lvlJc w:val="left"/>
      <w:pPr>
        <w:ind w:left="7901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9"/>
    <w:rsid w:val="00081D0F"/>
    <w:rsid w:val="001D32BD"/>
    <w:rsid w:val="001E357D"/>
    <w:rsid w:val="002057F1"/>
    <w:rsid w:val="00275C2F"/>
    <w:rsid w:val="002C17C5"/>
    <w:rsid w:val="002E760D"/>
    <w:rsid w:val="003148B7"/>
    <w:rsid w:val="00325BC0"/>
    <w:rsid w:val="00384F13"/>
    <w:rsid w:val="00534316"/>
    <w:rsid w:val="00551FDB"/>
    <w:rsid w:val="00583697"/>
    <w:rsid w:val="005A1413"/>
    <w:rsid w:val="005A5794"/>
    <w:rsid w:val="006378C3"/>
    <w:rsid w:val="00675EBC"/>
    <w:rsid w:val="00725519"/>
    <w:rsid w:val="0076456E"/>
    <w:rsid w:val="0076657F"/>
    <w:rsid w:val="007F024B"/>
    <w:rsid w:val="0082568A"/>
    <w:rsid w:val="008274FC"/>
    <w:rsid w:val="00827BEA"/>
    <w:rsid w:val="008668CE"/>
    <w:rsid w:val="0093042A"/>
    <w:rsid w:val="009356C6"/>
    <w:rsid w:val="009A3E59"/>
    <w:rsid w:val="009B4C2C"/>
    <w:rsid w:val="00A651CF"/>
    <w:rsid w:val="00AE6F4F"/>
    <w:rsid w:val="00BF6674"/>
    <w:rsid w:val="00CD1B73"/>
    <w:rsid w:val="00D33FB4"/>
    <w:rsid w:val="00D6250E"/>
    <w:rsid w:val="00DA2F13"/>
    <w:rsid w:val="00DE35D2"/>
    <w:rsid w:val="00DE72D7"/>
    <w:rsid w:val="00E1086D"/>
    <w:rsid w:val="00E9304D"/>
    <w:rsid w:val="00E945C3"/>
    <w:rsid w:val="00EE264D"/>
    <w:rsid w:val="00F50066"/>
    <w:rsid w:val="00F71556"/>
    <w:rsid w:val="00F87F64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4C30-2863-4679-B229-F91FA35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5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0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D2"/>
  </w:style>
  <w:style w:type="paragraph" w:styleId="Footer">
    <w:name w:val="footer"/>
    <w:basedOn w:val="Normal"/>
    <w:link w:val="FooterChar"/>
    <w:uiPriority w:val="99"/>
    <w:unhideWhenUsed/>
    <w:rsid w:val="00DE3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pier.ac.uk/about-us/university-governance/equality-and-diversity-information" TargetMode="External"/><Relationship Id="rId18" Type="http://schemas.openxmlformats.org/officeDocument/2006/relationships/hyperlink" Target="http://applications2.napier.ac.uk/StaffDirectory/StaffByDepartment.aspx?DeptId=7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staff.napier.ac.uk/services/hr/HRDocuments" TargetMode="External"/><Relationship Id="rId17" Type="http://schemas.openxmlformats.org/officeDocument/2006/relationships/hyperlink" Target="http://staff.napier.ac.uk/Services/H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my.napier.ac.uk/Student-Administration/Complaints/Pages/Complaint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pier.ac.uk/about-us/our-values-and-strategy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my.napier.ac.uk/Student-Administration/Complaints/Pages/Complaints.asp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applications2.napier.ac.uk/StaffDirectory/StaffByDepartment.aspx?DeptId=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aff.napier.ac.uk/services/hr/Pages/Va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5F2195-A29B-412E-80AE-6EE592D41A86}"/>
</file>

<file path=customXml/itemProps2.xml><?xml version="1.0" encoding="utf-8"?>
<ds:datastoreItem xmlns:ds="http://schemas.openxmlformats.org/officeDocument/2006/customXml" ds:itemID="{B68CD8B9-7664-4D95-A15E-D3CE0C0BCF52}"/>
</file>

<file path=customXml/itemProps3.xml><?xml version="1.0" encoding="utf-8"?>
<ds:datastoreItem xmlns:ds="http://schemas.openxmlformats.org/officeDocument/2006/customXml" ds:itemID="{ED592D42-7F66-42EC-8476-2DC7470AC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NAPIER UNIVERSITY INCLUSION STATEMENT 2017</dc:title>
  <dc:subject/>
  <dc:creator>Forrest-Anderson, Fiona</dc:creator>
  <cp:keywords/>
  <dc:description/>
  <cp:lastModifiedBy>Grant, Lorne</cp:lastModifiedBy>
  <cp:revision>2</cp:revision>
  <dcterms:created xsi:type="dcterms:W3CDTF">2019-05-10T12:11:00Z</dcterms:created>
  <dcterms:modified xsi:type="dcterms:W3CDTF">2019-05-10T12:11:00Z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