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3736" w14:textId="5E3B8C3B" w:rsidR="00771C6E" w:rsidRDefault="005C5AFF" w:rsidP="00771C6E">
      <w:pPr>
        <w:jc w:val="center"/>
        <w:rPr>
          <w:rFonts w:ascii="Titillium" w:eastAsiaTheme="minorEastAsia" w:hAnsi="Titillium"/>
          <w:color w:val="579FBB"/>
          <w:sz w:val="36"/>
          <w:szCs w:val="36"/>
        </w:rPr>
      </w:pPr>
      <w:r>
        <w:rPr>
          <w:rFonts w:ascii="Titillium" w:eastAsiaTheme="minorEastAsia" w:hAnsi="Titillium"/>
          <w:b/>
          <w:color w:val="579FBB"/>
          <w:sz w:val="36"/>
          <w:szCs w:val="36"/>
        </w:rPr>
        <w:t>Guidance for Student Experience Contract</w:t>
      </w:r>
      <w:r>
        <w:rPr>
          <w:rFonts w:ascii="Titillium" w:eastAsiaTheme="minorEastAsia" w:hAnsi="Titillium"/>
          <w:color w:val="579FBB"/>
          <w:sz w:val="36"/>
          <w:szCs w:val="36"/>
        </w:rPr>
        <w:t>s</w:t>
      </w:r>
    </w:p>
    <w:p w14:paraId="1972A621" w14:textId="6A9752B0" w:rsidR="00D864CE" w:rsidRDefault="00D864CE" w:rsidP="00771C6E">
      <w:pPr>
        <w:jc w:val="center"/>
        <w:rPr>
          <w:rFonts w:ascii="Titillium" w:eastAsiaTheme="minorEastAsia" w:hAnsi="Titillium"/>
          <w:color w:val="579FB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7"/>
      </w:tblGrid>
      <w:tr w:rsidR="00D864CE" w:rsidRPr="00786BBB" w14:paraId="2EBAF36A" w14:textId="77777777" w:rsidTr="009F2A5A">
        <w:trPr>
          <w:trHeight w:val="3249"/>
        </w:trPr>
        <w:tc>
          <w:tcPr>
            <w:tcW w:w="1985" w:type="dxa"/>
            <w:tcBorders>
              <w:right w:val="single" w:sz="12" w:space="0" w:color="579FBB"/>
            </w:tcBorders>
          </w:tcPr>
          <w:p w14:paraId="0B123267" w14:textId="77777777" w:rsidR="00D864CE" w:rsidRPr="00786BBB" w:rsidRDefault="00D864CE" w:rsidP="009F2A5A">
            <w:pPr>
              <w:autoSpaceDE w:val="0"/>
              <w:autoSpaceDN w:val="0"/>
              <w:adjustRightInd w:val="0"/>
              <w:rPr>
                <w:rFonts w:ascii="Titillium-Semibold" w:eastAsiaTheme="minorEastAsia" w:hAnsi="Titillium-Semibold" w:cs="Titillium-Semibold"/>
                <w:color w:val="579FBB"/>
                <w:sz w:val="22"/>
                <w:szCs w:val="22"/>
              </w:rPr>
            </w:pPr>
            <w:r w:rsidRPr="00786BBB">
              <w:rPr>
                <w:rFonts w:ascii="Titillium-Semibold" w:eastAsiaTheme="minorEastAsia" w:hAnsi="Titillium-Semibold" w:cs="Titillium-Semibold"/>
                <w:color w:val="579FBB"/>
                <w:sz w:val="22"/>
                <w:szCs w:val="22"/>
              </w:rPr>
              <w:t xml:space="preserve">Table of Contents </w:t>
            </w:r>
          </w:p>
        </w:tc>
        <w:tc>
          <w:tcPr>
            <w:tcW w:w="7637" w:type="dxa"/>
            <w:tcBorders>
              <w:left w:val="single" w:sz="12" w:space="0" w:color="579FBB"/>
            </w:tcBorders>
          </w:tcPr>
          <w:p w14:paraId="54246000" w14:textId="6146F9C0" w:rsidR="00D864CE" w:rsidRDefault="001E261C" w:rsidP="009F2A5A">
            <w:pPr>
              <w:autoSpaceDE w:val="0"/>
              <w:autoSpaceDN w:val="0"/>
              <w:adjustRightInd w:val="0"/>
              <w:spacing w:line="360" w:lineRule="auto"/>
              <w:ind w:left="318"/>
              <w:rPr>
                <w:rFonts w:ascii="Titillium-Semibold" w:eastAsiaTheme="minorEastAsia" w:hAnsi="Titillium-Semibold" w:cs="Titillium-Semibold"/>
                <w:color w:val="DE590A"/>
                <w:sz w:val="22"/>
                <w:szCs w:val="22"/>
              </w:rPr>
            </w:pPr>
            <w:r>
              <w:rPr>
                <w:rFonts w:ascii="Titillium" w:eastAsiaTheme="minorEastAsia" w:hAnsi="Titillium" w:cs="Titillium-Semibold"/>
                <w:b/>
                <w:color w:val="E36C0A"/>
                <w:sz w:val="22"/>
                <w:szCs w:val="22"/>
              </w:rPr>
              <w:t>Student Experience Contract ……………</w:t>
            </w:r>
            <w:r w:rsidR="00824118">
              <w:rPr>
                <w:rFonts w:ascii="Titillium" w:eastAsiaTheme="minorEastAsia" w:hAnsi="Titillium" w:cs="Titillium-Semibold"/>
                <w:color w:val="E36C0A"/>
                <w:sz w:val="22"/>
                <w:szCs w:val="22"/>
              </w:rPr>
              <w:t>…………………………………………...</w:t>
            </w:r>
            <w:r w:rsidR="00D864CE" w:rsidRPr="00465937">
              <w:rPr>
                <w:rFonts w:ascii="Titillium" w:eastAsiaTheme="minorEastAsia" w:hAnsi="Titillium" w:cs="Titillium-Semibold"/>
                <w:sz w:val="22"/>
                <w:szCs w:val="22"/>
              </w:rPr>
              <w:t xml:space="preserve"> </w:t>
            </w:r>
            <w:r w:rsidR="00D864CE" w:rsidRPr="00465937">
              <w:rPr>
                <w:rFonts w:ascii="Titillium-Semibold" w:eastAsiaTheme="minorEastAsia" w:hAnsi="Titillium-Semibold" w:cs="Titillium-Semibold"/>
                <w:color w:val="DE590A"/>
                <w:sz w:val="22"/>
                <w:szCs w:val="22"/>
              </w:rPr>
              <w:t>p.</w:t>
            </w:r>
            <w:r w:rsidR="00D864CE">
              <w:rPr>
                <w:rFonts w:ascii="Titillium-Semibold" w:eastAsiaTheme="minorEastAsia" w:hAnsi="Titillium-Semibold" w:cs="Titillium-Semibold"/>
                <w:color w:val="DE590A"/>
                <w:sz w:val="22"/>
                <w:szCs w:val="22"/>
              </w:rPr>
              <w:t>01</w:t>
            </w:r>
          </w:p>
          <w:p w14:paraId="530FA10C" w14:textId="1ACBF70A" w:rsidR="00D864CE" w:rsidRPr="00D864CE" w:rsidRDefault="001E261C"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Introduction..…………..</w:t>
            </w:r>
            <w:r w:rsidR="00A51D51" w:rsidRPr="00824118">
              <w:rPr>
                <w:rFonts w:ascii="Titillium" w:eastAsiaTheme="minorEastAsia" w:hAnsi="Titillium" w:cs="Titillium-Semibold"/>
                <w:sz w:val="22"/>
                <w:szCs w:val="22"/>
              </w:rPr>
              <w:t>………………………………………………………….. p.01</w:t>
            </w:r>
          </w:p>
          <w:p w14:paraId="741157CB" w14:textId="0858AAB6" w:rsidR="00D864CE" w:rsidRPr="001E261C" w:rsidRDefault="001E261C" w:rsidP="001E261C">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Director of Studies Responsibilities.</w:t>
            </w:r>
            <w:r w:rsidR="00A51D51" w:rsidRPr="001E261C">
              <w:rPr>
                <w:rFonts w:ascii="Titillium" w:eastAsiaTheme="minorEastAsia" w:hAnsi="Titillium" w:cs="Titillium-Semibold"/>
                <w:sz w:val="22"/>
                <w:szCs w:val="22"/>
              </w:rPr>
              <w:t>……………………………………. p.0</w:t>
            </w:r>
            <w:r w:rsidR="006F1B3E">
              <w:rPr>
                <w:rFonts w:ascii="Titillium" w:eastAsiaTheme="minorEastAsia" w:hAnsi="Titillium" w:cs="Titillium-Semibold"/>
                <w:sz w:val="22"/>
                <w:szCs w:val="22"/>
              </w:rPr>
              <w:t>2</w:t>
            </w:r>
          </w:p>
          <w:p w14:paraId="6246F6F4" w14:textId="181B17BC" w:rsidR="00D864CE" w:rsidRPr="00261191" w:rsidRDefault="001E261C" w:rsidP="00261191">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Students Responsibilities..</w:t>
            </w:r>
            <w:r w:rsidR="00261191" w:rsidRPr="00824118">
              <w:rPr>
                <w:rFonts w:ascii="Titillium" w:eastAsiaTheme="minorEastAsia" w:hAnsi="Titillium" w:cs="Titillium-Semibold"/>
                <w:sz w:val="22"/>
                <w:szCs w:val="22"/>
              </w:rPr>
              <w:t>……………………….…………………………. p.02</w:t>
            </w:r>
            <w:r w:rsidR="000C3CD2">
              <w:rPr>
                <w:rFonts w:ascii="Titillium" w:eastAsiaTheme="minorEastAsia" w:hAnsi="Titillium" w:cs="Titillium-Semibold"/>
                <w:sz w:val="22"/>
                <w:szCs w:val="22"/>
              </w:rPr>
              <w:t>-3</w:t>
            </w:r>
          </w:p>
          <w:p w14:paraId="2909F4B8" w14:textId="4D9E909E" w:rsidR="00A51D51" w:rsidRPr="00261191" w:rsidRDefault="006F1B3E" w:rsidP="00261191">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Hours of Work…….</w:t>
            </w:r>
            <w:r w:rsidR="00261191">
              <w:rPr>
                <w:rFonts w:ascii="Titillium" w:eastAsiaTheme="minorEastAsia" w:hAnsi="Titillium" w:cs="Titillium-Semibold"/>
                <w:sz w:val="22"/>
                <w:szCs w:val="22"/>
              </w:rPr>
              <w:t xml:space="preserve"> </w:t>
            </w:r>
            <w:r w:rsidR="00261191" w:rsidRPr="00824118">
              <w:rPr>
                <w:rFonts w:ascii="Titillium" w:eastAsiaTheme="minorEastAsia" w:hAnsi="Titillium" w:cs="Titillium-Semibold"/>
                <w:sz w:val="22"/>
                <w:szCs w:val="22"/>
              </w:rPr>
              <w:t>……………………………………………………………….p.03</w:t>
            </w:r>
          </w:p>
          <w:p w14:paraId="03034CB0" w14:textId="7C37CC67" w:rsidR="00D864CE" w:rsidRPr="00D864CE" w:rsidRDefault="006F1B3E"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Work Activity…………………………</w:t>
            </w:r>
            <w:r w:rsidR="00261191">
              <w:rPr>
                <w:rFonts w:ascii="Titillium" w:eastAsiaTheme="minorEastAsia" w:hAnsi="Titillium" w:cs="Titillium-Semibold"/>
                <w:sz w:val="22"/>
                <w:szCs w:val="22"/>
              </w:rPr>
              <w:t xml:space="preserve"> </w:t>
            </w:r>
            <w:r w:rsidR="00261191" w:rsidRPr="00824118">
              <w:rPr>
                <w:rFonts w:ascii="Titillium" w:eastAsiaTheme="minorEastAsia" w:hAnsi="Titillium" w:cs="Titillium-Semibold"/>
                <w:sz w:val="22"/>
                <w:szCs w:val="22"/>
              </w:rPr>
              <w:t>……</w:t>
            </w:r>
            <w:r w:rsidR="00426717">
              <w:rPr>
                <w:rFonts w:ascii="Titillium" w:eastAsiaTheme="minorEastAsia" w:hAnsi="Titillium" w:cs="Titillium-Semibold"/>
                <w:sz w:val="22"/>
                <w:szCs w:val="22"/>
              </w:rPr>
              <w:t>.</w:t>
            </w:r>
            <w:r w:rsidR="00261191" w:rsidRPr="00824118">
              <w:rPr>
                <w:rFonts w:ascii="Titillium" w:eastAsiaTheme="minorEastAsia" w:hAnsi="Titillium" w:cs="Titillium-Semibold"/>
                <w:sz w:val="22"/>
                <w:szCs w:val="22"/>
              </w:rPr>
              <w:t>………………………………………p.0</w:t>
            </w:r>
            <w:r w:rsidR="002F5B7F">
              <w:rPr>
                <w:rFonts w:ascii="Titillium" w:eastAsiaTheme="minorEastAsia" w:hAnsi="Titillium" w:cs="Titillium-Semibold"/>
                <w:sz w:val="22"/>
                <w:szCs w:val="22"/>
              </w:rPr>
              <w:t>4</w:t>
            </w:r>
          </w:p>
          <w:p w14:paraId="61626C00" w14:textId="383EA7FF" w:rsidR="005F7299" w:rsidRDefault="006F1B3E"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Duration of Contract………………………………</w:t>
            </w:r>
            <w:r w:rsidR="00261191">
              <w:rPr>
                <w:rFonts w:ascii="Titillium" w:eastAsiaTheme="minorEastAsia" w:hAnsi="Titillium" w:cs="Titillium-Semibold"/>
                <w:sz w:val="22"/>
                <w:szCs w:val="22"/>
              </w:rPr>
              <w:t xml:space="preserve"> </w:t>
            </w:r>
            <w:r w:rsidR="00261191" w:rsidRPr="00824118">
              <w:rPr>
                <w:rFonts w:ascii="Titillium" w:eastAsiaTheme="minorEastAsia" w:hAnsi="Titillium" w:cs="Titillium-Semibold"/>
                <w:sz w:val="22"/>
                <w:szCs w:val="22"/>
              </w:rPr>
              <w:t>…………………….…</w:t>
            </w:r>
            <w:r w:rsidR="000C3CD2">
              <w:rPr>
                <w:rFonts w:ascii="Titillium" w:eastAsiaTheme="minorEastAsia" w:hAnsi="Titillium" w:cs="Titillium-Semibold"/>
                <w:sz w:val="22"/>
                <w:szCs w:val="22"/>
              </w:rPr>
              <w:t>.</w:t>
            </w:r>
            <w:r w:rsidR="00261191" w:rsidRPr="00824118">
              <w:rPr>
                <w:rFonts w:ascii="Titillium" w:eastAsiaTheme="minorEastAsia" w:hAnsi="Titillium" w:cs="Titillium-Semibold"/>
                <w:sz w:val="22"/>
                <w:szCs w:val="22"/>
              </w:rPr>
              <w:t>…</w:t>
            </w:r>
            <w:r w:rsidR="000C3CD2">
              <w:rPr>
                <w:rFonts w:ascii="Titillium" w:eastAsiaTheme="minorEastAsia" w:hAnsi="Titillium" w:cs="Titillium-Semibold"/>
                <w:sz w:val="22"/>
                <w:szCs w:val="22"/>
              </w:rPr>
              <w:t>.</w:t>
            </w:r>
            <w:r w:rsidR="00261191" w:rsidRPr="00824118">
              <w:rPr>
                <w:rFonts w:ascii="Titillium" w:eastAsiaTheme="minorEastAsia" w:hAnsi="Titillium" w:cs="Titillium-Semibold"/>
                <w:sz w:val="22"/>
                <w:szCs w:val="22"/>
              </w:rPr>
              <w:t>.p.0</w:t>
            </w:r>
            <w:r w:rsidR="002F5B7F">
              <w:rPr>
                <w:rFonts w:ascii="Titillium" w:eastAsiaTheme="minorEastAsia" w:hAnsi="Titillium" w:cs="Titillium-Semibold"/>
                <w:sz w:val="22"/>
                <w:szCs w:val="22"/>
              </w:rPr>
              <w:t>4</w:t>
            </w:r>
          </w:p>
          <w:p w14:paraId="126ADDC1" w14:textId="7BCCAA92" w:rsidR="005F7299" w:rsidRDefault="00876382"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Initiating a Contract………………..</w:t>
            </w:r>
            <w:r w:rsidR="00261191" w:rsidRPr="00824118">
              <w:rPr>
                <w:rFonts w:ascii="Titillium" w:eastAsiaTheme="minorEastAsia" w:hAnsi="Titillium" w:cs="Titillium-Semibold"/>
                <w:sz w:val="22"/>
                <w:szCs w:val="22"/>
              </w:rPr>
              <w:t>…………………………………………… p.0</w:t>
            </w:r>
            <w:r w:rsidR="002F5B7F">
              <w:rPr>
                <w:rFonts w:ascii="Titillium" w:eastAsiaTheme="minorEastAsia" w:hAnsi="Titillium" w:cs="Titillium-Semibold"/>
                <w:sz w:val="22"/>
                <w:szCs w:val="22"/>
              </w:rPr>
              <w:t>4</w:t>
            </w:r>
          </w:p>
          <w:p w14:paraId="0D586DB4" w14:textId="4D02B3E1" w:rsidR="00A51D51" w:rsidRDefault="002F5B7F" w:rsidP="00777CFB">
            <w:pPr>
              <w:pStyle w:val="ListParagraph"/>
              <w:numPr>
                <w:ilvl w:val="0"/>
                <w:numId w:val="10"/>
              </w:numPr>
              <w:autoSpaceDE w:val="0"/>
              <w:autoSpaceDN w:val="0"/>
              <w:adjustRightInd w:val="0"/>
              <w:spacing w:line="360" w:lineRule="auto"/>
              <w:rPr>
                <w:rFonts w:ascii="Titillium" w:eastAsiaTheme="minorEastAsia" w:hAnsi="Titillium" w:cs="Titillium-Semibold"/>
                <w:sz w:val="22"/>
                <w:szCs w:val="22"/>
              </w:rPr>
            </w:pPr>
            <w:r>
              <w:rPr>
                <w:rFonts w:ascii="Titillium" w:eastAsiaTheme="minorEastAsia" w:hAnsi="Titillium" w:cs="Titillium-Semibold"/>
                <w:sz w:val="22"/>
                <w:szCs w:val="22"/>
              </w:rPr>
              <w:t>Payment for Holidays</w:t>
            </w:r>
            <w:r w:rsidR="00261191" w:rsidRPr="00824118">
              <w:rPr>
                <w:rFonts w:ascii="Titillium" w:eastAsiaTheme="minorEastAsia" w:hAnsi="Titillium" w:cs="Titillium-Semibold"/>
                <w:sz w:val="22"/>
                <w:szCs w:val="22"/>
              </w:rPr>
              <w:t>………………</w:t>
            </w:r>
            <w:r w:rsidR="00824118" w:rsidRPr="00824118">
              <w:rPr>
                <w:rFonts w:ascii="Titillium" w:eastAsiaTheme="minorEastAsia" w:hAnsi="Titillium" w:cs="Titillium-Semibold"/>
                <w:sz w:val="22"/>
                <w:szCs w:val="22"/>
              </w:rPr>
              <w:t>……………………………………….…</w:t>
            </w:r>
            <w:r w:rsidR="000C3CD2">
              <w:rPr>
                <w:rFonts w:ascii="Titillium" w:eastAsiaTheme="minorEastAsia" w:hAnsi="Titillium" w:cs="Titillium-Semibold"/>
                <w:sz w:val="22"/>
                <w:szCs w:val="22"/>
              </w:rPr>
              <w:t>.</w:t>
            </w:r>
            <w:r w:rsidR="00824118" w:rsidRPr="00824118">
              <w:rPr>
                <w:rFonts w:ascii="Titillium" w:eastAsiaTheme="minorEastAsia" w:hAnsi="Titillium" w:cs="Titillium-Semibold"/>
                <w:sz w:val="22"/>
                <w:szCs w:val="22"/>
              </w:rPr>
              <w:t>p.0</w:t>
            </w:r>
            <w:r>
              <w:rPr>
                <w:rFonts w:ascii="Titillium" w:eastAsiaTheme="minorEastAsia" w:hAnsi="Titillium" w:cs="Titillium-Semibold"/>
                <w:sz w:val="22"/>
                <w:szCs w:val="22"/>
              </w:rPr>
              <w:t>5</w:t>
            </w:r>
          </w:p>
          <w:p w14:paraId="2FECE932" w14:textId="7E73D194" w:rsidR="00A51D51" w:rsidRPr="00A51D51" w:rsidRDefault="002F5B7F" w:rsidP="00A51D51">
            <w:pPr>
              <w:pStyle w:val="ListParagraph"/>
              <w:numPr>
                <w:ilvl w:val="0"/>
                <w:numId w:val="34"/>
              </w:numPr>
              <w:autoSpaceDE w:val="0"/>
              <w:autoSpaceDN w:val="0"/>
              <w:adjustRightInd w:val="0"/>
              <w:spacing w:line="360" w:lineRule="auto"/>
              <w:rPr>
                <w:rFonts w:ascii="Titillium" w:eastAsiaTheme="minorEastAsia" w:hAnsi="Titillium" w:cs="Titillium-Semibold"/>
                <w:b/>
                <w:sz w:val="22"/>
                <w:szCs w:val="22"/>
              </w:rPr>
            </w:pPr>
            <w:r>
              <w:rPr>
                <w:rFonts w:ascii="Titillium" w:eastAsiaTheme="minorEastAsia" w:hAnsi="Titillium" w:cs="Titillium-Semibold"/>
                <w:sz w:val="22"/>
                <w:szCs w:val="22"/>
              </w:rPr>
              <w:t>Management Information…………………………………………………….p.05</w:t>
            </w:r>
          </w:p>
        </w:tc>
      </w:tr>
    </w:tbl>
    <w:p w14:paraId="2B9B4B95" w14:textId="77777777" w:rsidR="00C442C8" w:rsidRDefault="00C442C8" w:rsidP="00771C6E">
      <w:pPr>
        <w:jc w:val="center"/>
        <w:rPr>
          <w:rFonts w:ascii="Titillium" w:eastAsiaTheme="minorEastAsia" w:hAnsi="Titillium"/>
          <w:color w:val="579FBB"/>
          <w:sz w:val="36"/>
          <w:szCs w:val="36"/>
        </w:rPr>
      </w:pPr>
    </w:p>
    <w:p w14:paraId="517FD62B" w14:textId="304812D4" w:rsidR="005F7299" w:rsidRDefault="005F7299" w:rsidP="00771C6E">
      <w:pPr>
        <w:jc w:val="center"/>
        <w:rPr>
          <w:rFonts w:ascii="Titillium" w:eastAsiaTheme="minorEastAsia" w:hAnsi="Titillium"/>
          <w:color w:val="579FBB"/>
          <w:sz w:val="36"/>
          <w:szCs w:val="36"/>
        </w:rPr>
      </w:pPr>
    </w:p>
    <w:p w14:paraId="6E060D0A" w14:textId="14CEBCB0" w:rsidR="00BE58DF" w:rsidRPr="00A70615" w:rsidRDefault="00BE58DF" w:rsidP="00C70CDD">
      <w:pPr>
        <w:jc w:val="both"/>
        <w:rPr>
          <w:rFonts w:ascii="Titillium" w:eastAsiaTheme="minorEastAsia" w:hAnsi="Titillium"/>
          <w:b/>
          <w:color w:val="579FBB"/>
          <w:sz w:val="32"/>
          <w:szCs w:val="32"/>
        </w:rPr>
      </w:pPr>
      <w:r w:rsidRPr="00A70615">
        <w:rPr>
          <w:rFonts w:ascii="Titillium" w:eastAsiaTheme="minorEastAsia" w:hAnsi="Titillium"/>
          <w:b/>
          <w:color w:val="579FBB"/>
          <w:sz w:val="32"/>
          <w:szCs w:val="32"/>
        </w:rPr>
        <w:t>Introduction</w:t>
      </w:r>
    </w:p>
    <w:p w14:paraId="5A295958" w14:textId="69D8B066" w:rsidR="00BE58DF" w:rsidRDefault="00BE58DF" w:rsidP="00C70CDD">
      <w:pPr>
        <w:jc w:val="both"/>
        <w:rPr>
          <w:rFonts w:ascii="Titillium" w:eastAsiaTheme="minorEastAsia" w:hAnsi="Titillium"/>
          <w:sz w:val="22"/>
          <w:szCs w:val="22"/>
        </w:rPr>
      </w:pPr>
    </w:p>
    <w:p w14:paraId="303DA486" w14:textId="35D7895C" w:rsidR="00417EBB" w:rsidRDefault="00BE58DF" w:rsidP="00C70CDD">
      <w:pPr>
        <w:jc w:val="both"/>
        <w:rPr>
          <w:rFonts w:ascii="Titillium" w:eastAsiaTheme="minorEastAsia" w:hAnsi="Titillium"/>
          <w:sz w:val="22"/>
          <w:szCs w:val="22"/>
        </w:rPr>
      </w:pPr>
      <w:r>
        <w:rPr>
          <w:rFonts w:ascii="Titillium" w:eastAsiaTheme="minorEastAsia" w:hAnsi="Titillium"/>
          <w:sz w:val="22"/>
          <w:szCs w:val="22"/>
        </w:rPr>
        <w:t xml:space="preserve">The aim of this guidance is to support </w:t>
      </w:r>
      <w:r w:rsidR="005C5AFF">
        <w:rPr>
          <w:rFonts w:ascii="Titillium" w:eastAsiaTheme="minorEastAsia" w:hAnsi="Titillium"/>
          <w:sz w:val="22"/>
          <w:szCs w:val="22"/>
        </w:rPr>
        <w:t xml:space="preserve">Schools </w:t>
      </w:r>
      <w:r w:rsidR="00B850F1">
        <w:rPr>
          <w:rFonts w:ascii="Titillium" w:eastAsiaTheme="minorEastAsia" w:hAnsi="Titillium"/>
          <w:sz w:val="22"/>
          <w:szCs w:val="22"/>
        </w:rPr>
        <w:t xml:space="preserve">to </w:t>
      </w:r>
      <w:r w:rsidR="005C5AFF">
        <w:rPr>
          <w:rFonts w:ascii="Titillium" w:eastAsiaTheme="minorEastAsia" w:hAnsi="Titillium"/>
          <w:sz w:val="22"/>
          <w:szCs w:val="22"/>
        </w:rPr>
        <w:t xml:space="preserve">implement and manage </w:t>
      </w:r>
      <w:r w:rsidR="00551AAB">
        <w:rPr>
          <w:rFonts w:ascii="Titillium" w:eastAsiaTheme="minorEastAsia" w:hAnsi="Titillium"/>
          <w:sz w:val="22"/>
          <w:szCs w:val="22"/>
        </w:rPr>
        <w:t>S</w:t>
      </w:r>
      <w:r w:rsidR="005C5AFF">
        <w:rPr>
          <w:rFonts w:ascii="Titillium" w:eastAsiaTheme="minorEastAsia" w:hAnsi="Titillium"/>
          <w:sz w:val="22"/>
          <w:szCs w:val="22"/>
        </w:rPr>
        <w:t xml:space="preserve">tudent </w:t>
      </w:r>
      <w:r w:rsidR="00551AAB">
        <w:rPr>
          <w:rFonts w:ascii="Titillium" w:eastAsiaTheme="minorEastAsia" w:hAnsi="Titillium"/>
          <w:sz w:val="22"/>
          <w:szCs w:val="22"/>
        </w:rPr>
        <w:t>E</w:t>
      </w:r>
      <w:r w:rsidR="005C5AFF">
        <w:rPr>
          <w:rFonts w:ascii="Titillium" w:eastAsiaTheme="minorEastAsia" w:hAnsi="Titillium"/>
          <w:sz w:val="22"/>
          <w:szCs w:val="22"/>
        </w:rPr>
        <w:t xml:space="preserve">xperience </w:t>
      </w:r>
      <w:r w:rsidR="00551AAB">
        <w:rPr>
          <w:rFonts w:ascii="Titillium" w:eastAsiaTheme="minorEastAsia" w:hAnsi="Titillium"/>
          <w:sz w:val="22"/>
          <w:szCs w:val="22"/>
        </w:rPr>
        <w:t>C</w:t>
      </w:r>
      <w:r w:rsidR="005C5AFF">
        <w:rPr>
          <w:rFonts w:ascii="Titillium" w:eastAsiaTheme="minorEastAsia" w:hAnsi="Titillium"/>
          <w:sz w:val="22"/>
          <w:szCs w:val="22"/>
        </w:rPr>
        <w:t xml:space="preserve">ontracts. </w:t>
      </w:r>
      <w:r>
        <w:rPr>
          <w:rFonts w:ascii="Titillium" w:eastAsiaTheme="minorEastAsia" w:hAnsi="Titillium"/>
          <w:sz w:val="22"/>
          <w:szCs w:val="22"/>
        </w:rPr>
        <w:t xml:space="preserve"> </w:t>
      </w:r>
      <w:r w:rsidR="005C5AFF">
        <w:rPr>
          <w:rFonts w:ascii="Titillium" w:eastAsiaTheme="minorEastAsia" w:hAnsi="Titillium"/>
          <w:sz w:val="22"/>
          <w:szCs w:val="22"/>
        </w:rPr>
        <w:t xml:space="preserve">   These contracts are only </w:t>
      </w:r>
      <w:r w:rsidR="00417EBB">
        <w:rPr>
          <w:rFonts w:ascii="Titillium" w:eastAsiaTheme="minorEastAsia" w:hAnsi="Titillium"/>
          <w:sz w:val="22"/>
          <w:szCs w:val="22"/>
        </w:rPr>
        <w:t xml:space="preserve">available </w:t>
      </w:r>
      <w:r w:rsidR="005C5AFF">
        <w:rPr>
          <w:rFonts w:ascii="Titillium" w:eastAsiaTheme="minorEastAsia" w:hAnsi="Titillium"/>
          <w:sz w:val="22"/>
          <w:szCs w:val="22"/>
        </w:rPr>
        <w:t>for students register</w:t>
      </w:r>
      <w:r w:rsidR="00417EBB">
        <w:rPr>
          <w:rFonts w:ascii="Titillium" w:eastAsiaTheme="minorEastAsia" w:hAnsi="Titillium"/>
          <w:sz w:val="22"/>
          <w:szCs w:val="22"/>
        </w:rPr>
        <w:t>ed on a PhD, MRes, MPhil or DBA</w:t>
      </w:r>
      <w:r w:rsidR="00B850F1">
        <w:rPr>
          <w:rFonts w:ascii="Titillium" w:eastAsiaTheme="minorEastAsia" w:hAnsi="Titillium"/>
          <w:sz w:val="22"/>
          <w:szCs w:val="22"/>
        </w:rPr>
        <w:t>.</w:t>
      </w:r>
    </w:p>
    <w:p w14:paraId="54F39E8B" w14:textId="77777777" w:rsidR="00417EBB" w:rsidRDefault="00417EBB" w:rsidP="00C70CDD">
      <w:pPr>
        <w:jc w:val="both"/>
        <w:rPr>
          <w:rFonts w:ascii="Titillium" w:eastAsiaTheme="minorEastAsia" w:hAnsi="Titillium"/>
          <w:sz w:val="22"/>
          <w:szCs w:val="22"/>
        </w:rPr>
      </w:pPr>
    </w:p>
    <w:p w14:paraId="38F419DD" w14:textId="4BFA1B3C" w:rsidR="00BE58DF" w:rsidRPr="00BE58DF" w:rsidRDefault="00C442C8" w:rsidP="00C70CDD">
      <w:pPr>
        <w:jc w:val="both"/>
        <w:rPr>
          <w:rFonts w:ascii="Titillium" w:eastAsiaTheme="minorEastAsia" w:hAnsi="Titillium"/>
          <w:sz w:val="22"/>
          <w:szCs w:val="22"/>
        </w:rPr>
      </w:pPr>
      <w:r>
        <w:rPr>
          <w:rFonts w:ascii="Titillium" w:eastAsiaTheme="minorEastAsia" w:hAnsi="Titillium"/>
          <w:sz w:val="22"/>
          <w:szCs w:val="22"/>
        </w:rPr>
        <w:t xml:space="preserve">These guidelines </w:t>
      </w:r>
      <w:r w:rsidR="00BE58DF">
        <w:rPr>
          <w:rFonts w:ascii="Titillium" w:eastAsiaTheme="minorEastAsia" w:hAnsi="Titillium"/>
          <w:sz w:val="22"/>
          <w:szCs w:val="22"/>
        </w:rPr>
        <w:t xml:space="preserve">should be read in conjunction with the </w:t>
      </w:r>
      <w:r w:rsidR="005C5AFF">
        <w:rPr>
          <w:rFonts w:ascii="Titillium" w:eastAsiaTheme="minorEastAsia" w:hAnsi="Titillium"/>
          <w:sz w:val="22"/>
          <w:szCs w:val="22"/>
        </w:rPr>
        <w:t>Research Degrees Framework.</w:t>
      </w:r>
    </w:p>
    <w:p w14:paraId="6BCAC2B8" w14:textId="2924139A" w:rsidR="00BE58DF" w:rsidRDefault="00BE58DF" w:rsidP="00C70CDD">
      <w:pPr>
        <w:jc w:val="both"/>
        <w:rPr>
          <w:rFonts w:ascii="Titillium" w:eastAsiaTheme="minorEastAsia" w:hAnsi="Titillium"/>
          <w:b/>
        </w:rPr>
      </w:pPr>
    </w:p>
    <w:p w14:paraId="3BEA7E84" w14:textId="24BA4AD1" w:rsidR="00C442C8" w:rsidRDefault="009A4BBE" w:rsidP="00C70CDD">
      <w:pPr>
        <w:jc w:val="both"/>
        <w:rPr>
          <w:rFonts w:ascii="Titillium" w:hAnsi="Titillium"/>
          <w:color w:val="000000" w:themeColor="text1"/>
          <w:sz w:val="22"/>
          <w:szCs w:val="22"/>
        </w:rPr>
      </w:pPr>
      <w:r>
        <w:rPr>
          <w:rFonts w:ascii="Titillium" w:hAnsi="Titillium"/>
          <w:color w:val="000000" w:themeColor="text1"/>
          <w:sz w:val="22"/>
          <w:szCs w:val="22"/>
        </w:rPr>
        <w:t>The University is at times able to offer paid work to research students, most commonly teaching</w:t>
      </w:r>
      <w:r w:rsidR="00C442C8">
        <w:rPr>
          <w:rFonts w:ascii="Titillium" w:hAnsi="Titillium"/>
          <w:color w:val="000000" w:themeColor="text1"/>
          <w:sz w:val="22"/>
          <w:szCs w:val="22"/>
        </w:rPr>
        <w:t>;</w:t>
      </w:r>
      <w:r>
        <w:rPr>
          <w:rFonts w:ascii="Titillium" w:hAnsi="Titillium"/>
          <w:color w:val="000000" w:themeColor="text1"/>
          <w:sz w:val="22"/>
          <w:szCs w:val="22"/>
        </w:rPr>
        <w:t xml:space="preserve"> demonstrating</w:t>
      </w:r>
      <w:r w:rsidR="00C442C8">
        <w:rPr>
          <w:rFonts w:ascii="Titillium" w:hAnsi="Titillium"/>
          <w:color w:val="000000" w:themeColor="text1"/>
          <w:sz w:val="22"/>
          <w:szCs w:val="22"/>
        </w:rPr>
        <w:t>; and working on research projects outwith the student</w:t>
      </w:r>
      <w:r w:rsidR="00B850F1">
        <w:rPr>
          <w:rFonts w:ascii="Titillium" w:hAnsi="Titillium"/>
          <w:color w:val="000000" w:themeColor="text1"/>
          <w:sz w:val="22"/>
          <w:szCs w:val="22"/>
        </w:rPr>
        <w:t>’</w:t>
      </w:r>
      <w:r w:rsidR="00C442C8">
        <w:rPr>
          <w:rFonts w:ascii="Titillium" w:hAnsi="Titillium"/>
          <w:color w:val="000000" w:themeColor="text1"/>
          <w:sz w:val="22"/>
          <w:szCs w:val="22"/>
        </w:rPr>
        <w:t xml:space="preserve">s </w:t>
      </w:r>
      <w:r w:rsidR="00551AAB">
        <w:rPr>
          <w:rFonts w:ascii="Titillium" w:hAnsi="Titillium"/>
          <w:color w:val="000000" w:themeColor="text1"/>
          <w:sz w:val="22"/>
          <w:szCs w:val="22"/>
        </w:rPr>
        <w:t>own degree</w:t>
      </w:r>
      <w:r w:rsidR="00C442C8">
        <w:rPr>
          <w:rFonts w:ascii="Titillium" w:hAnsi="Titillium"/>
          <w:color w:val="000000" w:themeColor="text1"/>
          <w:sz w:val="22"/>
          <w:szCs w:val="22"/>
        </w:rPr>
        <w:t>.</w:t>
      </w:r>
    </w:p>
    <w:p w14:paraId="30E8B39B" w14:textId="77777777" w:rsidR="00C442C8" w:rsidRDefault="00C442C8" w:rsidP="00C70CDD">
      <w:pPr>
        <w:jc w:val="both"/>
        <w:rPr>
          <w:rFonts w:ascii="Titillium" w:hAnsi="Titillium"/>
          <w:color w:val="000000" w:themeColor="text1"/>
          <w:sz w:val="22"/>
          <w:szCs w:val="22"/>
        </w:rPr>
      </w:pPr>
    </w:p>
    <w:p w14:paraId="5A23A18D" w14:textId="4F591502" w:rsidR="009A4BBE" w:rsidRDefault="00C442C8" w:rsidP="00C70CDD">
      <w:pPr>
        <w:jc w:val="both"/>
        <w:rPr>
          <w:rFonts w:ascii="Titillium" w:hAnsi="Titillium"/>
          <w:color w:val="000000" w:themeColor="text1"/>
          <w:sz w:val="22"/>
          <w:szCs w:val="22"/>
        </w:rPr>
      </w:pPr>
      <w:r>
        <w:rPr>
          <w:rFonts w:ascii="Titillium" w:hAnsi="Titillium"/>
          <w:color w:val="000000" w:themeColor="text1"/>
          <w:sz w:val="22"/>
          <w:szCs w:val="22"/>
        </w:rPr>
        <w:t xml:space="preserve">The </w:t>
      </w:r>
      <w:r w:rsidR="009A4BBE">
        <w:rPr>
          <w:rFonts w:ascii="Titillium" w:hAnsi="Titillium"/>
          <w:color w:val="000000" w:themeColor="text1"/>
          <w:sz w:val="22"/>
          <w:szCs w:val="22"/>
        </w:rPr>
        <w:t xml:space="preserve">Student Experience Contract has been implemented with the purpose of enhancing the student experience by upskilling and giving relevant experience to our students who are studying for a research degree.   </w:t>
      </w:r>
    </w:p>
    <w:p w14:paraId="14090C5D" w14:textId="77777777" w:rsidR="009A4BBE" w:rsidRDefault="009A4BBE" w:rsidP="00C70CDD">
      <w:pPr>
        <w:jc w:val="both"/>
        <w:rPr>
          <w:rFonts w:ascii="Titillium" w:hAnsi="Titillium"/>
          <w:color w:val="000000" w:themeColor="text1"/>
          <w:sz w:val="22"/>
          <w:szCs w:val="22"/>
        </w:rPr>
      </w:pPr>
    </w:p>
    <w:p w14:paraId="3D37302B" w14:textId="65650A0C" w:rsidR="009A4BBE" w:rsidRDefault="009A4BBE" w:rsidP="00C70CDD">
      <w:pPr>
        <w:jc w:val="both"/>
        <w:rPr>
          <w:rFonts w:ascii="Titillium" w:hAnsi="Titillium"/>
          <w:color w:val="000000" w:themeColor="text1"/>
          <w:sz w:val="22"/>
          <w:szCs w:val="22"/>
        </w:rPr>
      </w:pPr>
      <w:r>
        <w:rPr>
          <w:rFonts w:ascii="Titillium" w:hAnsi="Titillium"/>
          <w:color w:val="000000" w:themeColor="text1"/>
          <w:sz w:val="22"/>
          <w:szCs w:val="22"/>
        </w:rPr>
        <w:t xml:space="preserve">The amount of paid work that a student can undertake is contingent on each student’s circumstances and in line with weekly maximums and any visa restrictions.     Study will always be the central focus and progress is measured </w:t>
      </w:r>
      <w:r w:rsidR="00C442C8">
        <w:rPr>
          <w:rFonts w:ascii="Titillium" w:hAnsi="Titillium"/>
          <w:color w:val="000000" w:themeColor="text1"/>
          <w:sz w:val="22"/>
          <w:szCs w:val="22"/>
        </w:rPr>
        <w:t xml:space="preserve">on an ongoing basis and formally at biannual </w:t>
      </w:r>
      <w:r w:rsidR="00551AAB">
        <w:rPr>
          <w:rFonts w:ascii="Titillium" w:hAnsi="Titillium"/>
          <w:color w:val="000000" w:themeColor="text1"/>
          <w:sz w:val="22"/>
          <w:szCs w:val="22"/>
        </w:rPr>
        <w:t xml:space="preserve">progress </w:t>
      </w:r>
      <w:r w:rsidR="00C442C8">
        <w:rPr>
          <w:rFonts w:ascii="Titillium" w:hAnsi="Titillium"/>
          <w:color w:val="000000" w:themeColor="text1"/>
          <w:sz w:val="22"/>
          <w:szCs w:val="22"/>
        </w:rPr>
        <w:t>reviews.</w:t>
      </w:r>
      <w:r>
        <w:rPr>
          <w:rFonts w:ascii="Titillium" w:hAnsi="Titillium"/>
          <w:color w:val="000000" w:themeColor="text1"/>
          <w:sz w:val="22"/>
          <w:szCs w:val="22"/>
        </w:rPr>
        <w:t xml:space="preserve"> </w:t>
      </w:r>
    </w:p>
    <w:p w14:paraId="0DC97567" w14:textId="71A9A329" w:rsidR="009A4BBE" w:rsidRDefault="009A4BBE" w:rsidP="00C70CDD">
      <w:pPr>
        <w:jc w:val="both"/>
        <w:rPr>
          <w:rFonts w:ascii="Titillium" w:hAnsi="Titillium"/>
          <w:color w:val="000000" w:themeColor="text1"/>
          <w:sz w:val="22"/>
          <w:szCs w:val="22"/>
        </w:rPr>
      </w:pPr>
    </w:p>
    <w:p w14:paraId="706995D1" w14:textId="232A5ED5" w:rsidR="00C442C8" w:rsidRDefault="00C442C8" w:rsidP="00C70CDD">
      <w:pPr>
        <w:jc w:val="both"/>
        <w:rPr>
          <w:rFonts w:ascii="Titillium" w:hAnsi="Titillium"/>
          <w:color w:val="000000" w:themeColor="text1"/>
          <w:sz w:val="22"/>
          <w:szCs w:val="22"/>
        </w:rPr>
      </w:pPr>
    </w:p>
    <w:p w14:paraId="2B84D5B7" w14:textId="77777777" w:rsidR="00B850F1" w:rsidRDefault="00B850F1" w:rsidP="00C70CDD">
      <w:pPr>
        <w:jc w:val="both"/>
        <w:rPr>
          <w:rFonts w:ascii="Titillium" w:hAnsi="Titillium"/>
          <w:color w:val="000000" w:themeColor="text1"/>
          <w:sz w:val="22"/>
          <w:szCs w:val="22"/>
        </w:rPr>
      </w:pPr>
    </w:p>
    <w:p w14:paraId="314352E9" w14:textId="69732484" w:rsidR="009A4BBE" w:rsidRDefault="009A4BBE" w:rsidP="009A4BBE">
      <w:pPr>
        <w:jc w:val="both"/>
        <w:rPr>
          <w:rFonts w:ascii="Titillium" w:hAnsi="Titillium"/>
          <w:b/>
          <w:color w:val="E36C0A"/>
        </w:rPr>
      </w:pPr>
      <w:r>
        <w:rPr>
          <w:rFonts w:ascii="Titillium" w:hAnsi="Titillium"/>
          <w:color w:val="000000" w:themeColor="text1"/>
          <w:sz w:val="22"/>
          <w:szCs w:val="22"/>
        </w:rPr>
        <w:lastRenderedPageBreak/>
        <w:t xml:space="preserve"> </w:t>
      </w:r>
      <w:r w:rsidR="00417EBB">
        <w:rPr>
          <w:rFonts w:ascii="Titillium" w:hAnsi="Titillium"/>
          <w:b/>
          <w:color w:val="E36C0A"/>
        </w:rPr>
        <w:t>Responsibilities</w:t>
      </w:r>
    </w:p>
    <w:p w14:paraId="219DE6B2" w14:textId="77777777" w:rsidR="009A4BBE" w:rsidRDefault="009A4BBE" w:rsidP="00C70CDD">
      <w:pPr>
        <w:jc w:val="both"/>
        <w:rPr>
          <w:rFonts w:ascii="Titillium" w:hAnsi="Titillium"/>
          <w:color w:val="000000" w:themeColor="text1"/>
          <w:sz w:val="22"/>
          <w:szCs w:val="22"/>
        </w:rPr>
      </w:pPr>
    </w:p>
    <w:tbl>
      <w:tblPr>
        <w:tblStyle w:val="TableGrid"/>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777CFB" w:rsidRPr="00F01AA3" w14:paraId="33E136EF" w14:textId="77777777" w:rsidTr="009F2A5A">
        <w:trPr>
          <w:trHeight w:val="707"/>
        </w:trPr>
        <w:tc>
          <w:tcPr>
            <w:tcW w:w="2268" w:type="dxa"/>
          </w:tcPr>
          <w:p w14:paraId="3F2D4699" w14:textId="718EFE03" w:rsidR="00777CFB" w:rsidRPr="00F01AA3" w:rsidRDefault="009A4BBE" w:rsidP="00777CFB">
            <w:pPr>
              <w:shd w:val="clear" w:color="auto" w:fill="FFFFFF"/>
              <w:spacing w:before="100" w:beforeAutospacing="1" w:after="180"/>
              <w:rPr>
                <w:rFonts w:ascii="Titillium" w:hAnsi="Titillium"/>
                <w:b/>
                <w:sz w:val="22"/>
                <w:szCs w:val="22"/>
                <w:lang w:eastAsia="en-GB"/>
              </w:rPr>
            </w:pPr>
            <w:r>
              <w:rPr>
                <w:rFonts w:ascii="Titillium" w:hAnsi="Titillium"/>
                <w:b/>
                <w:sz w:val="22"/>
                <w:szCs w:val="22"/>
                <w:lang w:eastAsia="en-GB"/>
              </w:rPr>
              <w:t>Director of Studies Responsibilities</w:t>
            </w:r>
          </w:p>
          <w:p w14:paraId="46FA42AF" w14:textId="77777777" w:rsidR="00777CFB" w:rsidRPr="00F01AA3" w:rsidRDefault="00777CFB" w:rsidP="009F2A5A">
            <w:pPr>
              <w:jc w:val="both"/>
              <w:rPr>
                <w:rFonts w:ascii="Titillium" w:hAnsi="Titillium"/>
                <w:sz w:val="22"/>
                <w:szCs w:val="22"/>
              </w:rPr>
            </w:pPr>
          </w:p>
        </w:tc>
        <w:tc>
          <w:tcPr>
            <w:tcW w:w="7366" w:type="dxa"/>
          </w:tcPr>
          <w:p w14:paraId="1F197982" w14:textId="6F1071AD"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Explore opportunities for paid work within the School and wider University for </w:t>
            </w:r>
            <w:r w:rsidR="00C442C8">
              <w:rPr>
                <w:rFonts w:ascii="Titillium" w:hAnsi="Titillium"/>
                <w:color w:val="000000" w:themeColor="text1"/>
                <w:sz w:val="22"/>
                <w:szCs w:val="22"/>
              </w:rPr>
              <w:t xml:space="preserve">research </w:t>
            </w:r>
            <w:r>
              <w:rPr>
                <w:rFonts w:ascii="Titillium" w:hAnsi="Titillium"/>
                <w:color w:val="000000" w:themeColor="text1"/>
                <w:sz w:val="22"/>
                <w:szCs w:val="22"/>
              </w:rPr>
              <w:t>students.</w:t>
            </w:r>
          </w:p>
          <w:p w14:paraId="2C6418F8" w14:textId="0AAE1BA4" w:rsidR="00777CFB"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Seek agreement from the School Research Degrees Lead</w:t>
            </w:r>
            <w:r w:rsidR="00B850F1">
              <w:rPr>
                <w:rFonts w:ascii="Titillium" w:hAnsi="Titillium"/>
                <w:color w:val="000000" w:themeColor="text1"/>
                <w:sz w:val="22"/>
                <w:szCs w:val="22"/>
              </w:rPr>
              <w:t>er</w:t>
            </w:r>
            <w:r>
              <w:rPr>
                <w:rFonts w:ascii="Titillium" w:hAnsi="Titillium"/>
                <w:color w:val="000000" w:themeColor="text1"/>
                <w:sz w:val="22"/>
                <w:szCs w:val="22"/>
              </w:rPr>
              <w:t>, in advance of discussing paid work with students.</w:t>
            </w:r>
          </w:p>
          <w:p w14:paraId="0A6CF0CC" w14:textId="6B8E1CB6"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Discuss paid work with the student and explore any potential impact</w:t>
            </w:r>
            <w:r w:rsidR="00B850F1">
              <w:rPr>
                <w:rFonts w:ascii="Titillium" w:hAnsi="Titillium"/>
                <w:color w:val="000000" w:themeColor="text1"/>
                <w:sz w:val="22"/>
                <w:szCs w:val="22"/>
              </w:rPr>
              <w:t xml:space="preserve"> on</w:t>
            </w:r>
            <w:r>
              <w:rPr>
                <w:rFonts w:ascii="Titillium" w:hAnsi="Titillium"/>
                <w:color w:val="000000" w:themeColor="text1"/>
                <w:sz w:val="22"/>
                <w:szCs w:val="22"/>
              </w:rPr>
              <w:t xml:space="preserve"> studies.</w:t>
            </w:r>
          </w:p>
          <w:p w14:paraId="56D76DDB" w14:textId="4A0D545B" w:rsidR="00C442C8" w:rsidRDefault="00C442C8"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Agree the maximum </w:t>
            </w:r>
            <w:r w:rsidR="00551AAB">
              <w:rPr>
                <w:rFonts w:ascii="Titillium" w:hAnsi="Titillium"/>
                <w:color w:val="000000" w:themeColor="text1"/>
                <w:sz w:val="22"/>
                <w:szCs w:val="22"/>
              </w:rPr>
              <w:t xml:space="preserve">number </w:t>
            </w:r>
            <w:r>
              <w:rPr>
                <w:rFonts w:ascii="Titillium" w:hAnsi="Titillium"/>
                <w:color w:val="000000" w:themeColor="text1"/>
                <w:sz w:val="22"/>
                <w:szCs w:val="22"/>
              </w:rPr>
              <w:t xml:space="preserve">of hours that the student can undertake, </w:t>
            </w:r>
            <w:r w:rsidR="006F1B3E">
              <w:rPr>
                <w:rFonts w:ascii="Titillium" w:hAnsi="Titillium"/>
                <w:color w:val="000000" w:themeColor="text1"/>
                <w:sz w:val="22"/>
                <w:szCs w:val="22"/>
              </w:rPr>
              <w:t>taking into account restrictions</w:t>
            </w:r>
            <w:r>
              <w:rPr>
                <w:rFonts w:ascii="Titillium" w:hAnsi="Titillium"/>
                <w:color w:val="000000" w:themeColor="text1"/>
                <w:sz w:val="22"/>
                <w:szCs w:val="22"/>
              </w:rPr>
              <w:t>; other paid work outwith the University; visa restrictions; and the student</w:t>
            </w:r>
            <w:r w:rsidR="00B850F1">
              <w:rPr>
                <w:rFonts w:ascii="Titillium" w:hAnsi="Titillium"/>
                <w:color w:val="000000" w:themeColor="text1"/>
                <w:sz w:val="22"/>
                <w:szCs w:val="22"/>
              </w:rPr>
              <w:t>’</w:t>
            </w:r>
            <w:r>
              <w:rPr>
                <w:rFonts w:ascii="Titillium" w:hAnsi="Titillium"/>
                <w:color w:val="000000" w:themeColor="text1"/>
                <w:sz w:val="22"/>
                <w:szCs w:val="22"/>
              </w:rPr>
              <w:t xml:space="preserve">s </w:t>
            </w:r>
            <w:r w:rsidR="006F1B3E">
              <w:rPr>
                <w:rFonts w:ascii="Titillium" w:hAnsi="Titillium"/>
                <w:color w:val="000000" w:themeColor="text1"/>
                <w:sz w:val="22"/>
                <w:szCs w:val="22"/>
              </w:rPr>
              <w:t xml:space="preserve">own </w:t>
            </w:r>
            <w:r>
              <w:rPr>
                <w:rFonts w:ascii="Titillium" w:hAnsi="Titillium"/>
                <w:color w:val="000000" w:themeColor="text1"/>
                <w:sz w:val="22"/>
                <w:szCs w:val="22"/>
              </w:rPr>
              <w:t>circumstances.</w:t>
            </w:r>
          </w:p>
          <w:p w14:paraId="0034B65B" w14:textId="7C69F2BC"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Ensure that HR Services undertake a ‘Right to Work’ check in advance of any paid work being undertaken.</w:t>
            </w:r>
          </w:p>
          <w:p w14:paraId="70A7D20D" w14:textId="375C12D1"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Complete Appointment Form Paperwork for signature by the </w:t>
            </w:r>
            <w:r w:rsidR="00231E22">
              <w:rPr>
                <w:rFonts w:ascii="Titillium" w:hAnsi="Titillium"/>
                <w:color w:val="000000" w:themeColor="text1"/>
                <w:sz w:val="22"/>
                <w:szCs w:val="22"/>
              </w:rPr>
              <w:t xml:space="preserve">School Research </w:t>
            </w:r>
            <w:r w:rsidR="00551AAB">
              <w:rPr>
                <w:rFonts w:ascii="Titillium" w:hAnsi="Titillium"/>
                <w:color w:val="000000" w:themeColor="text1"/>
                <w:sz w:val="22"/>
                <w:szCs w:val="22"/>
              </w:rPr>
              <w:t xml:space="preserve">Degrees </w:t>
            </w:r>
            <w:r w:rsidR="00231E22">
              <w:rPr>
                <w:rFonts w:ascii="Titillium" w:hAnsi="Titillium"/>
                <w:color w:val="000000" w:themeColor="text1"/>
                <w:sz w:val="22"/>
                <w:szCs w:val="22"/>
              </w:rPr>
              <w:t>Leader</w:t>
            </w:r>
            <w:r>
              <w:rPr>
                <w:rFonts w:ascii="Titillium" w:hAnsi="Titillium"/>
                <w:color w:val="000000" w:themeColor="text1"/>
                <w:sz w:val="22"/>
                <w:szCs w:val="22"/>
              </w:rPr>
              <w:t xml:space="preserve"> and Dean of School.</w:t>
            </w:r>
          </w:p>
          <w:p w14:paraId="02677154" w14:textId="4601EE36"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Ensure that paid work is at the appropriate rate of pay for the type of activity.</w:t>
            </w:r>
          </w:p>
          <w:p w14:paraId="531C63DC" w14:textId="7181760D"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Authorise student</w:t>
            </w:r>
            <w:r w:rsidR="00551AAB">
              <w:rPr>
                <w:rFonts w:ascii="Titillium" w:hAnsi="Titillium"/>
                <w:color w:val="000000" w:themeColor="text1"/>
                <w:sz w:val="22"/>
                <w:szCs w:val="22"/>
              </w:rPr>
              <w:t>’s</w:t>
            </w:r>
            <w:r>
              <w:rPr>
                <w:rFonts w:ascii="Titillium" w:hAnsi="Titillium"/>
                <w:color w:val="000000" w:themeColor="text1"/>
                <w:sz w:val="22"/>
                <w:szCs w:val="22"/>
              </w:rPr>
              <w:t xml:space="preserve"> pay claim forms through HR Connect, in </w:t>
            </w:r>
            <w:r w:rsidR="00C442C8">
              <w:rPr>
                <w:rFonts w:ascii="Titillium" w:hAnsi="Titillium"/>
                <w:color w:val="000000" w:themeColor="text1"/>
                <w:sz w:val="22"/>
                <w:szCs w:val="22"/>
              </w:rPr>
              <w:t>advance of</w:t>
            </w:r>
            <w:r>
              <w:rPr>
                <w:rFonts w:ascii="Titillium" w:hAnsi="Titillium"/>
                <w:color w:val="000000" w:themeColor="text1"/>
                <w:sz w:val="22"/>
                <w:szCs w:val="22"/>
              </w:rPr>
              <w:t xml:space="preserve"> cut-off dates.</w:t>
            </w:r>
            <w:r w:rsidR="006F1B3E">
              <w:rPr>
                <w:rFonts w:ascii="Titillium" w:hAnsi="Titillium"/>
                <w:color w:val="000000" w:themeColor="text1"/>
                <w:sz w:val="22"/>
                <w:szCs w:val="22"/>
              </w:rPr>
              <w:t xml:space="preserve">  Set up redirections for claims if on leave from the University.</w:t>
            </w:r>
          </w:p>
          <w:p w14:paraId="68C6C3C0" w14:textId="0E9AB50E" w:rsidR="001E261C" w:rsidRDefault="001E261C"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Monitor hours worked by student in line with </w:t>
            </w:r>
            <w:r w:rsidR="00C442C8">
              <w:rPr>
                <w:rFonts w:ascii="Titillium" w:hAnsi="Titillium"/>
                <w:color w:val="000000" w:themeColor="text1"/>
                <w:sz w:val="22"/>
                <w:szCs w:val="22"/>
              </w:rPr>
              <w:t>rest</w:t>
            </w:r>
            <w:r>
              <w:rPr>
                <w:rFonts w:ascii="Titillium" w:hAnsi="Titillium"/>
                <w:color w:val="000000" w:themeColor="text1"/>
                <w:sz w:val="22"/>
                <w:szCs w:val="22"/>
              </w:rPr>
              <w:t>rictions</w:t>
            </w:r>
            <w:r w:rsidR="00C442C8">
              <w:rPr>
                <w:rFonts w:ascii="Titillium" w:hAnsi="Titillium"/>
                <w:color w:val="000000" w:themeColor="text1"/>
                <w:sz w:val="22"/>
                <w:szCs w:val="22"/>
              </w:rPr>
              <w:t xml:space="preserve">; </w:t>
            </w:r>
            <w:r>
              <w:rPr>
                <w:rFonts w:ascii="Titillium" w:hAnsi="Titillium"/>
                <w:color w:val="000000" w:themeColor="text1"/>
                <w:sz w:val="22"/>
                <w:szCs w:val="22"/>
              </w:rPr>
              <w:t>how their studies are progressing</w:t>
            </w:r>
            <w:r w:rsidR="006F1B3E">
              <w:rPr>
                <w:rFonts w:ascii="Titillium" w:hAnsi="Titillium"/>
                <w:color w:val="000000" w:themeColor="text1"/>
                <w:sz w:val="22"/>
                <w:szCs w:val="22"/>
              </w:rPr>
              <w:t xml:space="preserve"> </w:t>
            </w:r>
            <w:r w:rsidR="00B850F1">
              <w:rPr>
                <w:rFonts w:ascii="Titillium" w:hAnsi="Titillium"/>
                <w:color w:val="000000" w:themeColor="text1"/>
                <w:sz w:val="22"/>
                <w:szCs w:val="22"/>
              </w:rPr>
              <w:t xml:space="preserve">through regular discussions including </w:t>
            </w:r>
            <w:r w:rsidR="00E65847">
              <w:rPr>
                <w:rFonts w:ascii="Titillium" w:hAnsi="Titillium"/>
                <w:color w:val="000000" w:themeColor="text1"/>
                <w:sz w:val="22"/>
                <w:szCs w:val="22"/>
              </w:rPr>
              <w:t>at the student’s biannual progress review meeting</w:t>
            </w:r>
            <w:r w:rsidR="00551AAB">
              <w:rPr>
                <w:rFonts w:ascii="Titillium" w:hAnsi="Titillium"/>
                <w:color w:val="000000" w:themeColor="text1"/>
                <w:sz w:val="22"/>
                <w:szCs w:val="22"/>
              </w:rPr>
              <w:t>s</w:t>
            </w:r>
            <w:r w:rsidR="00E65847">
              <w:rPr>
                <w:rFonts w:ascii="Titillium" w:hAnsi="Titillium"/>
                <w:color w:val="000000" w:themeColor="text1"/>
                <w:sz w:val="22"/>
                <w:szCs w:val="22"/>
              </w:rPr>
              <w:t xml:space="preserve">.   </w:t>
            </w:r>
          </w:p>
          <w:p w14:paraId="6A153C37" w14:textId="56C68CA0" w:rsidR="00E65847" w:rsidRDefault="00E65847" w:rsidP="00777CFB">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Document any issues in relation to work undertaken or new restrictions on working hours on the RD6 form. </w:t>
            </w:r>
          </w:p>
          <w:p w14:paraId="1FED5CE0" w14:textId="77777777" w:rsidR="00777CFB" w:rsidRDefault="003F65FF"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Work with the School Research Degrees Leader to ensure that any paid work is allocated fairly, as appropriate, across the School.</w:t>
            </w:r>
          </w:p>
          <w:p w14:paraId="4E15C2DB" w14:textId="5881613F" w:rsidR="00C442C8" w:rsidRPr="00777CFB" w:rsidRDefault="00C442C8"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Seek approval from the School Research Degrees Lead</w:t>
            </w:r>
            <w:r w:rsidR="00B850F1">
              <w:rPr>
                <w:rFonts w:ascii="Titillium" w:hAnsi="Titillium"/>
                <w:color w:val="000000" w:themeColor="text1"/>
                <w:sz w:val="22"/>
                <w:szCs w:val="22"/>
              </w:rPr>
              <w:t>er</w:t>
            </w:r>
            <w:r>
              <w:rPr>
                <w:rFonts w:ascii="Titillium" w:hAnsi="Titillium"/>
                <w:color w:val="000000" w:themeColor="text1"/>
                <w:sz w:val="22"/>
                <w:szCs w:val="22"/>
              </w:rPr>
              <w:t xml:space="preserve"> for any changes to contract type or increase in hours.</w:t>
            </w:r>
          </w:p>
        </w:tc>
      </w:tr>
    </w:tbl>
    <w:p w14:paraId="074EA0E0" w14:textId="77777777" w:rsidR="00777CFB" w:rsidRDefault="00777CFB" w:rsidP="00C70CDD">
      <w:pPr>
        <w:jc w:val="both"/>
        <w:rPr>
          <w:rFonts w:ascii="Titillium" w:hAnsi="Titillium"/>
          <w:color w:val="000000" w:themeColor="text1"/>
          <w:sz w:val="22"/>
          <w:szCs w:val="22"/>
        </w:rPr>
      </w:pPr>
    </w:p>
    <w:p w14:paraId="2FC38676" w14:textId="77777777" w:rsidR="009A4BBE" w:rsidRDefault="009A4BBE" w:rsidP="009A4BBE">
      <w:pPr>
        <w:jc w:val="both"/>
        <w:rPr>
          <w:rFonts w:ascii="Titillium" w:hAnsi="Titillium"/>
          <w:color w:val="000000" w:themeColor="text1"/>
          <w:sz w:val="22"/>
          <w:szCs w:val="22"/>
        </w:rPr>
      </w:pPr>
      <w:r>
        <w:rPr>
          <w:rFonts w:ascii="Titillium" w:hAnsi="Titillium"/>
          <w:color w:val="000000" w:themeColor="text1"/>
          <w:sz w:val="22"/>
          <w:szCs w:val="22"/>
        </w:rPr>
        <w:t xml:space="preserve"> </w:t>
      </w:r>
    </w:p>
    <w:tbl>
      <w:tblPr>
        <w:tblStyle w:val="TableGrid"/>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9A4BBE" w:rsidRPr="00F01AA3" w14:paraId="453D1E0B" w14:textId="77777777" w:rsidTr="00B34844">
        <w:trPr>
          <w:trHeight w:val="707"/>
        </w:trPr>
        <w:tc>
          <w:tcPr>
            <w:tcW w:w="2268" w:type="dxa"/>
          </w:tcPr>
          <w:p w14:paraId="7B0A3667" w14:textId="03440D70" w:rsidR="009A4BBE" w:rsidRPr="00F01AA3" w:rsidRDefault="009A4BBE" w:rsidP="00B34844">
            <w:pPr>
              <w:shd w:val="clear" w:color="auto" w:fill="FFFFFF"/>
              <w:spacing w:before="100" w:beforeAutospacing="1" w:after="180"/>
              <w:rPr>
                <w:rFonts w:ascii="Titillium" w:hAnsi="Titillium"/>
                <w:b/>
                <w:sz w:val="22"/>
                <w:szCs w:val="22"/>
                <w:lang w:eastAsia="en-GB"/>
              </w:rPr>
            </w:pPr>
            <w:r>
              <w:rPr>
                <w:rFonts w:ascii="Titillium" w:hAnsi="Titillium"/>
                <w:b/>
                <w:sz w:val="22"/>
                <w:szCs w:val="22"/>
                <w:lang w:eastAsia="en-GB"/>
              </w:rPr>
              <w:t xml:space="preserve">Students Responsibilities </w:t>
            </w:r>
          </w:p>
          <w:p w14:paraId="51D60FF1" w14:textId="77777777" w:rsidR="009A4BBE" w:rsidRPr="00F01AA3" w:rsidRDefault="009A4BBE" w:rsidP="00B34844">
            <w:pPr>
              <w:jc w:val="both"/>
              <w:rPr>
                <w:rFonts w:ascii="Titillium" w:hAnsi="Titillium"/>
                <w:sz w:val="22"/>
                <w:szCs w:val="22"/>
              </w:rPr>
            </w:pPr>
          </w:p>
        </w:tc>
        <w:tc>
          <w:tcPr>
            <w:tcW w:w="7366" w:type="dxa"/>
          </w:tcPr>
          <w:p w14:paraId="1C2E7A94" w14:textId="435D58CF" w:rsidR="009A4BBE" w:rsidRDefault="00231E22"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Speak </w:t>
            </w:r>
            <w:r w:rsidR="003F65FF">
              <w:rPr>
                <w:rFonts w:ascii="Titillium" w:hAnsi="Titillium"/>
                <w:color w:val="000000" w:themeColor="text1"/>
                <w:sz w:val="22"/>
                <w:szCs w:val="22"/>
              </w:rPr>
              <w:t xml:space="preserve">with </w:t>
            </w:r>
            <w:r>
              <w:rPr>
                <w:rFonts w:ascii="Titillium" w:hAnsi="Titillium"/>
                <w:color w:val="000000" w:themeColor="text1"/>
                <w:sz w:val="22"/>
                <w:szCs w:val="22"/>
              </w:rPr>
              <w:t>their</w:t>
            </w:r>
            <w:r w:rsidR="003F65FF">
              <w:rPr>
                <w:rFonts w:ascii="Titillium" w:hAnsi="Titillium"/>
                <w:color w:val="000000" w:themeColor="text1"/>
                <w:sz w:val="22"/>
                <w:szCs w:val="22"/>
              </w:rPr>
              <w:t xml:space="preserve"> Director of Studies, in advance of undertaking any paid work within the University.</w:t>
            </w:r>
          </w:p>
          <w:p w14:paraId="19D7CD28" w14:textId="1D5F6DC2" w:rsidR="003F65FF" w:rsidRDefault="003F65FF"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Check and obtain permission (if required) from </w:t>
            </w:r>
            <w:r w:rsidR="00231E22">
              <w:rPr>
                <w:rFonts w:ascii="Titillium" w:hAnsi="Titillium"/>
                <w:color w:val="000000" w:themeColor="text1"/>
                <w:sz w:val="22"/>
                <w:szCs w:val="22"/>
              </w:rPr>
              <w:t>their</w:t>
            </w:r>
            <w:r>
              <w:rPr>
                <w:rFonts w:ascii="Titillium" w:hAnsi="Titillium"/>
                <w:color w:val="000000" w:themeColor="text1"/>
                <w:sz w:val="22"/>
                <w:szCs w:val="22"/>
              </w:rPr>
              <w:t xml:space="preserve"> funding body before committing to paid work. </w:t>
            </w:r>
          </w:p>
          <w:p w14:paraId="17DDF179" w14:textId="6A6F06AD" w:rsidR="003F65FF" w:rsidRDefault="003F65FF"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Ensure that HR Services have undertaken a ‘Right to Work’ check before completing any paid work.</w:t>
            </w:r>
          </w:p>
          <w:p w14:paraId="4CFFB3CF" w14:textId="51F4E604" w:rsidR="003F65FF" w:rsidRDefault="003F65FF"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Ensure that any paid work, within or outwith the University does not breach </w:t>
            </w:r>
            <w:r w:rsidR="00231E22">
              <w:rPr>
                <w:rFonts w:ascii="Titillium" w:hAnsi="Titillium"/>
                <w:color w:val="000000" w:themeColor="text1"/>
                <w:sz w:val="22"/>
                <w:szCs w:val="22"/>
              </w:rPr>
              <w:t>any</w:t>
            </w:r>
            <w:r>
              <w:rPr>
                <w:rFonts w:ascii="Titillium" w:hAnsi="Titillium"/>
                <w:color w:val="000000" w:themeColor="text1"/>
                <w:sz w:val="22"/>
                <w:szCs w:val="22"/>
              </w:rPr>
              <w:t xml:space="preserve"> visa restrictions, </w:t>
            </w:r>
            <w:r w:rsidR="00231E22">
              <w:rPr>
                <w:rFonts w:ascii="Titillium" w:hAnsi="Titillium"/>
                <w:color w:val="000000" w:themeColor="text1"/>
                <w:sz w:val="22"/>
                <w:szCs w:val="22"/>
              </w:rPr>
              <w:t>where</w:t>
            </w:r>
            <w:r>
              <w:rPr>
                <w:rFonts w:ascii="Titillium" w:hAnsi="Titillium"/>
                <w:color w:val="000000" w:themeColor="text1"/>
                <w:sz w:val="22"/>
                <w:szCs w:val="22"/>
              </w:rPr>
              <w:t xml:space="preserve"> applicable.</w:t>
            </w:r>
          </w:p>
          <w:p w14:paraId="117221F8" w14:textId="49317CBA" w:rsidR="003F65FF" w:rsidRDefault="003F65FF" w:rsidP="003F65FF">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Complete all a</w:t>
            </w:r>
            <w:r w:rsidR="00C442C8">
              <w:rPr>
                <w:rFonts w:ascii="Titillium" w:hAnsi="Titillium"/>
                <w:color w:val="000000" w:themeColor="text1"/>
                <w:sz w:val="22"/>
                <w:szCs w:val="22"/>
              </w:rPr>
              <w:t>cceptance</w:t>
            </w:r>
            <w:r>
              <w:rPr>
                <w:rFonts w:ascii="Titillium" w:hAnsi="Titillium"/>
                <w:color w:val="000000" w:themeColor="text1"/>
                <w:sz w:val="22"/>
                <w:szCs w:val="22"/>
              </w:rPr>
              <w:t xml:space="preserve"> paperwork, in a timely manner to allow</w:t>
            </w:r>
            <w:r w:rsidR="00231E22">
              <w:rPr>
                <w:rFonts w:ascii="Titillium" w:hAnsi="Titillium"/>
                <w:color w:val="000000" w:themeColor="text1"/>
                <w:sz w:val="22"/>
                <w:szCs w:val="22"/>
              </w:rPr>
              <w:t xml:space="preserve"> their</w:t>
            </w:r>
            <w:r>
              <w:rPr>
                <w:rFonts w:ascii="Titillium" w:hAnsi="Titillium"/>
                <w:color w:val="000000" w:themeColor="text1"/>
                <w:sz w:val="22"/>
                <w:szCs w:val="22"/>
              </w:rPr>
              <w:t xml:space="preserve"> contract to be processed.</w:t>
            </w:r>
          </w:p>
          <w:p w14:paraId="4060065F" w14:textId="602095F4" w:rsidR="003F65FF" w:rsidRDefault="00231E22"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C</w:t>
            </w:r>
            <w:r w:rsidR="003F65FF">
              <w:rPr>
                <w:rFonts w:ascii="Titillium" w:hAnsi="Titillium"/>
                <w:color w:val="000000" w:themeColor="text1"/>
                <w:sz w:val="22"/>
                <w:szCs w:val="22"/>
              </w:rPr>
              <w:t>omplete pay claim form</w:t>
            </w:r>
            <w:r>
              <w:rPr>
                <w:rFonts w:ascii="Titillium" w:hAnsi="Titillium"/>
                <w:color w:val="000000" w:themeColor="text1"/>
                <w:sz w:val="22"/>
                <w:szCs w:val="22"/>
              </w:rPr>
              <w:t>s</w:t>
            </w:r>
            <w:r w:rsidR="003F65FF">
              <w:rPr>
                <w:rFonts w:ascii="Titillium" w:hAnsi="Titillium"/>
                <w:color w:val="000000" w:themeColor="text1"/>
                <w:sz w:val="22"/>
                <w:szCs w:val="22"/>
              </w:rPr>
              <w:t xml:space="preserve"> accurately through HR Connect Self Service in advance of cut-off dates</w:t>
            </w:r>
            <w:r w:rsidR="00C442C8">
              <w:rPr>
                <w:rFonts w:ascii="Titillium" w:hAnsi="Titillium"/>
                <w:color w:val="000000" w:themeColor="text1"/>
                <w:sz w:val="22"/>
                <w:szCs w:val="22"/>
              </w:rPr>
              <w:t xml:space="preserve"> with enough time to allow </w:t>
            </w:r>
            <w:r>
              <w:rPr>
                <w:rFonts w:ascii="Titillium" w:hAnsi="Titillium"/>
                <w:color w:val="000000" w:themeColor="text1"/>
                <w:sz w:val="22"/>
                <w:szCs w:val="22"/>
              </w:rPr>
              <w:t>the</w:t>
            </w:r>
            <w:r w:rsidR="00C442C8">
              <w:rPr>
                <w:rFonts w:ascii="Titillium" w:hAnsi="Titillium"/>
                <w:color w:val="000000" w:themeColor="text1"/>
                <w:sz w:val="22"/>
                <w:szCs w:val="22"/>
              </w:rPr>
              <w:t xml:space="preserve"> Director of Studies to approve</w:t>
            </w:r>
            <w:r w:rsidR="003F65FF">
              <w:rPr>
                <w:rFonts w:ascii="Titillium" w:hAnsi="Titillium"/>
                <w:color w:val="000000" w:themeColor="text1"/>
                <w:sz w:val="22"/>
                <w:szCs w:val="22"/>
              </w:rPr>
              <w:t>.</w:t>
            </w:r>
          </w:p>
          <w:p w14:paraId="3E213411" w14:textId="6C32669A" w:rsidR="009A4BBE" w:rsidRDefault="00231E22"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Let their Director of Studies know</w:t>
            </w:r>
            <w:r w:rsidR="003F65FF">
              <w:rPr>
                <w:rFonts w:ascii="Titillium" w:hAnsi="Titillium"/>
                <w:color w:val="000000" w:themeColor="text1"/>
                <w:sz w:val="22"/>
                <w:szCs w:val="22"/>
              </w:rPr>
              <w:t xml:space="preserve"> at the earliest opportunity of any change in circumstances.</w:t>
            </w:r>
          </w:p>
          <w:p w14:paraId="1F976EBA" w14:textId="1DAE92EC" w:rsidR="003F65FF" w:rsidRDefault="00B850F1" w:rsidP="00B34844">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M</w:t>
            </w:r>
            <w:r w:rsidR="003F65FF">
              <w:rPr>
                <w:rFonts w:ascii="Titillium" w:hAnsi="Titillium"/>
                <w:color w:val="000000" w:themeColor="text1"/>
                <w:sz w:val="22"/>
                <w:szCs w:val="22"/>
              </w:rPr>
              <w:t xml:space="preserve">anage </w:t>
            </w:r>
            <w:r w:rsidR="00231E22">
              <w:rPr>
                <w:rFonts w:ascii="Titillium" w:hAnsi="Titillium"/>
                <w:color w:val="000000" w:themeColor="text1"/>
                <w:sz w:val="22"/>
                <w:szCs w:val="22"/>
              </w:rPr>
              <w:t xml:space="preserve">their </w:t>
            </w:r>
            <w:r w:rsidR="003F65FF">
              <w:rPr>
                <w:rFonts w:ascii="Titillium" w:hAnsi="Titillium"/>
                <w:color w:val="000000" w:themeColor="text1"/>
                <w:sz w:val="22"/>
                <w:szCs w:val="22"/>
              </w:rPr>
              <w:t>time commitment to studies and paid work</w:t>
            </w:r>
            <w:r>
              <w:rPr>
                <w:rFonts w:ascii="Titillium" w:hAnsi="Titillium"/>
                <w:color w:val="000000" w:themeColor="text1"/>
                <w:sz w:val="22"/>
                <w:szCs w:val="22"/>
              </w:rPr>
              <w:t xml:space="preserve"> and maintain a healthy balance</w:t>
            </w:r>
            <w:r w:rsidR="003F65FF">
              <w:rPr>
                <w:rFonts w:ascii="Titillium" w:hAnsi="Titillium"/>
                <w:color w:val="000000" w:themeColor="text1"/>
                <w:sz w:val="22"/>
                <w:szCs w:val="22"/>
              </w:rPr>
              <w:t>.</w:t>
            </w:r>
            <w:r w:rsidR="00231E22">
              <w:rPr>
                <w:rFonts w:ascii="Titillium" w:hAnsi="Titillium"/>
                <w:color w:val="000000" w:themeColor="text1"/>
                <w:sz w:val="22"/>
                <w:szCs w:val="22"/>
              </w:rPr>
              <w:t xml:space="preserve">  Ensure that they have</w:t>
            </w:r>
            <w:r w:rsidR="00C74F4D">
              <w:rPr>
                <w:rFonts w:ascii="Titillium" w:hAnsi="Titillium"/>
                <w:color w:val="000000" w:themeColor="text1"/>
                <w:sz w:val="22"/>
                <w:szCs w:val="22"/>
              </w:rPr>
              <w:t xml:space="preserve"> a minimum of 40 days holiday throughout the year.</w:t>
            </w:r>
          </w:p>
          <w:p w14:paraId="4F031B5A" w14:textId="7FCFE6D0" w:rsidR="003F65FF" w:rsidRPr="00777CFB" w:rsidRDefault="003F65FF" w:rsidP="00231E22">
            <w:pPr>
              <w:pStyle w:val="ListParagraph"/>
              <w:numPr>
                <w:ilvl w:val="0"/>
                <w:numId w:val="3"/>
              </w:numPr>
              <w:spacing w:after="60"/>
              <w:ind w:left="324" w:hanging="284"/>
              <w:jc w:val="both"/>
              <w:rPr>
                <w:rFonts w:ascii="Titillium" w:hAnsi="Titillium"/>
                <w:color w:val="000000" w:themeColor="text1"/>
                <w:sz w:val="22"/>
                <w:szCs w:val="22"/>
              </w:rPr>
            </w:pPr>
            <w:r>
              <w:rPr>
                <w:rFonts w:ascii="Titillium" w:hAnsi="Titillium"/>
                <w:color w:val="000000" w:themeColor="text1"/>
                <w:sz w:val="22"/>
                <w:szCs w:val="22"/>
              </w:rPr>
              <w:t xml:space="preserve">Be honest about any impact paid work is having on </w:t>
            </w:r>
            <w:r w:rsidR="00231E22">
              <w:rPr>
                <w:rFonts w:ascii="Titillium" w:hAnsi="Titillium"/>
                <w:color w:val="000000" w:themeColor="text1"/>
                <w:sz w:val="22"/>
                <w:szCs w:val="22"/>
              </w:rPr>
              <w:t>their</w:t>
            </w:r>
            <w:r>
              <w:rPr>
                <w:rFonts w:ascii="Titillium" w:hAnsi="Titillium"/>
                <w:color w:val="000000" w:themeColor="text1"/>
                <w:sz w:val="22"/>
                <w:szCs w:val="22"/>
              </w:rPr>
              <w:t xml:space="preserve"> studies.</w:t>
            </w:r>
          </w:p>
        </w:tc>
      </w:tr>
    </w:tbl>
    <w:p w14:paraId="0098EEF4" w14:textId="0582A2B7" w:rsidR="00821D76" w:rsidRDefault="00821D76" w:rsidP="00821D76">
      <w:pPr>
        <w:jc w:val="both"/>
        <w:rPr>
          <w:rFonts w:ascii="Titillium" w:hAnsi="Titillium"/>
          <w:color w:val="000000" w:themeColor="text1"/>
          <w:sz w:val="22"/>
          <w:szCs w:val="22"/>
        </w:rPr>
      </w:pPr>
    </w:p>
    <w:p w14:paraId="6EC9911D" w14:textId="45D0E73E" w:rsidR="009C34CA" w:rsidRDefault="009C34CA" w:rsidP="00821D76">
      <w:pPr>
        <w:jc w:val="both"/>
        <w:rPr>
          <w:rFonts w:ascii="Titillium" w:hAnsi="Titillium"/>
          <w:color w:val="000000" w:themeColor="text1"/>
          <w:sz w:val="22"/>
          <w:szCs w:val="22"/>
        </w:rPr>
      </w:pPr>
    </w:p>
    <w:p w14:paraId="57592AB0" w14:textId="0556EBB9" w:rsidR="009C34CA" w:rsidRDefault="006F1B3E" w:rsidP="009C34CA">
      <w:pPr>
        <w:jc w:val="both"/>
        <w:rPr>
          <w:rFonts w:ascii="Titillium" w:hAnsi="Titillium"/>
          <w:b/>
          <w:color w:val="E36C0A"/>
        </w:rPr>
      </w:pPr>
      <w:r>
        <w:rPr>
          <w:rFonts w:ascii="Titillium" w:hAnsi="Titillium"/>
          <w:b/>
          <w:color w:val="E36C0A"/>
        </w:rPr>
        <w:t>Hours of Work</w:t>
      </w:r>
    </w:p>
    <w:p w14:paraId="53310143" w14:textId="4FA67F8D" w:rsidR="00AB2B82" w:rsidRDefault="00AB2B82" w:rsidP="009C34CA">
      <w:pPr>
        <w:jc w:val="both"/>
        <w:rPr>
          <w:rFonts w:ascii="Titillium" w:hAnsi="Titillium"/>
          <w:b/>
          <w:color w:val="E36C0A"/>
        </w:rPr>
      </w:pPr>
    </w:p>
    <w:p w14:paraId="5B70BAB8" w14:textId="5D259080" w:rsidR="003F65FF" w:rsidRDefault="003F65FF" w:rsidP="00E465C1">
      <w:pPr>
        <w:jc w:val="both"/>
        <w:rPr>
          <w:rFonts w:ascii="Titillium" w:hAnsi="Titillium"/>
          <w:sz w:val="22"/>
          <w:szCs w:val="22"/>
        </w:rPr>
      </w:pPr>
      <w:r>
        <w:rPr>
          <w:rFonts w:ascii="Titillium" w:hAnsi="Titillium"/>
          <w:sz w:val="22"/>
          <w:szCs w:val="22"/>
        </w:rPr>
        <w:t xml:space="preserve">In the interests of equality of opportunity and focus on study </w:t>
      </w:r>
      <w:r w:rsidR="00417EBB">
        <w:rPr>
          <w:rFonts w:ascii="Titillium" w:hAnsi="Titillium"/>
          <w:sz w:val="22"/>
          <w:szCs w:val="22"/>
        </w:rPr>
        <w:t>t</w:t>
      </w:r>
      <w:r>
        <w:rPr>
          <w:rFonts w:ascii="Titillium" w:hAnsi="Titillium"/>
          <w:sz w:val="22"/>
          <w:szCs w:val="22"/>
        </w:rPr>
        <w:t>he University applies a cap to the amount of paid work students are permitted to undertake:</w:t>
      </w:r>
    </w:p>
    <w:p w14:paraId="5F76C5BD" w14:textId="77777777" w:rsidR="003F65FF" w:rsidRDefault="003F65FF" w:rsidP="00E465C1">
      <w:pPr>
        <w:jc w:val="both"/>
        <w:rPr>
          <w:rFonts w:ascii="Titillium" w:hAnsi="Titillium"/>
          <w:sz w:val="22"/>
          <w:szCs w:val="22"/>
        </w:rPr>
      </w:pPr>
    </w:p>
    <w:p w14:paraId="723B7D78" w14:textId="4B7E5C2D" w:rsidR="003F65FF" w:rsidRPr="003F65FF" w:rsidRDefault="003F65FF" w:rsidP="003F65FF">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Full-time students are permitted to work for no more than 6 hours per week.</w:t>
      </w:r>
    </w:p>
    <w:p w14:paraId="49A300AA" w14:textId="238B3C88" w:rsidR="003F65FF" w:rsidRPr="00E65847" w:rsidRDefault="003F65FF" w:rsidP="003F65FF">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 xml:space="preserve">Part-time students are normally permitted to work for no more than 10 hours per week.   </w:t>
      </w:r>
    </w:p>
    <w:p w14:paraId="3FB31656" w14:textId="26E19A68" w:rsidR="00E65847" w:rsidRDefault="00E65847" w:rsidP="00E65847">
      <w:pPr>
        <w:jc w:val="both"/>
        <w:rPr>
          <w:rFonts w:ascii="Titillium" w:hAnsi="Titillium"/>
          <w:b/>
          <w:color w:val="E36C0A"/>
        </w:rPr>
      </w:pPr>
    </w:p>
    <w:p w14:paraId="74BB5FAD" w14:textId="51258B15" w:rsidR="0094549E" w:rsidRDefault="00E65847" w:rsidP="00E65847">
      <w:pPr>
        <w:jc w:val="both"/>
        <w:rPr>
          <w:rFonts w:ascii="Titillium" w:hAnsi="Titillium"/>
          <w:sz w:val="22"/>
          <w:szCs w:val="22"/>
        </w:rPr>
      </w:pPr>
      <w:r>
        <w:rPr>
          <w:rFonts w:ascii="Titillium" w:hAnsi="Titillium"/>
          <w:sz w:val="22"/>
          <w:szCs w:val="22"/>
        </w:rPr>
        <w:t>It should be noted that these hours are a maximum per week and are not base</w:t>
      </w:r>
      <w:r w:rsidR="00B850F1">
        <w:rPr>
          <w:rFonts w:ascii="Titillium" w:hAnsi="Titillium"/>
          <w:sz w:val="22"/>
          <w:szCs w:val="22"/>
        </w:rPr>
        <w:t>d on an average across the year</w:t>
      </w:r>
      <w:r w:rsidR="0094549E">
        <w:rPr>
          <w:rFonts w:ascii="Titillium" w:hAnsi="Titillium"/>
          <w:sz w:val="22"/>
          <w:szCs w:val="22"/>
        </w:rPr>
        <w:t xml:space="preserve"> to ensure that </w:t>
      </w:r>
      <w:r w:rsidR="00B850F1">
        <w:rPr>
          <w:rFonts w:ascii="Titillium" w:hAnsi="Titillium"/>
          <w:sz w:val="22"/>
          <w:szCs w:val="22"/>
        </w:rPr>
        <w:t xml:space="preserve">the necessary time is devoted to </w:t>
      </w:r>
      <w:r w:rsidR="0094549E">
        <w:rPr>
          <w:rFonts w:ascii="Titillium" w:hAnsi="Titillium"/>
          <w:sz w:val="22"/>
          <w:szCs w:val="22"/>
        </w:rPr>
        <w:t xml:space="preserve">the </w:t>
      </w:r>
      <w:r w:rsidR="00B850F1">
        <w:rPr>
          <w:rFonts w:ascii="Titillium" w:hAnsi="Titillium"/>
          <w:sz w:val="22"/>
          <w:szCs w:val="22"/>
        </w:rPr>
        <w:t>student</w:t>
      </w:r>
      <w:r w:rsidR="00551AAB">
        <w:rPr>
          <w:rFonts w:ascii="Titillium" w:hAnsi="Titillium"/>
          <w:sz w:val="22"/>
          <w:szCs w:val="22"/>
        </w:rPr>
        <w:t>’s</w:t>
      </w:r>
      <w:r w:rsidR="00B850F1">
        <w:rPr>
          <w:rFonts w:ascii="Titillium" w:hAnsi="Titillium"/>
          <w:sz w:val="22"/>
          <w:szCs w:val="22"/>
        </w:rPr>
        <w:t xml:space="preserve"> studies.  </w:t>
      </w:r>
      <w:r w:rsidR="00551AAB">
        <w:rPr>
          <w:rFonts w:ascii="Titillium" w:hAnsi="Titillium"/>
          <w:sz w:val="22"/>
          <w:szCs w:val="22"/>
        </w:rPr>
        <w:t>However, the University is mindful that certain circumstances might mean a student exceeds the cap on occasion. Such circumstances should be approached sensibly, and with the agreement of the student, the Director of Studies and the School Research Degrees Leader. Exceeding the relevant cap on an ongoing basis will not be accepted.</w:t>
      </w:r>
      <w:r w:rsidR="00B850F1">
        <w:rPr>
          <w:rFonts w:ascii="Titillium" w:hAnsi="Titillium"/>
          <w:sz w:val="22"/>
          <w:szCs w:val="22"/>
        </w:rPr>
        <w:t xml:space="preserve"> </w:t>
      </w:r>
    </w:p>
    <w:p w14:paraId="42B3B963" w14:textId="77777777" w:rsidR="000C3CD2" w:rsidRDefault="000C3CD2" w:rsidP="00E65847">
      <w:pPr>
        <w:jc w:val="both"/>
        <w:rPr>
          <w:rFonts w:ascii="Titillium" w:hAnsi="Titillium"/>
          <w:sz w:val="22"/>
          <w:szCs w:val="22"/>
        </w:rPr>
      </w:pPr>
    </w:p>
    <w:p w14:paraId="21D96029" w14:textId="4F923591" w:rsidR="00E65847" w:rsidRDefault="00417EBB" w:rsidP="00E65847">
      <w:pPr>
        <w:jc w:val="both"/>
        <w:rPr>
          <w:rFonts w:ascii="Titillium" w:hAnsi="Titillium"/>
          <w:sz w:val="22"/>
          <w:szCs w:val="22"/>
        </w:rPr>
      </w:pPr>
      <w:r>
        <w:rPr>
          <w:rFonts w:ascii="Titillium" w:hAnsi="Titillium"/>
          <w:sz w:val="22"/>
          <w:szCs w:val="22"/>
        </w:rPr>
        <w:t>There</w:t>
      </w:r>
      <w:r w:rsidR="000C3CD2">
        <w:rPr>
          <w:rFonts w:ascii="Titillium" w:hAnsi="Titillium"/>
          <w:sz w:val="22"/>
          <w:szCs w:val="22"/>
        </w:rPr>
        <w:t xml:space="preserve"> are</w:t>
      </w:r>
      <w:r>
        <w:rPr>
          <w:rFonts w:ascii="Titillium" w:hAnsi="Titillium"/>
          <w:sz w:val="22"/>
          <w:szCs w:val="22"/>
        </w:rPr>
        <w:t xml:space="preserve"> no guarantee</w:t>
      </w:r>
      <w:r w:rsidR="000C3CD2">
        <w:rPr>
          <w:rFonts w:ascii="Titillium" w:hAnsi="Titillium"/>
          <w:sz w:val="22"/>
          <w:szCs w:val="22"/>
        </w:rPr>
        <w:t xml:space="preserve">d numbers </w:t>
      </w:r>
      <w:r>
        <w:rPr>
          <w:rFonts w:ascii="Titillium" w:hAnsi="Titillium"/>
          <w:sz w:val="22"/>
          <w:szCs w:val="22"/>
        </w:rPr>
        <w:t>of paid work wit</w:t>
      </w:r>
      <w:r w:rsidR="000C3CD2">
        <w:rPr>
          <w:rFonts w:ascii="Titillium" w:hAnsi="Titillium"/>
          <w:sz w:val="22"/>
          <w:szCs w:val="22"/>
        </w:rPr>
        <w:t>hin the contract type.</w:t>
      </w:r>
    </w:p>
    <w:p w14:paraId="64880A4A" w14:textId="4A224CE2" w:rsidR="00E65847" w:rsidRDefault="00E65847" w:rsidP="00E65847">
      <w:pPr>
        <w:jc w:val="both"/>
        <w:rPr>
          <w:rFonts w:ascii="Titillium" w:hAnsi="Titillium"/>
          <w:sz w:val="22"/>
          <w:szCs w:val="22"/>
        </w:rPr>
      </w:pPr>
    </w:p>
    <w:p w14:paraId="20EC4B24" w14:textId="210B9EDD" w:rsidR="00E65847" w:rsidRDefault="00E65847" w:rsidP="00E65847">
      <w:pPr>
        <w:jc w:val="both"/>
        <w:rPr>
          <w:rFonts w:ascii="Titillium" w:hAnsi="Titillium"/>
          <w:sz w:val="22"/>
          <w:szCs w:val="22"/>
        </w:rPr>
      </w:pPr>
      <w:r>
        <w:rPr>
          <w:rFonts w:ascii="Titillium" w:hAnsi="Titillium"/>
          <w:sz w:val="22"/>
          <w:szCs w:val="22"/>
        </w:rPr>
        <w:t xml:space="preserve">All students should consider their commitments within and outwith the University and whether they have any visa restrictions, i.e. if you have </w:t>
      </w:r>
      <w:r w:rsidR="00C442C8">
        <w:rPr>
          <w:rFonts w:ascii="Titillium" w:hAnsi="Titillium"/>
          <w:sz w:val="22"/>
          <w:szCs w:val="22"/>
        </w:rPr>
        <w:t>another role</w:t>
      </w:r>
      <w:r>
        <w:rPr>
          <w:rFonts w:ascii="Titillium" w:hAnsi="Titillium"/>
          <w:sz w:val="22"/>
          <w:szCs w:val="22"/>
        </w:rPr>
        <w:t xml:space="preserve">, your visa may not allow you to undertake paid work at the University.   </w:t>
      </w:r>
      <w:r w:rsidR="00B850F1">
        <w:rPr>
          <w:rFonts w:ascii="Titillium" w:hAnsi="Titillium"/>
          <w:sz w:val="22"/>
          <w:szCs w:val="22"/>
        </w:rPr>
        <w:t xml:space="preserve">It is the student’s responsibility to ensure that they are not breaching any of their visa restrictions. </w:t>
      </w:r>
    </w:p>
    <w:p w14:paraId="14CFC55F" w14:textId="58F2B787" w:rsidR="00E65847" w:rsidRDefault="00E65847" w:rsidP="00E65847">
      <w:pPr>
        <w:jc w:val="both"/>
        <w:rPr>
          <w:rFonts w:ascii="Titillium" w:hAnsi="Titillium"/>
          <w:sz w:val="22"/>
          <w:szCs w:val="22"/>
        </w:rPr>
      </w:pPr>
    </w:p>
    <w:p w14:paraId="30CA2BCE" w14:textId="28557554" w:rsidR="00231E22" w:rsidRDefault="007C32B0" w:rsidP="00E65847">
      <w:pPr>
        <w:jc w:val="both"/>
        <w:rPr>
          <w:rFonts w:ascii="Titillium" w:hAnsi="Titillium"/>
          <w:sz w:val="22"/>
          <w:szCs w:val="22"/>
        </w:rPr>
      </w:pPr>
      <w:r>
        <w:rPr>
          <w:rFonts w:ascii="Titillium" w:hAnsi="Titillium"/>
          <w:sz w:val="22"/>
          <w:szCs w:val="22"/>
        </w:rPr>
        <w:t xml:space="preserve">Students who are beyond their standard end date are subject to the same guidance as all other students in relation to the restriction on hours.    We do, however, appreciate that students might be close to completion and in exceptional circumstances the restriction on hours worked may be increased.   This will be dependent upon a number of factors including a clear business need within the School for additional work activity; clear evidence provided of progress on studies; a detailed timeline to completion; and a statement of support from their Director of Studies.   </w:t>
      </w:r>
    </w:p>
    <w:p w14:paraId="7277A96E" w14:textId="628C05DF" w:rsidR="00E65847" w:rsidRDefault="007C32B0" w:rsidP="00E65847">
      <w:pPr>
        <w:jc w:val="both"/>
        <w:rPr>
          <w:rFonts w:ascii="Titillium" w:hAnsi="Titillium"/>
          <w:sz w:val="22"/>
          <w:szCs w:val="22"/>
        </w:rPr>
      </w:pPr>
      <w:r>
        <w:rPr>
          <w:rFonts w:ascii="Titillium" w:hAnsi="Titillium"/>
          <w:sz w:val="22"/>
          <w:szCs w:val="22"/>
        </w:rPr>
        <w:t>This will then be considered by the School Research Degrees Lead</w:t>
      </w:r>
      <w:r w:rsidR="00B850F1">
        <w:rPr>
          <w:rFonts w:ascii="Titillium" w:hAnsi="Titillium"/>
          <w:sz w:val="22"/>
          <w:szCs w:val="22"/>
        </w:rPr>
        <w:t>er</w:t>
      </w:r>
      <w:r>
        <w:rPr>
          <w:rFonts w:ascii="Titillium" w:hAnsi="Titillium"/>
          <w:sz w:val="22"/>
          <w:szCs w:val="22"/>
        </w:rPr>
        <w:t xml:space="preserve"> on a case by case basis.     Where exceptions to hours have been authorised, the School Research Degrees Lead</w:t>
      </w:r>
      <w:r w:rsidR="00B850F1">
        <w:rPr>
          <w:rFonts w:ascii="Titillium" w:hAnsi="Titillium"/>
          <w:sz w:val="22"/>
          <w:szCs w:val="22"/>
        </w:rPr>
        <w:t>er</w:t>
      </w:r>
      <w:r>
        <w:rPr>
          <w:rFonts w:ascii="Titillium" w:hAnsi="Titillium"/>
          <w:sz w:val="22"/>
          <w:szCs w:val="22"/>
        </w:rPr>
        <w:t xml:space="preserve"> will inform HR, in writing.  </w:t>
      </w:r>
    </w:p>
    <w:p w14:paraId="37ED5E06" w14:textId="739738A6" w:rsidR="00E65847" w:rsidRDefault="00E65847" w:rsidP="00E65847">
      <w:pPr>
        <w:jc w:val="both"/>
        <w:rPr>
          <w:rFonts w:ascii="Titillium" w:hAnsi="Titillium"/>
          <w:b/>
          <w:color w:val="E36C0A"/>
        </w:rPr>
      </w:pPr>
    </w:p>
    <w:p w14:paraId="2C0AC4A4" w14:textId="77777777" w:rsidR="007C32B0" w:rsidRDefault="007C32B0" w:rsidP="00E65847">
      <w:pPr>
        <w:jc w:val="both"/>
        <w:rPr>
          <w:rFonts w:ascii="Titillium" w:hAnsi="Titillium"/>
          <w:b/>
          <w:color w:val="E36C0A"/>
        </w:rPr>
      </w:pPr>
    </w:p>
    <w:p w14:paraId="11A7A5DA" w14:textId="60256C67" w:rsidR="00E65847" w:rsidRDefault="00E65847" w:rsidP="00E65847">
      <w:pPr>
        <w:jc w:val="both"/>
        <w:rPr>
          <w:rFonts w:ascii="Titillium" w:hAnsi="Titillium"/>
          <w:b/>
          <w:color w:val="E36C0A"/>
        </w:rPr>
      </w:pPr>
      <w:r>
        <w:rPr>
          <w:rFonts w:ascii="Titillium" w:hAnsi="Titillium"/>
          <w:b/>
          <w:color w:val="E36C0A"/>
        </w:rPr>
        <w:t>Working Activity</w:t>
      </w:r>
    </w:p>
    <w:p w14:paraId="16BCA15C" w14:textId="73F5AF93" w:rsidR="00E65847" w:rsidRDefault="00E65847" w:rsidP="00E65847">
      <w:pPr>
        <w:jc w:val="both"/>
        <w:rPr>
          <w:rFonts w:ascii="Titillium" w:hAnsi="Titillium"/>
          <w:b/>
          <w:color w:val="E36C0A"/>
        </w:rPr>
      </w:pPr>
    </w:p>
    <w:p w14:paraId="1BF8DD0D" w14:textId="7C94BC3B" w:rsidR="00417EBB" w:rsidRDefault="00417EBB" w:rsidP="00417EBB">
      <w:pPr>
        <w:jc w:val="both"/>
        <w:rPr>
          <w:rFonts w:ascii="Titillium" w:hAnsi="Titillium"/>
          <w:sz w:val="22"/>
          <w:szCs w:val="22"/>
        </w:rPr>
      </w:pPr>
      <w:r>
        <w:rPr>
          <w:rFonts w:ascii="Titillium" w:hAnsi="Titillium"/>
          <w:sz w:val="22"/>
          <w:szCs w:val="22"/>
        </w:rPr>
        <w:t xml:space="preserve">In terms of allocating work, it is expected that this will be scheduled </w:t>
      </w:r>
      <w:r w:rsidR="00B850F1">
        <w:rPr>
          <w:rFonts w:ascii="Titillium" w:hAnsi="Titillium"/>
          <w:sz w:val="22"/>
          <w:szCs w:val="22"/>
        </w:rPr>
        <w:t xml:space="preserve">in advance of </w:t>
      </w:r>
      <w:r>
        <w:rPr>
          <w:rFonts w:ascii="Titillium" w:hAnsi="Titillium"/>
          <w:sz w:val="22"/>
          <w:szCs w:val="22"/>
        </w:rPr>
        <w:t xml:space="preserve">the beginning of each trimester although timetables are subject to change to meet the requirements of the School. </w:t>
      </w:r>
      <w:r w:rsidR="006F1B3E">
        <w:rPr>
          <w:rFonts w:ascii="Titillium" w:hAnsi="Titillium"/>
          <w:sz w:val="22"/>
          <w:szCs w:val="22"/>
        </w:rPr>
        <w:t xml:space="preserve">  </w:t>
      </w:r>
    </w:p>
    <w:p w14:paraId="2C36BFFF" w14:textId="4FF0DD8D" w:rsidR="00417EBB" w:rsidRDefault="00417EBB" w:rsidP="00417EBB">
      <w:pPr>
        <w:jc w:val="both"/>
        <w:rPr>
          <w:rFonts w:ascii="Titillium" w:hAnsi="Titillium"/>
          <w:sz w:val="22"/>
          <w:szCs w:val="22"/>
        </w:rPr>
      </w:pPr>
    </w:p>
    <w:p w14:paraId="1D5983D4" w14:textId="18D31113" w:rsidR="00417EBB" w:rsidRDefault="00417EBB" w:rsidP="00417EBB">
      <w:pPr>
        <w:jc w:val="both"/>
        <w:rPr>
          <w:rFonts w:ascii="Titillium" w:hAnsi="Titillium"/>
          <w:sz w:val="22"/>
          <w:szCs w:val="22"/>
        </w:rPr>
      </w:pPr>
      <w:r>
        <w:rPr>
          <w:rFonts w:ascii="Titillium" w:hAnsi="Titillium"/>
          <w:sz w:val="22"/>
          <w:szCs w:val="22"/>
        </w:rPr>
        <w:t xml:space="preserve">In order to provide </w:t>
      </w:r>
      <w:r w:rsidR="006F1B3E">
        <w:rPr>
          <w:rFonts w:ascii="Titillium" w:hAnsi="Titillium"/>
          <w:sz w:val="22"/>
          <w:szCs w:val="22"/>
        </w:rPr>
        <w:t>additional opportunities to meet the needs</w:t>
      </w:r>
      <w:r>
        <w:rPr>
          <w:rFonts w:ascii="Titillium" w:hAnsi="Titillium"/>
          <w:sz w:val="22"/>
          <w:szCs w:val="22"/>
        </w:rPr>
        <w:t xml:space="preserve"> of the Schools</w:t>
      </w:r>
      <w:r w:rsidR="006F1B3E">
        <w:rPr>
          <w:rFonts w:ascii="Titillium" w:hAnsi="Titillium"/>
          <w:sz w:val="22"/>
          <w:szCs w:val="22"/>
        </w:rPr>
        <w:t>, the following</w:t>
      </w:r>
      <w:r>
        <w:rPr>
          <w:rFonts w:ascii="Titillium" w:hAnsi="Titillium"/>
          <w:sz w:val="22"/>
          <w:szCs w:val="22"/>
        </w:rPr>
        <w:t xml:space="preserve"> types of activity that students can undertake </w:t>
      </w:r>
      <w:r w:rsidR="006F1B3E">
        <w:rPr>
          <w:rFonts w:ascii="Titillium" w:hAnsi="Titillium"/>
          <w:sz w:val="22"/>
          <w:szCs w:val="22"/>
        </w:rPr>
        <w:t xml:space="preserve">and associated evaluated payments are </w:t>
      </w:r>
      <w:r>
        <w:rPr>
          <w:rFonts w:ascii="Titillium" w:hAnsi="Titillium"/>
          <w:sz w:val="22"/>
          <w:szCs w:val="22"/>
        </w:rPr>
        <w:t>as follows:</w:t>
      </w:r>
    </w:p>
    <w:p w14:paraId="09C323F6" w14:textId="4FE567DF" w:rsidR="00417EBB" w:rsidRDefault="00417EBB" w:rsidP="00417EBB">
      <w:pPr>
        <w:jc w:val="both"/>
        <w:rPr>
          <w:rFonts w:ascii="Titillium" w:hAnsi="Titillium"/>
          <w:sz w:val="22"/>
          <w:szCs w:val="22"/>
        </w:rPr>
      </w:pPr>
    </w:p>
    <w:p w14:paraId="239449B2" w14:textId="73996CE6" w:rsidR="00417EBB" w:rsidRPr="00FC7841" w:rsidRDefault="00417EBB"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Teaching</w:t>
      </w:r>
      <w:r w:rsidR="00FC7841">
        <w:rPr>
          <w:rFonts w:ascii="Titillium" w:hAnsi="Titillium"/>
          <w:noProof/>
          <w:color w:val="E36C0A"/>
          <w:sz w:val="22"/>
          <w:szCs w:val="22"/>
          <w:lang w:val="en-US"/>
        </w:rPr>
        <w:t>,</w:t>
      </w:r>
      <w:r>
        <w:rPr>
          <w:rFonts w:ascii="Titillium" w:hAnsi="Titillium"/>
          <w:noProof/>
          <w:color w:val="E36C0A"/>
          <w:sz w:val="22"/>
          <w:szCs w:val="22"/>
          <w:lang w:val="en-US"/>
        </w:rPr>
        <w:t xml:space="preserve"> paid at Point 29, Grade 5</w:t>
      </w:r>
    </w:p>
    <w:p w14:paraId="5FF3B16F" w14:textId="26F894E5" w:rsidR="00FC7841" w:rsidRPr="00417EBB" w:rsidRDefault="00FC7841"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Teaching preparation time and assessment, paid at Point 29, Grade 5</w:t>
      </w:r>
      <w:r w:rsidR="00801C99">
        <w:rPr>
          <w:rFonts w:ascii="Titillium" w:hAnsi="Titillium"/>
          <w:noProof/>
          <w:color w:val="E36C0A"/>
          <w:sz w:val="22"/>
          <w:szCs w:val="22"/>
          <w:lang w:val="en-US"/>
        </w:rPr>
        <w:t xml:space="preserve"> (see note below)</w:t>
      </w:r>
    </w:p>
    <w:p w14:paraId="0D2853A3" w14:textId="0D82E97D" w:rsidR="00417EBB" w:rsidRPr="00417EBB" w:rsidRDefault="00417EBB"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 xml:space="preserve">Research Projects </w:t>
      </w:r>
      <w:r w:rsidR="00FC7841">
        <w:rPr>
          <w:rFonts w:ascii="Titillium" w:hAnsi="Titillium"/>
          <w:noProof/>
          <w:color w:val="E36C0A"/>
          <w:sz w:val="22"/>
          <w:szCs w:val="22"/>
          <w:lang w:val="en-US"/>
        </w:rPr>
        <w:t xml:space="preserve">not part of the </w:t>
      </w:r>
      <w:r>
        <w:rPr>
          <w:rFonts w:ascii="Titillium" w:hAnsi="Titillium"/>
          <w:noProof/>
          <w:color w:val="E36C0A"/>
          <w:sz w:val="22"/>
          <w:szCs w:val="22"/>
          <w:lang w:val="en-US"/>
        </w:rPr>
        <w:t>student</w:t>
      </w:r>
      <w:r w:rsidR="0094549E">
        <w:rPr>
          <w:rFonts w:ascii="Titillium" w:hAnsi="Titillium"/>
          <w:noProof/>
          <w:color w:val="E36C0A"/>
          <w:sz w:val="22"/>
          <w:szCs w:val="22"/>
          <w:lang w:val="en-US"/>
        </w:rPr>
        <w:t>’</w:t>
      </w:r>
      <w:r>
        <w:rPr>
          <w:rFonts w:ascii="Titillium" w:hAnsi="Titillium"/>
          <w:noProof/>
          <w:color w:val="E36C0A"/>
          <w:sz w:val="22"/>
          <w:szCs w:val="22"/>
          <w:lang w:val="en-US"/>
        </w:rPr>
        <w:t xml:space="preserve">s </w:t>
      </w:r>
      <w:r w:rsidR="00FC7841">
        <w:rPr>
          <w:rFonts w:ascii="Titillium" w:hAnsi="Titillium"/>
          <w:noProof/>
          <w:color w:val="E36C0A"/>
          <w:sz w:val="22"/>
          <w:szCs w:val="22"/>
          <w:lang w:val="en-US"/>
        </w:rPr>
        <w:t>PhD</w:t>
      </w:r>
      <w:r>
        <w:rPr>
          <w:rFonts w:ascii="Titillium" w:hAnsi="Titillium"/>
          <w:noProof/>
          <w:color w:val="E36C0A"/>
          <w:sz w:val="22"/>
          <w:szCs w:val="22"/>
          <w:lang w:val="en-US"/>
        </w:rPr>
        <w:t>, paid at Point</w:t>
      </w:r>
      <w:r w:rsidR="006F1B3E">
        <w:rPr>
          <w:rFonts w:ascii="Titillium" w:hAnsi="Titillium"/>
          <w:noProof/>
          <w:color w:val="E36C0A"/>
          <w:sz w:val="22"/>
          <w:szCs w:val="22"/>
          <w:lang w:val="en-US"/>
        </w:rPr>
        <w:t xml:space="preserve"> 22</w:t>
      </w:r>
      <w:r>
        <w:rPr>
          <w:rFonts w:ascii="Titillium" w:hAnsi="Titillium"/>
          <w:noProof/>
          <w:color w:val="E36C0A"/>
          <w:sz w:val="22"/>
          <w:szCs w:val="22"/>
          <w:lang w:val="en-US"/>
        </w:rPr>
        <w:t xml:space="preserve"> , Grade 4</w:t>
      </w:r>
    </w:p>
    <w:p w14:paraId="3E05F547" w14:textId="07A40D38" w:rsidR="00417EBB" w:rsidRPr="003F65FF" w:rsidRDefault="00417EBB" w:rsidP="00417EBB">
      <w:pPr>
        <w:pStyle w:val="ListParagraph"/>
        <w:numPr>
          <w:ilvl w:val="0"/>
          <w:numId w:val="2"/>
        </w:numPr>
        <w:ind w:left="426" w:hanging="426"/>
        <w:jc w:val="both"/>
        <w:rPr>
          <w:rFonts w:ascii="Titillium" w:hAnsi="Titillium"/>
          <w:b/>
          <w:color w:val="E36C0A"/>
        </w:rPr>
      </w:pPr>
      <w:r>
        <w:rPr>
          <w:rFonts w:ascii="Titillium" w:hAnsi="Titillium"/>
          <w:noProof/>
          <w:color w:val="E36C0A"/>
          <w:sz w:val="22"/>
          <w:szCs w:val="22"/>
          <w:lang w:val="en-US"/>
        </w:rPr>
        <w:t>Demonstrating, paid at Point</w:t>
      </w:r>
      <w:r w:rsidR="006F1B3E">
        <w:rPr>
          <w:rFonts w:ascii="Titillium" w:hAnsi="Titillium"/>
          <w:noProof/>
          <w:color w:val="E36C0A"/>
          <w:sz w:val="22"/>
          <w:szCs w:val="22"/>
          <w:lang w:val="en-US"/>
        </w:rPr>
        <w:t xml:space="preserve"> 8 , Grade 2</w:t>
      </w:r>
    </w:p>
    <w:p w14:paraId="1521AF8E" w14:textId="5E8A23B1" w:rsidR="00417EBB" w:rsidRDefault="00417EBB" w:rsidP="00E65847">
      <w:pPr>
        <w:jc w:val="both"/>
        <w:rPr>
          <w:rFonts w:ascii="Titillium" w:hAnsi="Titillium"/>
          <w:b/>
          <w:color w:val="E36C0A"/>
        </w:rPr>
      </w:pPr>
    </w:p>
    <w:p w14:paraId="7E7C4AEB" w14:textId="1711CB6D" w:rsidR="00C74F4D" w:rsidRDefault="006F1B3E" w:rsidP="006F1B3E">
      <w:pPr>
        <w:jc w:val="both"/>
        <w:rPr>
          <w:rFonts w:ascii="Titillium" w:hAnsi="Titillium"/>
          <w:sz w:val="22"/>
          <w:szCs w:val="22"/>
        </w:rPr>
      </w:pPr>
      <w:r>
        <w:rPr>
          <w:rFonts w:ascii="Titillium" w:hAnsi="Titillium"/>
          <w:sz w:val="22"/>
          <w:szCs w:val="22"/>
        </w:rPr>
        <w:t xml:space="preserve">If no paid work is available in the School, the Director of Studies should explore, depending on subject area, whether there </w:t>
      </w:r>
      <w:r w:rsidR="0094549E">
        <w:rPr>
          <w:rFonts w:ascii="Titillium" w:hAnsi="Titillium"/>
          <w:sz w:val="22"/>
          <w:szCs w:val="22"/>
        </w:rPr>
        <w:t xml:space="preserve">are </w:t>
      </w:r>
      <w:r>
        <w:rPr>
          <w:rFonts w:ascii="Titillium" w:hAnsi="Titillium"/>
          <w:sz w:val="22"/>
          <w:szCs w:val="22"/>
        </w:rPr>
        <w:t>any opportunities in an</w:t>
      </w:r>
      <w:r w:rsidR="0094549E">
        <w:rPr>
          <w:rFonts w:ascii="Titillium" w:hAnsi="Titillium"/>
          <w:sz w:val="22"/>
          <w:szCs w:val="22"/>
        </w:rPr>
        <w:t>other</w:t>
      </w:r>
      <w:r>
        <w:rPr>
          <w:rFonts w:ascii="Titillium" w:hAnsi="Titillium"/>
          <w:sz w:val="22"/>
          <w:szCs w:val="22"/>
        </w:rPr>
        <w:t xml:space="preserve"> School.  </w:t>
      </w:r>
    </w:p>
    <w:p w14:paraId="6761B6B0" w14:textId="77777777" w:rsidR="00C74F4D" w:rsidRDefault="00C74F4D" w:rsidP="006F1B3E">
      <w:pPr>
        <w:jc w:val="both"/>
        <w:rPr>
          <w:rFonts w:ascii="Titillium" w:hAnsi="Titillium"/>
          <w:sz w:val="22"/>
          <w:szCs w:val="22"/>
        </w:rPr>
      </w:pPr>
    </w:p>
    <w:p w14:paraId="0F425C1C" w14:textId="010C7BCB" w:rsidR="006F1B3E" w:rsidRDefault="00C74F4D" w:rsidP="006F1B3E">
      <w:pPr>
        <w:jc w:val="both"/>
        <w:rPr>
          <w:rFonts w:ascii="Titillium" w:hAnsi="Titillium"/>
          <w:sz w:val="22"/>
          <w:szCs w:val="22"/>
        </w:rPr>
      </w:pPr>
      <w:r>
        <w:rPr>
          <w:rFonts w:ascii="Titillium" w:hAnsi="Titillium"/>
          <w:sz w:val="22"/>
          <w:szCs w:val="22"/>
        </w:rPr>
        <w:t xml:space="preserve">It should be noted that students who will be undertaking teaching at the University must enrol on the University’s Teaching at University for PGR Students course and the first six hours of teaching as part of this programme are unpaid.  </w:t>
      </w:r>
      <w:r w:rsidR="006F1B3E">
        <w:rPr>
          <w:rFonts w:ascii="Titillium" w:hAnsi="Titillium"/>
          <w:sz w:val="22"/>
          <w:szCs w:val="22"/>
        </w:rPr>
        <w:t xml:space="preserve"> </w:t>
      </w:r>
    </w:p>
    <w:p w14:paraId="56F5CA66" w14:textId="404B1EF0" w:rsidR="00801C99" w:rsidRDefault="00801C99" w:rsidP="006F1B3E">
      <w:pPr>
        <w:jc w:val="both"/>
        <w:rPr>
          <w:rFonts w:ascii="Titillium" w:hAnsi="Titillium"/>
          <w:sz w:val="22"/>
          <w:szCs w:val="22"/>
        </w:rPr>
      </w:pPr>
    </w:p>
    <w:p w14:paraId="77F2BA82" w14:textId="434D657B" w:rsidR="00551AAB" w:rsidRPr="00551AAB" w:rsidRDefault="00551AAB" w:rsidP="006F1B3E">
      <w:pPr>
        <w:jc w:val="both"/>
        <w:rPr>
          <w:rFonts w:ascii="Titillium" w:hAnsi="Titillium"/>
          <w:sz w:val="22"/>
          <w:szCs w:val="22"/>
        </w:rPr>
      </w:pPr>
      <w:r>
        <w:rPr>
          <w:rFonts w:ascii="Titillium" w:hAnsi="Titillium"/>
          <w:sz w:val="22"/>
          <w:szCs w:val="22"/>
        </w:rPr>
        <w:t xml:space="preserve">In accordance with the University’s Workload Allocation Model, the teaching of tutorials and lectures carries a specific allocation of preparation time. In the case where a </w:t>
      </w:r>
      <w:r w:rsidR="007F4D72">
        <w:rPr>
          <w:rFonts w:ascii="Titillium" w:hAnsi="Titillium"/>
          <w:sz w:val="22"/>
          <w:szCs w:val="22"/>
        </w:rPr>
        <w:t>PGR</w:t>
      </w:r>
      <w:r>
        <w:rPr>
          <w:rFonts w:ascii="Titillium" w:hAnsi="Titillium"/>
          <w:sz w:val="22"/>
          <w:szCs w:val="22"/>
        </w:rPr>
        <w:t xml:space="preserve"> student teaches a repeated instances of a tutorial (i.e. the same materials and learning outcomes taught to different student groups), then the allocation of preparation time staggers, as below:</w:t>
      </w:r>
    </w:p>
    <w:p w14:paraId="190A0003" w14:textId="4B223220" w:rsidR="00801C99" w:rsidRDefault="00801C99" w:rsidP="006F1B3E">
      <w:pPr>
        <w:jc w:val="both"/>
        <w:rPr>
          <w:rFonts w:ascii="Titillium" w:hAnsi="Titillium"/>
          <w:sz w:val="22"/>
          <w:szCs w:val="22"/>
        </w:rPr>
      </w:pPr>
    </w:p>
    <w:p w14:paraId="79E9DA53" w14:textId="10BC59D8"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1 tutorial – 1 hour preparation for the tutorial</w:t>
      </w:r>
    </w:p>
    <w:p w14:paraId="24CF7D93" w14:textId="03099FAD"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2 tutorials – 1.5 hours preparation time in total</w:t>
      </w:r>
    </w:p>
    <w:p w14:paraId="4B8DA2F5" w14:textId="1E2B579E"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3 tutorials – 1.</w:t>
      </w:r>
      <w:r w:rsidR="00551AAB">
        <w:rPr>
          <w:rFonts w:ascii="Titillium" w:hAnsi="Titillium"/>
          <w:sz w:val="22"/>
          <w:szCs w:val="22"/>
        </w:rPr>
        <w:t>7</w:t>
      </w:r>
      <w:r w:rsidRPr="00801C99">
        <w:rPr>
          <w:rFonts w:ascii="Titillium" w:hAnsi="Titillium"/>
          <w:sz w:val="22"/>
          <w:szCs w:val="22"/>
        </w:rPr>
        <w:t>5 hours preparation time in total</w:t>
      </w:r>
    </w:p>
    <w:p w14:paraId="4F03C702" w14:textId="1C9BAD83" w:rsidR="00801C99" w:rsidRPr="00801C99" w:rsidRDefault="00801C99" w:rsidP="00801C99">
      <w:pPr>
        <w:pStyle w:val="ListParagraph"/>
        <w:numPr>
          <w:ilvl w:val="0"/>
          <w:numId w:val="36"/>
        </w:numPr>
        <w:jc w:val="both"/>
        <w:rPr>
          <w:rFonts w:ascii="Titillium" w:hAnsi="Titillium"/>
          <w:sz w:val="22"/>
          <w:szCs w:val="22"/>
        </w:rPr>
      </w:pPr>
      <w:r w:rsidRPr="00801C99">
        <w:rPr>
          <w:rFonts w:ascii="Titillium" w:hAnsi="Titillium"/>
          <w:sz w:val="22"/>
          <w:szCs w:val="22"/>
        </w:rPr>
        <w:t>4 tutorials – 2 hours preparation time in total</w:t>
      </w:r>
    </w:p>
    <w:p w14:paraId="25C89249" w14:textId="5D293D52" w:rsidR="00E65847" w:rsidRDefault="00E65847" w:rsidP="00E65847">
      <w:pPr>
        <w:jc w:val="both"/>
        <w:rPr>
          <w:rFonts w:ascii="Titillium" w:hAnsi="Titillium"/>
          <w:b/>
          <w:color w:val="E36C0A"/>
        </w:rPr>
      </w:pPr>
    </w:p>
    <w:p w14:paraId="2213F6EF" w14:textId="77777777" w:rsidR="002F5B7F" w:rsidRDefault="002F5B7F" w:rsidP="00E65847">
      <w:pPr>
        <w:jc w:val="both"/>
        <w:rPr>
          <w:rFonts w:ascii="Titillium" w:hAnsi="Titillium"/>
          <w:b/>
          <w:color w:val="E36C0A"/>
        </w:rPr>
      </w:pPr>
    </w:p>
    <w:p w14:paraId="7311DD1F" w14:textId="77777777" w:rsidR="007C32B0" w:rsidRDefault="007C32B0" w:rsidP="007C32B0">
      <w:pPr>
        <w:jc w:val="both"/>
        <w:rPr>
          <w:rFonts w:ascii="Titillium" w:hAnsi="Titillium"/>
          <w:b/>
          <w:color w:val="E36C0A"/>
        </w:rPr>
      </w:pPr>
      <w:r>
        <w:rPr>
          <w:rFonts w:ascii="Titillium" w:hAnsi="Titillium"/>
          <w:b/>
          <w:color w:val="E36C0A"/>
        </w:rPr>
        <w:t>Contract Duration</w:t>
      </w:r>
    </w:p>
    <w:p w14:paraId="23D96B70" w14:textId="529322B1" w:rsidR="007C32B0" w:rsidRDefault="007C32B0" w:rsidP="00E65847">
      <w:pPr>
        <w:jc w:val="both"/>
        <w:rPr>
          <w:rFonts w:ascii="Titillium" w:hAnsi="Titillium"/>
          <w:b/>
          <w:color w:val="E36C0A"/>
        </w:rPr>
      </w:pPr>
    </w:p>
    <w:p w14:paraId="4BEDB299" w14:textId="0ED2B704" w:rsidR="007C32B0" w:rsidRDefault="007C32B0" w:rsidP="007C32B0">
      <w:pPr>
        <w:jc w:val="both"/>
        <w:rPr>
          <w:rFonts w:ascii="Titillium" w:hAnsi="Titillium"/>
          <w:sz w:val="22"/>
          <w:szCs w:val="22"/>
        </w:rPr>
      </w:pPr>
      <w:r>
        <w:rPr>
          <w:rFonts w:ascii="Titillium" w:hAnsi="Titillium"/>
          <w:sz w:val="22"/>
          <w:szCs w:val="22"/>
        </w:rPr>
        <w:t>Contracts will be issued for the duration of the student</w:t>
      </w:r>
      <w:r w:rsidR="0094549E">
        <w:rPr>
          <w:rFonts w:ascii="Titillium" w:hAnsi="Titillium"/>
          <w:sz w:val="22"/>
          <w:szCs w:val="22"/>
        </w:rPr>
        <w:t>’</w:t>
      </w:r>
      <w:r>
        <w:rPr>
          <w:rFonts w:ascii="Titillium" w:hAnsi="Titillium"/>
          <w:sz w:val="22"/>
          <w:szCs w:val="22"/>
        </w:rPr>
        <w:t xml:space="preserve">s studies.   </w:t>
      </w:r>
    </w:p>
    <w:p w14:paraId="7B2556A3" w14:textId="6096C9A7" w:rsidR="00C74F4D" w:rsidRDefault="00C74F4D" w:rsidP="007C32B0">
      <w:pPr>
        <w:jc w:val="both"/>
        <w:rPr>
          <w:rFonts w:ascii="Titillium" w:hAnsi="Titillium"/>
          <w:sz w:val="22"/>
          <w:szCs w:val="22"/>
        </w:rPr>
      </w:pPr>
    </w:p>
    <w:p w14:paraId="13C2F060" w14:textId="77777777" w:rsidR="002F5B7F" w:rsidRDefault="002F5B7F" w:rsidP="007C32B0">
      <w:pPr>
        <w:jc w:val="both"/>
        <w:rPr>
          <w:rFonts w:ascii="Titillium" w:hAnsi="Titillium"/>
          <w:sz w:val="22"/>
          <w:szCs w:val="22"/>
        </w:rPr>
      </w:pPr>
    </w:p>
    <w:p w14:paraId="39B6CB0A" w14:textId="13B1B780" w:rsidR="00E65847" w:rsidRDefault="00E65847" w:rsidP="00E65847">
      <w:pPr>
        <w:jc w:val="both"/>
        <w:rPr>
          <w:rFonts w:ascii="Titillium" w:hAnsi="Titillium"/>
          <w:b/>
          <w:color w:val="E36C0A"/>
        </w:rPr>
      </w:pPr>
      <w:r>
        <w:rPr>
          <w:rFonts w:ascii="Titillium" w:hAnsi="Titillium"/>
          <w:b/>
          <w:color w:val="E36C0A"/>
        </w:rPr>
        <w:t>Initiating a Contract</w:t>
      </w:r>
    </w:p>
    <w:p w14:paraId="5C42F5B1" w14:textId="110FDF04" w:rsidR="00E65847" w:rsidRDefault="00E65847" w:rsidP="00E65847">
      <w:pPr>
        <w:jc w:val="both"/>
        <w:rPr>
          <w:rFonts w:ascii="Titillium" w:hAnsi="Titillium"/>
          <w:b/>
          <w:color w:val="E36C0A"/>
        </w:rPr>
      </w:pPr>
    </w:p>
    <w:p w14:paraId="69F01C23" w14:textId="6753FDEE" w:rsidR="00876382" w:rsidRDefault="00876382" w:rsidP="00876382">
      <w:pPr>
        <w:jc w:val="both"/>
        <w:rPr>
          <w:rFonts w:ascii="Titillium" w:hAnsi="Titillium"/>
          <w:sz w:val="22"/>
          <w:szCs w:val="22"/>
        </w:rPr>
      </w:pPr>
      <w:r>
        <w:rPr>
          <w:rFonts w:ascii="Titillium" w:hAnsi="Titillium"/>
          <w:sz w:val="22"/>
          <w:szCs w:val="22"/>
        </w:rPr>
        <w:t>Once approv</w:t>
      </w:r>
      <w:r w:rsidR="0094549E">
        <w:rPr>
          <w:rFonts w:ascii="Titillium" w:hAnsi="Titillium"/>
          <w:sz w:val="22"/>
          <w:szCs w:val="22"/>
        </w:rPr>
        <w:t xml:space="preserve">ed by the School Research Degrees Leader, the Director of Studies needs to complete a </w:t>
      </w:r>
      <w:r>
        <w:rPr>
          <w:rFonts w:ascii="Titillium" w:hAnsi="Titillium"/>
          <w:sz w:val="22"/>
          <w:szCs w:val="22"/>
        </w:rPr>
        <w:t>Student Experience Appointment Form</w:t>
      </w:r>
      <w:r w:rsidR="0094549E">
        <w:rPr>
          <w:rFonts w:ascii="Titillium" w:hAnsi="Titillium"/>
          <w:sz w:val="22"/>
          <w:szCs w:val="22"/>
        </w:rPr>
        <w:t xml:space="preserve"> ensuring the </w:t>
      </w:r>
      <w:r>
        <w:rPr>
          <w:rFonts w:ascii="Titillium" w:hAnsi="Titillium"/>
          <w:sz w:val="22"/>
          <w:szCs w:val="22"/>
        </w:rPr>
        <w:t xml:space="preserve">necessary information </w:t>
      </w:r>
      <w:r w:rsidR="0094549E">
        <w:rPr>
          <w:rFonts w:ascii="Titillium" w:hAnsi="Titillium"/>
          <w:sz w:val="22"/>
          <w:szCs w:val="22"/>
        </w:rPr>
        <w:t xml:space="preserve">is provided </w:t>
      </w:r>
      <w:r>
        <w:rPr>
          <w:rFonts w:ascii="Titillium" w:hAnsi="Titillium"/>
          <w:sz w:val="22"/>
          <w:szCs w:val="22"/>
        </w:rPr>
        <w:t>to allow for a contract t</w:t>
      </w:r>
      <w:r w:rsidR="0094549E">
        <w:rPr>
          <w:rFonts w:ascii="Titillium" w:hAnsi="Titillium"/>
          <w:sz w:val="22"/>
          <w:szCs w:val="22"/>
        </w:rPr>
        <w:t>o be initiated.      In advance of</w:t>
      </w:r>
      <w:r>
        <w:rPr>
          <w:rFonts w:ascii="Titillium" w:hAnsi="Titillium"/>
          <w:sz w:val="22"/>
          <w:szCs w:val="22"/>
        </w:rPr>
        <w:t xml:space="preserve"> any work being carried</w:t>
      </w:r>
      <w:r w:rsidR="0094549E">
        <w:rPr>
          <w:rFonts w:ascii="Titillium" w:hAnsi="Titillium"/>
          <w:sz w:val="22"/>
          <w:szCs w:val="22"/>
        </w:rPr>
        <w:t xml:space="preserve"> out,</w:t>
      </w:r>
      <w:r>
        <w:rPr>
          <w:rFonts w:ascii="Titillium" w:hAnsi="Titillium"/>
          <w:sz w:val="22"/>
          <w:szCs w:val="22"/>
        </w:rPr>
        <w:t xml:space="preserve"> a ‘Right to Work’ check needs to be arranged</w:t>
      </w:r>
      <w:r w:rsidR="00551AAB">
        <w:rPr>
          <w:rFonts w:ascii="Titillium" w:hAnsi="Titillium"/>
          <w:sz w:val="22"/>
          <w:szCs w:val="22"/>
        </w:rPr>
        <w:t>.</w:t>
      </w:r>
      <w:r>
        <w:rPr>
          <w:rFonts w:ascii="Titillium" w:hAnsi="Titillium"/>
          <w:sz w:val="22"/>
          <w:szCs w:val="22"/>
        </w:rPr>
        <w:t xml:space="preserve"> </w:t>
      </w:r>
      <w:r w:rsidR="00551AAB">
        <w:rPr>
          <w:rFonts w:ascii="Titillium" w:hAnsi="Titillium"/>
          <w:sz w:val="22"/>
          <w:szCs w:val="22"/>
        </w:rPr>
        <w:t>T</w:t>
      </w:r>
      <w:r>
        <w:rPr>
          <w:rFonts w:ascii="Titillium" w:hAnsi="Titillium"/>
          <w:sz w:val="22"/>
          <w:szCs w:val="22"/>
        </w:rPr>
        <w:t xml:space="preserve">his can be </w:t>
      </w:r>
      <w:r w:rsidR="00551AAB">
        <w:rPr>
          <w:rFonts w:ascii="Titillium" w:hAnsi="Titillium"/>
          <w:sz w:val="22"/>
          <w:szCs w:val="22"/>
        </w:rPr>
        <w:t>arranged</w:t>
      </w:r>
      <w:r>
        <w:rPr>
          <w:rFonts w:ascii="Titillium" w:hAnsi="Titillium"/>
          <w:sz w:val="22"/>
          <w:szCs w:val="22"/>
        </w:rPr>
        <w:t xml:space="preserve"> by contacting </w:t>
      </w:r>
      <w:hyperlink r:id="rId7" w:history="1">
        <w:r w:rsidRPr="00894EBF">
          <w:rPr>
            <w:rStyle w:val="Hyperlink"/>
            <w:rFonts w:ascii="Titillium" w:hAnsi="Titillium"/>
            <w:sz w:val="22"/>
            <w:szCs w:val="22"/>
          </w:rPr>
          <w:t>humanresources@napier.ac.uk</w:t>
        </w:r>
      </w:hyperlink>
      <w:r>
        <w:rPr>
          <w:rFonts w:ascii="Titillium" w:hAnsi="Titillium"/>
          <w:sz w:val="22"/>
          <w:szCs w:val="22"/>
        </w:rPr>
        <w:t xml:space="preserve">.   There are no exceptions to this, as this is to ensure that we comply with UK Visa &amp; Immigrations. </w:t>
      </w:r>
    </w:p>
    <w:p w14:paraId="02D102FD" w14:textId="434CC5CB" w:rsidR="00876382" w:rsidRDefault="00876382" w:rsidP="00876382">
      <w:pPr>
        <w:jc w:val="both"/>
        <w:rPr>
          <w:rFonts w:ascii="Titillium" w:hAnsi="Titillium"/>
          <w:sz w:val="22"/>
          <w:szCs w:val="22"/>
        </w:rPr>
      </w:pPr>
    </w:p>
    <w:p w14:paraId="404F556B" w14:textId="0007A23B" w:rsidR="00876382" w:rsidRDefault="00876382" w:rsidP="00876382">
      <w:pPr>
        <w:jc w:val="both"/>
        <w:rPr>
          <w:rFonts w:ascii="Titillium" w:hAnsi="Titillium"/>
          <w:sz w:val="22"/>
          <w:szCs w:val="22"/>
        </w:rPr>
      </w:pPr>
      <w:r>
        <w:rPr>
          <w:rFonts w:ascii="Titillium" w:hAnsi="Titillium"/>
          <w:sz w:val="22"/>
          <w:szCs w:val="22"/>
        </w:rPr>
        <w:t>Please note, th</w:t>
      </w:r>
      <w:r w:rsidR="0094549E">
        <w:rPr>
          <w:rFonts w:ascii="Titillium" w:hAnsi="Titillium"/>
          <w:sz w:val="22"/>
          <w:szCs w:val="22"/>
        </w:rPr>
        <w:t>ere</w:t>
      </w:r>
      <w:r>
        <w:rPr>
          <w:rFonts w:ascii="Titillium" w:hAnsi="Titillium"/>
          <w:sz w:val="22"/>
          <w:szCs w:val="22"/>
        </w:rPr>
        <w:t xml:space="preserve"> is no requirement for a Staffing Authorisation Form for Student Experience Contracts. </w:t>
      </w:r>
    </w:p>
    <w:p w14:paraId="28EB4D3C" w14:textId="75145A7D" w:rsidR="00C74F4D" w:rsidRDefault="00C74F4D" w:rsidP="00E65847">
      <w:pPr>
        <w:jc w:val="both"/>
        <w:rPr>
          <w:rFonts w:ascii="Titillium" w:hAnsi="Titillium"/>
          <w:b/>
          <w:color w:val="E36C0A"/>
        </w:rPr>
      </w:pPr>
    </w:p>
    <w:p w14:paraId="5D9BB0FC" w14:textId="7E8374E6" w:rsidR="00417EBB" w:rsidRDefault="00417EBB" w:rsidP="00E65847">
      <w:pPr>
        <w:jc w:val="both"/>
        <w:rPr>
          <w:rFonts w:ascii="Titillium" w:hAnsi="Titillium"/>
          <w:b/>
          <w:color w:val="E36C0A"/>
        </w:rPr>
      </w:pPr>
    </w:p>
    <w:p w14:paraId="14289A69" w14:textId="77B59174" w:rsidR="00417EBB" w:rsidRDefault="00417EBB" w:rsidP="00E65847">
      <w:pPr>
        <w:jc w:val="both"/>
        <w:rPr>
          <w:rFonts w:ascii="Titillium" w:hAnsi="Titillium"/>
          <w:b/>
          <w:color w:val="E36C0A"/>
        </w:rPr>
      </w:pPr>
      <w:r>
        <w:rPr>
          <w:rFonts w:ascii="Titillium" w:hAnsi="Titillium"/>
          <w:b/>
          <w:color w:val="E36C0A"/>
        </w:rPr>
        <w:t>Payments</w:t>
      </w:r>
      <w:r w:rsidR="00C74F4D">
        <w:rPr>
          <w:rFonts w:ascii="Titillium" w:hAnsi="Titillium"/>
          <w:b/>
          <w:color w:val="E36C0A"/>
        </w:rPr>
        <w:t xml:space="preserve"> for Holidays</w:t>
      </w:r>
    </w:p>
    <w:p w14:paraId="0B99F3FF" w14:textId="747972EB" w:rsidR="00C74F4D" w:rsidRDefault="00C74F4D" w:rsidP="00E65847">
      <w:pPr>
        <w:jc w:val="both"/>
        <w:rPr>
          <w:rFonts w:ascii="Titillium" w:hAnsi="Titillium"/>
          <w:b/>
          <w:color w:val="E36C0A"/>
        </w:rPr>
      </w:pPr>
    </w:p>
    <w:p w14:paraId="20432BB1" w14:textId="6CD40333" w:rsidR="00C74F4D" w:rsidRDefault="00C74F4D" w:rsidP="00C74F4D">
      <w:pPr>
        <w:jc w:val="both"/>
        <w:rPr>
          <w:rFonts w:ascii="Titillium" w:hAnsi="Titillium"/>
          <w:sz w:val="22"/>
          <w:szCs w:val="22"/>
        </w:rPr>
      </w:pPr>
      <w:r>
        <w:rPr>
          <w:rFonts w:ascii="Titillium" w:hAnsi="Titillium"/>
          <w:sz w:val="22"/>
          <w:szCs w:val="22"/>
        </w:rPr>
        <w:t>Students will receive a payment for accrued holiday entitlement based on their hours worked.     This is show</w:t>
      </w:r>
      <w:r w:rsidR="0094549E">
        <w:rPr>
          <w:rFonts w:ascii="Titillium" w:hAnsi="Titillium"/>
          <w:sz w:val="22"/>
          <w:szCs w:val="22"/>
        </w:rPr>
        <w:t>n</w:t>
      </w:r>
      <w:r>
        <w:rPr>
          <w:rFonts w:ascii="Titillium" w:hAnsi="Titillium"/>
          <w:sz w:val="22"/>
          <w:szCs w:val="22"/>
        </w:rPr>
        <w:t xml:space="preserve"> separately on the payslip and is based on 17.7% for every </w:t>
      </w:r>
      <w:r w:rsidR="007F4D72">
        <w:rPr>
          <w:rFonts w:ascii="Titillium" w:hAnsi="Titillium"/>
          <w:sz w:val="22"/>
          <w:szCs w:val="22"/>
        </w:rPr>
        <w:t xml:space="preserve">hour </w:t>
      </w:r>
      <w:bookmarkStart w:id="0" w:name="_GoBack"/>
      <w:bookmarkEnd w:id="0"/>
      <w:r>
        <w:rPr>
          <w:rFonts w:ascii="Titillium" w:hAnsi="Titillium"/>
          <w:sz w:val="22"/>
          <w:szCs w:val="22"/>
        </w:rPr>
        <w:t xml:space="preserve">worked.      </w:t>
      </w:r>
    </w:p>
    <w:p w14:paraId="723AA145" w14:textId="2260DB07" w:rsidR="00C74F4D" w:rsidRDefault="00C74F4D" w:rsidP="00E65847">
      <w:pPr>
        <w:jc w:val="both"/>
        <w:rPr>
          <w:rFonts w:ascii="Titillium" w:hAnsi="Titillium"/>
          <w:b/>
          <w:color w:val="E36C0A"/>
        </w:rPr>
      </w:pPr>
    </w:p>
    <w:p w14:paraId="7A112F63" w14:textId="77777777" w:rsidR="00417EBB" w:rsidRDefault="00417EBB" w:rsidP="00E65847">
      <w:pPr>
        <w:jc w:val="both"/>
        <w:rPr>
          <w:rFonts w:ascii="Titillium" w:hAnsi="Titillium"/>
          <w:b/>
          <w:color w:val="E36C0A"/>
        </w:rPr>
      </w:pPr>
    </w:p>
    <w:p w14:paraId="0CDEC0B4" w14:textId="5421B6AB" w:rsidR="00B13594" w:rsidRDefault="00B13594" w:rsidP="00E65847">
      <w:pPr>
        <w:jc w:val="both"/>
        <w:rPr>
          <w:rFonts w:ascii="Titillium" w:hAnsi="Titillium"/>
          <w:b/>
          <w:color w:val="E36C0A"/>
        </w:rPr>
      </w:pPr>
      <w:r>
        <w:rPr>
          <w:rFonts w:ascii="Titillium" w:hAnsi="Titillium"/>
          <w:b/>
          <w:color w:val="E36C0A"/>
        </w:rPr>
        <w:t>Claiming for Hours Worked and Authorisation Process</w:t>
      </w:r>
    </w:p>
    <w:p w14:paraId="5BE7A26B" w14:textId="58240C82" w:rsidR="00B13594" w:rsidRDefault="00B13594" w:rsidP="00E65847">
      <w:pPr>
        <w:jc w:val="both"/>
        <w:rPr>
          <w:rFonts w:ascii="Titillium" w:hAnsi="Titillium"/>
          <w:b/>
          <w:color w:val="E36C0A"/>
        </w:rPr>
      </w:pPr>
    </w:p>
    <w:p w14:paraId="4B5B39EF" w14:textId="313D32F2" w:rsidR="004E6781" w:rsidRDefault="00613765" w:rsidP="004E6781">
      <w:pPr>
        <w:jc w:val="both"/>
        <w:rPr>
          <w:rFonts w:ascii="Titillium" w:hAnsi="Titillium"/>
          <w:sz w:val="22"/>
          <w:szCs w:val="22"/>
        </w:rPr>
      </w:pPr>
      <w:r>
        <w:rPr>
          <w:rFonts w:ascii="Titillium" w:hAnsi="Titillium"/>
          <w:sz w:val="22"/>
          <w:szCs w:val="22"/>
        </w:rPr>
        <w:t xml:space="preserve">In order to start a claim, students will need to log </w:t>
      </w:r>
      <w:r w:rsidR="00551AAB">
        <w:rPr>
          <w:rFonts w:ascii="Titillium" w:hAnsi="Titillium"/>
          <w:sz w:val="22"/>
          <w:szCs w:val="22"/>
        </w:rPr>
        <w:t>o</w:t>
      </w:r>
      <w:r>
        <w:rPr>
          <w:rFonts w:ascii="Titillium" w:hAnsi="Titillium"/>
          <w:sz w:val="22"/>
          <w:szCs w:val="22"/>
        </w:rPr>
        <w:t>nto HR Connect Self Service via Quicklinks on the staff Intranet.   The claim deadline is always the 10</w:t>
      </w:r>
      <w:r w:rsidRPr="00613765">
        <w:rPr>
          <w:rFonts w:ascii="Titillium" w:hAnsi="Titillium"/>
          <w:sz w:val="22"/>
          <w:szCs w:val="22"/>
          <w:vertAlign w:val="superscript"/>
        </w:rPr>
        <w:t>th</w:t>
      </w:r>
      <w:r>
        <w:rPr>
          <w:rFonts w:ascii="Titillium" w:hAnsi="Titillium"/>
          <w:sz w:val="22"/>
          <w:szCs w:val="22"/>
        </w:rPr>
        <w:t xml:space="preserve"> of the month (except in December).   Students need to submit their claim for hours worked prior to this date, ensuring that their Director of Studies has adequate time to check and approve the hours worked.   </w:t>
      </w:r>
    </w:p>
    <w:p w14:paraId="4C1CB937" w14:textId="0A53C335" w:rsidR="00613765" w:rsidRDefault="00613765" w:rsidP="004E6781">
      <w:pPr>
        <w:jc w:val="both"/>
        <w:rPr>
          <w:rFonts w:ascii="Titillium" w:hAnsi="Titillium"/>
          <w:sz w:val="22"/>
          <w:szCs w:val="22"/>
        </w:rPr>
      </w:pPr>
    </w:p>
    <w:p w14:paraId="15F20849" w14:textId="77777777" w:rsidR="00613765" w:rsidRDefault="00613765" w:rsidP="00613765">
      <w:pPr>
        <w:jc w:val="both"/>
        <w:rPr>
          <w:rFonts w:ascii="Titillium" w:hAnsi="Titillium"/>
          <w:sz w:val="22"/>
          <w:szCs w:val="22"/>
        </w:rPr>
      </w:pPr>
      <w:r>
        <w:rPr>
          <w:rFonts w:ascii="Titillium" w:hAnsi="Titillium"/>
          <w:sz w:val="22"/>
          <w:szCs w:val="22"/>
        </w:rPr>
        <w:t xml:space="preserve">User guides are available for submitting and authorising online payment claims through HR Connect at </w:t>
      </w:r>
    </w:p>
    <w:p w14:paraId="0134A361" w14:textId="77777777" w:rsidR="00613765" w:rsidRDefault="007F4D72" w:rsidP="00613765">
      <w:pPr>
        <w:jc w:val="both"/>
        <w:rPr>
          <w:rFonts w:ascii="Titillium" w:hAnsi="Titillium"/>
          <w:sz w:val="22"/>
          <w:szCs w:val="22"/>
        </w:rPr>
      </w:pPr>
      <w:hyperlink r:id="rId8" w:history="1">
        <w:r w:rsidR="00613765" w:rsidRPr="0071430F">
          <w:rPr>
            <w:rStyle w:val="Hyperlink"/>
            <w:rFonts w:ascii="Titillium" w:hAnsi="Titillium"/>
            <w:sz w:val="22"/>
            <w:szCs w:val="22"/>
          </w:rPr>
          <w:t>https://staff.napier.ac.uk/services/hr/HRDocuments/Pages/Forms.aspx</w:t>
        </w:r>
      </w:hyperlink>
      <w:r w:rsidR="00613765">
        <w:rPr>
          <w:rFonts w:ascii="Titillium" w:hAnsi="Titillium"/>
          <w:sz w:val="22"/>
          <w:szCs w:val="22"/>
        </w:rPr>
        <w:t xml:space="preserve"> under Payroll forms named ‘online payment claim self-service guide’ and ‘online payment claim managers guide’. </w:t>
      </w:r>
    </w:p>
    <w:p w14:paraId="72FE70D3" w14:textId="77777777" w:rsidR="00613765" w:rsidRDefault="00613765" w:rsidP="004E6781">
      <w:pPr>
        <w:jc w:val="both"/>
        <w:rPr>
          <w:rFonts w:ascii="Titillium" w:hAnsi="Titillium"/>
          <w:sz w:val="22"/>
          <w:szCs w:val="22"/>
        </w:rPr>
      </w:pPr>
    </w:p>
    <w:p w14:paraId="0BF9AE5F" w14:textId="77777777" w:rsidR="00B13594" w:rsidRDefault="00B13594" w:rsidP="00E65847">
      <w:pPr>
        <w:jc w:val="both"/>
        <w:rPr>
          <w:rFonts w:ascii="Titillium" w:hAnsi="Titillium"/>
          <w:b/>
          <w:color w:val="E36C0A"/>
        </w:rPr>
      </w:pPr>
    </w:p>
    <w:p w14:paraId="3744705E" w14:textId="660E87C2" w:rsidR="00417EBB" w:rsidRPr="00E65847" w:rsidRDefault="00417EBB" w:rsidP="00E65847">
      <w:pPr>
        <w:jc w:val="both"/>
        <w:rPr>
          <w:rFonts w:ascii="Titillium" w:hAnsi="Titillium"/>
          <w:b/>
          <w:color w:val="E36C0A"/>
        </w:rPr>
      </w:pPr>
      <w:r>
        <w:rPr>
          <w:rFonts w:ascii="Titillium" w:hAnsi="Titillium"/>
          <w:b/>
          <w:color w:val="E36C0A"/>
        </w:rPr>
        <w:t xml:space="preserve">Monitoring and Management Information </w:t>
      </w:r>
    </w:p>
    <w:p w14:paraId="49E54715" w14:textId="60A1EB3F" w:rsidR="003F65FF" w:rsidRDefault="003F65FF" w:rsidP="00E465C1">
      <w:pPr>
        <w:jc w:val="both"/>
        <w:rPr>
          <w:rFonts w:ascii="Titillium" w:hAnsi="Titillium"/>
          <w:sz w:val="22"/>
          <w:szCs w:val="22"/>
        </w:rPr>
      </w:pPr>
    </w:p>
    <w:p w14:paraId="6C5DC021" w14:textId="463EBA70" w:rsidR="002F5B7F" w:rsidRDefault="002F5B7F" w:rsidP="00E465C1">
      <w:pPr>
        <w:jc w:val="both"/>
        <w:rPr>
          <w:rFonts w:ascii="Titillium" w:hAnsi="Titillium"/>
          <w:sz w:val="22"/>
          <w:szCs w:val="22"/>
        </w:rPr>
      </w:pPr>
      <w:r>
        <w:rPr>
          <w:rFonts w:ascii="Titillium" w:hAnsi="Titillium"/>
          <w:sz w:val="22"/>
          <w:szCs w:val="22"/>
        </w:rPr>
        <w:t>The Director of Studies and School Research Degrees Lead</w:t>
      </w:r>
      <w:r w:rsidR="0094549E">
        <w:rPr>
          <w:rFonts w:ascii="Titillium" w:hAnsi="Titillium"/>
          <w:sz w:val="22"/>
          <w:szCs w:val="22"/>
        </w:rPr>
        <w:t>er</w:t>
      </w:r>
      <w:r>
        <w:rPr>
          <w:rFonts w:ascii="Titillium" w:hAnsi="Titillium"/>
          <w:sz w:val="22"/>
          <w:szCs w:val="22"/>
        </w:rPr>
        <w:t xml:space="preserve"> should actively monitor hours worked in line with </w:t>
      </w:r>
      <w:r w:rsidR="00551AAB">
        <w:rPr>
          <w:rFonts w:ascii="Titillium" w:hAnsi="Titillium"/>
          <w:sz w:val="22"/>
          <w:szCs w:val="22"/>
        </w:rPr>
        <w:t>RDF guidelines</w:t>
      </w:r>
      <w:r>
        <w:rPr>
          <w:rFonts w:ascii="Titillium" w:hAnsi="Titillium"/>
          <w:sz w:val="22"/>
          <w:szCs w:val="22"/>
        </w:rPr>
        <w:t xml:space="preserve">.       </w:t>
      </w:r>
    </w:p>
    <w:p w14:paraId="07FA01FC" w14:textId="77777777" w:rsidR="002F5B7F" w:rsidRDefault="002F5B7F" w:rsidP="00E465C1">
      <w:pPr>
        <w:jc w:val="both"/>
        <w:rPr>
          <w:rFonts w:ascii="Titillium" w:hAnsi="Titillium"/>
          <w:sz w:val="22"/>
          <w:szCs w:val="22"/>
        </w:rPr>
      </w:pPr>
    </w:p>
    <w:p w14:paraId="62D63F85" w14:textId="2F6E18B7" w:rsidR="00AB2B82" w:rsidRDefault="002F5B7F" w:rsidP="00E465C1">
      <w:pPr>
        <w:jc w:val="both"/>
        <w:rPr>
          <w:rFonts w:ascii="Titillium" w:hAnsi="Titillium"/>
          <w:sz w:val="22"/>
          <w:szCs w:val="22"/>
        </w:rPr>
      </w:pPr>
      <w:r>
        <w:rPr>
          <w:rFonts w:ascii="Titillium" w:hAnsi="Titillium"/>
          <w:sz w:val="22"/>
          <w:szCs w:val="22"/>
        </w:rPr>
        <w:t xml:space="preserve">The Director of Studies will be able to view all historical and current claims for their </w:t>
      </w:r>
      <w:r w:rsidR="0094549E">
        <w:rPr>
          <w:rFonts w:ascii="Titillium" w:hAnsi="Titillium"/>
          <w:sz w:val="22"/>
          <w:szCs w:val="22"/>
        </w:rPr>
        <w:t>students</w:t>
      </w:r>
      <w:r>
        <w:rPr>
          <w:rFonts w:ascii="Titillium" w:hAnsi="Titillium"/>
          <w:sz w:val="22"/>
          <w:szCs w:val="22"/>
        </w:rPr>
        <w:t xml:space="preserve"> through HR Connect People Manager.   </w:t>
      </w:r>
    </w:p>
    <w:p w14:paraId="38E2A1B2" w14:textId="38DB1D00" w:rsidR="002F5B7F" w:rsidRDefault="002F5B7F" w:rsidP="00E465C1">
      <w:pPr>
        <w:jc w:val="both"/>
        <w:rPr>
          <w:rFonts w:ascii="Titillium" w:hAnsi="Titillium"/>
          <w:sz w:val="22"/>
          <w:szCs w:val="22"/>
        </w:rPr>
      </w:pPr>
    </w:p>
    <w:p w14:paraId="48F4678F" w14:textId="78DD2925" w:rsidR="002F5B7F" w:rsidRDefault="002F5B7F" w:rsidP="00E465C1">
      <w:pPr>
        <w:jc w:val="both"/>
        <w:rPr>
          <w:rFonts w:ascii="Titillium" w:hAnsi="Titillium"/>
          <w:sz w:val="22"/>
          <w:szCs w:val="22"/>
        </w:rPr>
      </w:pPr>
      <w:r>
        <w:rPr>
          <w:rFonts w:ascii="Titillium" w:hAnsi="Titillium"/>
          <w:sz w:val="22"/>
          <w:szCs w:val="22"/>
        </w:rPr>
        <w:t>The Dean of School will be provided with an audit report on a monthly basis which they are required to approve in order for payments to be made to the students.</w:t>
      </w:r>
    </w:p>
    <w:p w14:paraId="57806674" w14:textId="5888E9CD" w:rsidR="002F5B7F" w:rsidRDefault="002F5B7F" w:rsidP="00E465C1">
      <w:pPr>
        <w:jc w:val="both"/>
        <w:rPr>
          <w:rFonts w:ascii="Titillium" w:hAnsi="Titillium"/>
          <w:sz w:val="22"/>
          <w:szCs w:val="22"/>
        </w:rPr>
      </w:pPr>
    </w:p>
    <w:p w14:paraId="45503198" w14:textId="1E77A1B8" w:rsidR="007D7B07" w:rsidRPr="00AB2B82" w:rsidRDefault="002F5B7F" w:rsidP="00613765">
      <w:pPr>
        <w:jc w:val="both"/>
        <w:rPr>
          <w:rFonts w:ascii="&amp;quot" w:hAnsi="&amp;quot" w:cs="Times New Roman"/>
          <w:color w:val="414042"/>
          <w:sz w:val="19"/>
          <w:szCs w:val="19"/>
          <w:lang w:eastAsia="en-GB"/>
        </w:rPr>
      </w:pPr>
      <w:r>
        <w:rPr>
          <w:rFonts w:ascii="Titillium" w:hAnsi="Titillium"/>
          <w:sz w:val="22"/>
          <w:szCs w:val="22"/>
        </w:rPr>
        <w:t>RIO and the School Research Degrees Lead</w:t>
      </w:r>
      <w:r w:rsidR="0094549E">
        <w:rPr>
          <w:rFonts w:ascii="Titillium" w:hAnsi="Titillium"/>
          <w:sz w:val="22"/>
          <w:szCs w:val="22"/>
        </w:rPr>
        <w:t>er</w:t>
      </w:r>
      <w:r>
        <w:rPr>
          <w:rFonts w:ascii="Titillium" w:hAnsi="Titillium"/>
          <w:sz w:val="22"/>
          <w:szCs w:val="22"/>
        </w:rPr>
        <w:t xml:space="preserve"> will be provided with management information on a quarterly</w:t>
      </w:r>
      <w:r w:rsidR="0094549E">
        <w:rPr>
          <w:rFonts w:ascii="Titillium" w:hAnsi="Titillium"/>
          <w:sz w:val="22"/>
          <w:szCs w:val="22"/>
        </w:rPr>
        <w:t xml:space="preserve"> basis</w:t>
      </w:r>
      <w:r>
        <w:rPr>
          <w:rFonts w:ascii="Titillium" w:hAnsi="Titillium"/>
          <w:sz w:val="22"/>
          <w:szCs w:val="22"/>
        </w:rPr>
        <w:t xml:space="preserve"> which outlines all the activity undertaken by students across the Schools/University. </w:t>
      </w:r>
    </w:p>
    <w:sectPr w:rsidR="007D7B07" w:rsidRPr="00AB2B82" w:rsidSect="006F1B3E">
      <w:headerReference w:type="even" r:id="rId9"/>
      <w:headerReference w:type="default" r:id="rId10"/>
      <w:footerReference w:type="default" r:id="rId11"/>
      <w:headerReference w:type="first" r:id="rId12"/>
      <w:pgSz w:w="11900" w:h="16820"/>
      <w:pgMar w:top="3119" w:right="1134" w:bottom="851" w:left="1134" w:header="1247" w:footer="851"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9A84" w14:textId="77777777" w:rsidR="00221A5D" w:rsidRDefault="00221A5D">
      <w:r>
        <w:separator/>
      </w:r>
    </w:p>
  </w:endnote>
  <w:endnote w:type="continuationSeparator" w:id="0">
    <w:p w14:paraId="31CE886E" w14:textId="77777777" w:rsidR="00221A5D" w:rsidRDefault="0022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Titillium-Semibold">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88143"/>
      <w:docPartObj>
        <w:docPartGallery w:val="Page Numbers (Bottom of Page)"/>
        <w:docPartUnique/>
      </w:docPartObj>
    </w:sdtPr>
    <w:sdtEndPr>
      <w:rPr>
        <w:rFonts w:ascii="Titillium" w:hAnsi="Titillium"/>
        <w:noProof/>
        <w:sz w:val="22"/>
        <w:szCs w:val="22"/>
      </w:rPr>
    </w:sdtEndPr>
    <w:sdtContent>
      <w:p w14:paraId="2ACD3811" w14:textId="09F7FEAC" w:rsidR="005C5AFF" w:rsidRPr="001154AF" w:rsidRDefault="005C5AFF" w:rsidP="001154AF">
        <w:pPr>
          <w:pStyle w:val="Footer"/>
          <w:jc w:val="center"/>
          <w:rPr>
            <w:rFonts w:ascii="Titillium" w:hAnsi="Titillium"/>
            <w:sz w:val="22"/>
            <w:szCs w:val="22"/>
          </w:rPr>
        </w:pPr>
        <w:r w:rsidRPr="001154AF">
          <w:rPr>
            <w:rFonts w:ascii="Titillium" w:hAnsi="Titillium"/>
            <w:sz w:val="22"/>
            <w:szCs w:val="22"/>
          </w:rPr>
          <w:fldChar w:fldCharType="begin"/>
        </w:r>
        <w:r w:rsidRPr="001154AF">
          <w:rPr>
            <w:rFonts w:ascii="Titillium" w:hAnsi="Titillium"/>
            <w:sz w:val="22"/>
            <w:szCs w:val="22"/>
          </w:rPr>
          <w:instrText xml:space="preserve"> PAGE   \* MERGEFORMAT </w:instrText>
        </w:r>
        <w:r w:rsidRPr="001154AF">
          <w:rPr>
            <w:rFonts w:ascii="Titillium" w:hAnsi="Titillium"/>
            <w:sz w:val="22"/>
            <w:szCs w:val="22"/>
          </w:rPr>
          <w:fldChar w:fldCharType="separate"/>
        </w:r>
        <w:r w:rsidR="007F4D72">
          <w:rPr>
            <w:rFonts w:ascii="Titillium" w:hAnsi="Titillium"/>
            <w:noProof/>
            <w:sz w:val="22"/>
            <w:szCs w:val="22"/>
          </w:rPr>
          <w:t>6</w:t>
        </w:r>
        <w:r w:rsidRPr="001154AF">
          <w:rPr>
            <w:rFonts w:ascii="Titillium" w:hAnsi="Titillium"/>
            <w:noProof/>
            <w:sz w:val="22"/>
            <w:szCs w:val="22"/>
          </w:rPr>
          <w:fldChar w:fldCharType="end"/>
        </w:r>
      </w:p>
    </w:sdtContent>
  </w:sdt>
  <w:p w14:paraId="0DA4B27E" w14:textId="77777777" w:rsidR="005C5AFF" w:rsidRPr="004B6014" w:rsidRDefault="005C5AFF" w:rsidP="009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A36D" w14:textId="77777777" w:rsidR="00221A5D" w:rsidRDefault="00221A5D">
      <w:r>
        <w:separator/>
      </w:r>
    </w:p>
  </w:footnote>
  <w:footnote w:type="continuationSeparator" w:id="0">
    <w:p w14:paraId="6A8727C9" w14:textId="77777777" w:rsidR="00221A5D" w:rsidRDefault="0022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76ED" w14:textId="77777777" w:rsidR="005C5AFF" w:rsidRDefault="007F4D72">
    <w:pPr>
      <w:pStyle w:val="Header"/>
    </w:pPr>
    <w:sdt>
      <w:sdtPr>
        <w:id w:val="-2134159414"/>
        <w:temporary/>
        <w:showingPlcHdr/>
      </w:sdtPr>
      <w:sdtEndPr/>
      <w:sdtContent>
        <w:r w:rsidR="005C5AFF">
          <w:t>[Type text]</w:t>
        </w:r>
      </w:sdtContent>
    </w:sdt>
    <w:r w:rsidR="005C5AFF">
      <w:ptab w:relativeTo="margin" w:alignment="center" w:leader="none"/>
    </w:r>
    <w:sdt>
      <w:sdtPr>
        <w:id w:val="1589972152"/>
        <w:temporary/>
        <w:showingPlcHdr/>
      </w:sdtPr>
      <w:sdtEndPr/>
      <w:sdtContent>
        <w:r w:rsidR="005C5AFF">
          <w:t>[Type text]</w:t>
        </w:r>
      </w:sdtContent>
    </w:sdt>
    <w:r w:rsidR="005C5AFF">
      <w:ptab w:relativeTo="margin" w:alignment="right" w:leader="none"/>
    </w:r>
    <w:sdt>
      <w:sdtPr>
        <w:id w:val="1270279319"/>
        <w:temporary/>
        <w:showingPlcHdr/>
      </w:sdtPr>
      <w:sdtEndPr/>
      <w:sdtContent>
        <w:r w:rsidR="005C5AFF">
          <w:t>[Type text]</w:t>
        </w:r>
      </w:sdtContent>
    </w:sdt>
  </w:p>
  <w:p w14:paraId="66F43424" w14:textId="77777777" w:rsidR="005C5AFF" w:rsidRDefault="005C5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C7AF" w14:textId="77777777" w:rsidR="005C5AFF" w:rsidRPr="00640328" w:rsidRDefault="005C5AFF" w:rsidP="009F2A5A">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4EDF7C7E" wp14:editId="6EB7D64C">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7955232" w14:textId="77777777" w:rsidR="005C5AFF" w:rsidRDefault="005C5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B97" w14:textId="77777777" w:rsidR="005C5AFF" w:rsidRDefault="005C5AFF">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1DA50A5D" wp14:editId="5F8B42DD">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01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3AB63B2"/>
    <w:multiLevelType w:val="hybridMultilevel"/>
    <w:tmpl w:val="E09428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615E"/>
    <w:multiLevelType w:val="hybridMultilevel"/>
    <w:tmpl w:val="5F7EF9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767"/>
    <w:multiLevelType w:val="hybridMultilevel"/>
    <w:tmpl w:val="75B04C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C92"/>
    <w:multiLevelType w:val="hybridMultilevel"/>
    <w:tmpl w:val="2F6E0A9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41"/>
    <w:multiLevelType w:val="hybridMultilevel"/>
    <w:tmpl w:val="6F0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93846"/>
    <w:multiLevelType w:val="hybridMultilevel"/>
    <w:tmpl w:val="24F659E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76BCE"/>
    <w:multiLevelType w:val="hybridMultilevel"/>
    <w:tmpl w:val="EDCAE0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D67"/>
    <w:multiLevelType w:val="hybridMultilevel"/>
    <w:tmpl w:val="76DAFDA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BC"/>
    <w:multiLevelType w:val="hybridMultilevel"/>
    <w:tmpl w:val="9E98B8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8FA45AE"/>
    <w:multiLevelType w:val="hybridMultilevel"/>
    <w:tmpl w:val="AAD2A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BE1D11"/>
    <w:multiLevelType w:val="hybridMultilevel"/>
    <w:tmpl w:val="AE6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A73EC"/>
    <w:multiLevelType w:val="hybridMultilevel"/>
    <w:tmpl w:val="082A736A"/>
    <w:lvl w:ilvl="0" w:tplc="31363C20">
      <w:start w:val="1"/>
      <w:numFmt w:val="bullet"/>
      <w:lvlText w:val=""/>
      <w:lvlPicBulletId w:val="0"/>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6C43D63"/>
    <w:multiLevelType w:val="hybridMultilevel"/>
    <w:tmpl w:val="94FC26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477B"/>
    <w:multiLevelType w:val="hybridMultilevel"/>
    <w:tmpl w:val="DA184B9E"/>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9D43004"/>
    <w:multiLevelType w:val="hybridMultilevel"/>
    <w:tmpl w:val="6BF64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34612"/>
    <w:multiLevelType w:val="hybridMultilevel"/>
    <w:tmpl w:val="AD8C5C8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B6FE7"/>
    <w:multiLevelType w:val="hybridMultilevel"/>
    <w:tmpl w:val="6D3C1A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140E8"/>
    <w:multiLevelType w:val="multilevel"/>
    <w:tmpl w:val="7CDA44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934962"/>
    <w:multiLevelType w:val="hybridMultilevel"/>
    <w:tmpl w:val="FEBAB82A"/>
    <w:lvl w:ilvl="0" w:tplc="31363C20">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53733633"/>
    <w:multiLevelType w:val="multilevel"/>
    <w:tmpl w:val="0E9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51D79"/>
    <w:multiLevelType w:val="hybridMultilevel"/>
    <w:tmpl w:val="DCAAEFCC"/>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337545"/>
    <w:multiLevelType w:val="hybridMultilevel"/>
    <w:tmpl w:val="484AB9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16B34"/>
    <w:multiLevelType w:val="hybridMultilevel"/>
    <w:tmpl w:val="F5E2A9F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B2B0C"/>
    <w:multiLevelType w:val="hybridMultilevel"/>
    <w:tmpl w:val="34D89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52724"/>
    <w:multiLevelType w:val="hybridMultilevel"/>
    <w:tmpl w:val="79B8E38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951E5"/>
    <w:multiLevelType w:val="hybridMultilevel"/>
    <w:tmpl w:val="18F26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C3489"/>
    <w:multiLevelType w:val="hybridMultilevel"/>
    <w:tmpl w:val="33F49B44"/>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0" w15:restartNumberingAfterBreak="0">
    <w:nsid w:val="6D104404"/>
    <w:multiLevelType w:val="hybridMultilevel"/>
    <w:tmpl w:val="07F4552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86F08"/>
    <w:multiLevelType w:val="hybridMultilevel"/>
    <w:tmpl w:val="A33CBE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D1AA5"/>
    <w:multiLevelType w:val="hybridMultilevel"/>
    <w:tmpl w:val="A60C98D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0273A"/>
    <w:multiLevelType w:val="multilevel"/>
    <w:tmpl w:val="4C9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00140C"/>
    <w:multiLevelType w:val="hybridMultilevel"/>
    <w:tmpl w:val="827C33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D5316"/>
    <w:multiLevelType w:val="hybridMultilevel"/>
    <w:tmpl w:val="7C7639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0"/>
  </w:num>
  <w:num w:numId="4">
    <w:abstractNumId w:val="22"/>
  </w:num>
  <w:num w:numId="5">
    <w:abstractNumId w:val="33"/>
  </w:num>
  <w:num w:numId="6">
    <w:abstractNumId w:val="5"/>
  </w:num>
  <w:num w:numId="7">
    <w:abstractNumId w:val="26"/>
  </w:num>
  <w:num w:numId="8">
    <w:abstractNumId w:val="31"/>
  </w:num>
  <w:num w:numId="9">
    <w:abstractNumId w:val="1"/>
  </w:num>
  <w:num w:numId="10">
    <w:abstractNumId w:val="10"/>
  </w:num>
  <w:num w:numId="11">
    <w:abstractNumId w:val="29"/>
  </w:num>
  <w:num w:numId="12">
    <w:abstractNumId w:val="21"/>
  </w:num>
  <w:num w:numId="13">
    <w:abstractNumId w:val="4"/>
  </w:num>
  <w:num w:numId="14">
    <w:abstractNumId w:val="16"/>
  </w:num>
  <w:num w:numId="15">
    <w:abstractNumId w:val="19"/>
  </w:num>
  <w:num w:numId="16">
    <w:abstractNumId w:val="14"/>
  </w:num>
  <w:num w:numId="17">
    <w:abstractNumId w:val="28"/>
  </w:num>
  <w:num w:numId="18">
    <w:abstractNumId w:val="20"/>
  </w:num>
  <w:num w:numId="19">
    <w:abstractNumId w:val="9"/>
  </w:num>
  <w:num w:numId="20">
    <w:abstractNumId w:val="7"/>
  </w:num>
  <w:num w:numId="21">
    <w:abstractNumId w:val="18"/>
  </w:num>
  <w:num w:numId="22">
    <w:abstractNumId w:val="35"/>
  </w:num>
  <w:num w:numId="23">
    <w:abstractNumId w:val="25"/>
  </w:num>
  <w:num w:numId="24">
    <w:abstractNumId w:val="6"/>
  </w:num>
  <w:num w:numId="25">
    <w:abstractNumId w:val="12"/>
  </w:num>
  <w:num w:numId="26">
    <w:abstractNumId w:val="11"/>
  </w:num>
  <w:num w:numId="27">
    <w:abstractNumId w:val="3"/>
  </w:num>
  <w:num w:numId="28">
    <w:abstractNumId w:val="13"/>
  </w:num>
  <w:num w:numId="29">
    <w:abstractNumId w:val="24"/>
  </w:num>
  <w:num w:numId="30">
    <w:abstractNumId w:val="15"/>
  </w:num>
  <w:num w:numId="31">
    <w:abstractNumId w:val="2"/>
  </w:num>
  <w:num w:numId="32">
    <w:abstractNumId w:val="17"/>
  </w:num>
  <w:num w:numId="33">
    <w:abstractNumId w:val="34"/>
  </w:num>
  <w:num w:numId="34">
    <w:abstractNumId w:val="0"/>
  </w:num>
  <w:num w:numId="35">
    <w:abstractNumId w:val="32"/>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6E"/>
    <w:rsid w:val="00004910"/>
    <w:rsid w:val="00012284"/>
    <w:rsid w:val="00013533"/>
    <w:rsid w:val="00015AA8"/>
    <w:rsid w:val="00026EB7"/>
    <w:rsid w:val="00030958"/>
    <w:rsid w:val="00054044"/>
    <w:rsid w:val="00060F87"/>
    <w:rsid w:val="00063A3A"/>
    <w:rsid w:val="000653B8"/>
    <w:rsid w:val="00065AC9"/>
    <w:rsid w:val="00067833"/>
    <w:rsid w:val="00067EC9"/>
    <w:rsid w:val="000712C9"/>
    <w:rsid w:val="0007544C"/>
    <w:rsid w:val="000757EE"/>
    <w:rsid w:val="00082310"/>
    <w:rsid w:val="0008684C"/>
    <w:rsid w:val="00093374"/>
    <w:rsid w:val="00095A45"/>
    <w:rsid w:val="0009718C"/>
    <w:rsid w:val="000974C1"/>
    <w:rsid w:val="000A08CC"/>
    <w:rsid w:val="000A23C3"/>
    <w:rsid w:val="000B2FDE"/>
    <w:rsid w:val="000B5B84"/>
    <w:rsid w:val="000B7F1F"/>
    <w:rsid w:val="000C17C1"/>
    <w:rsid w:val="000C3CD2"/>
    <w:rsid w:val="000C4042"/>
    <w:rsid w:val="000E3F90"/>
    <w:rsid w:val="000F636D"/>
    <w:rsid w:val="001010BB"/>
    <w:rsid w:val="00105C63"/>
    <w:rsid w:val="00115287"/>
    <w:rsid w:val="001154AF"/>
    <w:rsid w:val="00115F3A"/>
    <w:rsid w:val="0011787D"/>
    <w:rsid w:val="00124A0F"/>
    <w:rsid w:val="001260D8"/>
    <w:rsid w:val="00157079"/>
    <w:rsid w:val="00165850"/>
    <w:rsid w:val="00167068"/>
    <w:rsid w:val="00167807"/>
    <w:rsid w:val="00182739"/>
    <w:rsid w:val="001973D6"/>
    <w:rsid w:val="001A3C41"/>
    <w:rsid w:val="001B1ABC"/>
    <w:rsid w:val="001B4526"/>
    <w:rsid w:val="001C20AD"/>
    <w:rsid w:val="001C65B7"/>
    <w:rsid w:val="001D6B56"/>
    <w:rsid w:val="001E261C"/>
    <w:rsid w:val="001F12F4"/>
    <w:rsid w:val="0020131C"/>
    <w:rsid w:val="00204AF9"/>
    <w:rsid w:val="00204C9F"/>
    <w:rsid w:val="002155CA"/>
    <w:rsid w:val="00221A5D"/>
    <w:rsid w:val="00231E22"/>
    <w:rsid w:val="00233AC2"/>
    <w:rsid w:val="00245A5C"/>
    <w:rsid w:val="00253540"/>
    <w:rsid w:val="00261191"/>
    <w:rsid w:val="002776AA"/>
    <w:rsid w:val="002807B1"/>
    <w:rsid w:val="0028432B"/>
    <w:rsid w:val="00294576"/>
    <w:rsid w:val="002A6D39"/>
    <w:rsid w:val="002B087F"/>
    <w:rsid w:val="002C4166"/>
    <w:rsid w:val="002D7B84"/>
    <w:rsid w:val="002E133B"/>
    <w:rsid w:val="002F5B7F"/>
    <w:rsid w:val="00302DB7"/>
    <w:rsid w:val="00313303"/>
    <w:rsid w:val="00316EE4"/>
    <w:rsid w:val="0032350B"/>
    <w:rsid w:val="00327375"/>
    <w:rsid w:val="003434C3"/>
    <w:rsid w:val="0036300F"/>
    <w:rsid w:val="00364CEF"/>
    <w:rsid w:val="00371115"/>
    <w:rsid w:val="003A1C96"/>
    <w:rsid w:val="003B1C90"/>
    <w:rsid w:val="003B5D6A"/>
    <w:rsid w:val="003B62E9"/>
    <w:rsid w:val="003C01F3"/>
    <w:rsid w:val="003C04AE"/>
    <w:rsid w:val="003C0B26"/>
    <w:rsid w:val="003C147F"/>
    <w:rsid w:val="003C327B"/>
    <w:rsid w:val="003D2FFA"/>
    <w:rsid w:val="003E5801"/>
    <w:rsid w:val="003E6EC7"/>
    <w:rsid w:val="003F1142"/>
    <w:rsid w:val="003F1919"/>
    <w:rsid w:val="003F31F4"/>
    <w:rsid w:val="003F65FF"/>
    <w:rsid w:val="00403EB1"/>
    <w:rsid w:val="00414B30"/>
    <w:rsid w:val="00415286"/>
    <w:rsid w:val="00417EBB"/>
    <w:rsid w:val="004213C7"/>
    <w:rsid w:val="004220ED"/>
    <w:rsid w:val="00426717"/>
    <w:rsid w:val="00436021"/>
    <w:rsid w:val="00451C53"/>
    <w:rsid w:val="004552C2"/>
    <w:rsid w:val="004666EC"/>
    <w:rsid w:val="00470B1B"/>
    <w:rsid w:val="0047564E"/>
    <w:rsid w:val="00480CCC"/>
    <w:rsid w:val="0048148A"/>
    <w:rsid w:val="004829F8"/>
    <w:rsid w:val="0049687A"/>
    <w:rsid w:val="004A1C1B"/>
    <w:rsid w:val="004A7F2F"/>
    <w:rsid w:val="004C3769"/>
    <w:rsid w:val="004D2A21"/>
    <w:rsid w:val="004E30B9"/>
    <w:rsid w:val="004E6781"/>
    <w:rsid w:val="00512838"/>
    <w:rsid w:val="005153D8"/>
    <w:rsid w:val="005154F1"/>
    <w:rsid w:val="00521A84"/>
    <w:rsid w:val="00521D9F"/>
    <w:rsid w:val="00521F9D"/>
    <w:rsid w:val="005233A4"/>
    <w:rsid w:val="005308AD"/>
    <w:rsid w:val="005406CB"/>
    <w:rsid w:val="00544364"/>
    <w:rsid w:val="00551AAB"/>
    <w:rsid w:val="00567D39"/>
    <w:rsid w:val="00574F27"/>
    <w:rsid w:val="005765DC"/>
    <w:rsid w:val="005914D8"/>
    <w:rsid w:val="0059242E"/>
    <w:rsid w:val="00597616"/>
    <w:rsid w:val="005A54D1"/>
    <w:rsid w:val="005B379E"/>
    <w:rsid w:val="005B5211"/>
    <w:rsid w:val="005B6E86"/>
    <w:rsid w:val="005B7502"/>
    <w:rsid w:val="005C5AFF"/>
    <w:rsid w:val="005C7507"/>
    <w:rsid w:val="005D52A1"/>
    <w:rsid w:val="005D667F"/>
    <w:rsid w:val="005E3A20"/>
    <w:rsid w:val="005E562C"/>
    <w:rsid w:val="005E7B10"/>
    <w:rsid w:val="005F6467"/>
    <w:rsid w:val="005F7299"/>
    <w:rsid w:val="0060388F"/>
    <w:rsid w:val="006063FF"/>
    <w:rsid w:val="00613765"/>
    <w:rsid w:val="0062292B"/>
    <w:rsid w:val="00627EBD"/>
    <w:rsid w:val="00632EC8"/>
    <w:rsid w:val="00633CE0"/>
    <w:rsid w:val="006524B3"/>
    <w:rsid w:val="006609F2"/>
    <w:rsid w:val="006711DD"/>
    <w:rsid w:val="00682D1C"/>
    <w:rsid w:val="006977E8"/>
    <w:rsid w:val="006B6FAA"/>
    <w:rsid w:val="006C0377"/>
    <w:rsid w:val="006C3CAB"/>
    <w:rsid w:val="006C7EBA"/>
    <w:rsid w:val="006E6928"/>
    <w:rsid w:val="006E7F76"/>
    <w:rsid w:val="006F1B3E"/>
    <w:rsid w:val="006F353D"/>
    <w:rsid w:val="00702001"/>
    <w:rsid w:val="0072228A"/>
    <w:rsid w:val="00741CDB"/>
    <w:rsid w:val="00744BEF"/>
    <w:rsid w:val="00750776"/>
    <w:rsid w:val="00751191"/>
    <w:rsid w:val="00771A03"/>
    <w:rsid w:val="00771C6E"/>
    <w:rsid w:val="00777CFB"/>
    <w:rsid w:val="007B5696"/>
    <w:rsid w:val="007C04ED"/>
    <w:rsid w:val="007C2663"/>
    <w:rsid w:val="007C268C"/>
    <w:rsid w:val="007C32B0"/>
    <w:rsid w:val="007D5961"/>
    <w:rsid w:val="007D7B07"/>
    <w:rsid w:val="007E0A22"/>
    <w:rsid w:val="007E3D0D"/>
    <w:rsid w:val="007E7687"/>
    <w:rsid w:val="007F4D72"/>
    <w:rsid w:val="008001AD"/>
    <w:rsid w:val="008009EC"/>
    <w:rsid w:val="00801809"/>
    <w:rsid w:val="00801C99"/>
    <w:rsid w:val="00821D76"/>
    <w:rsid w:val="00824118"/>
    <w:rsid w:val="00825A51"/>
    <w:rsid w:val="00831935"/>
    <w:rsid w:val="00832CF0"/>
    <w:rsid w:val="008434C5"/>
    <w:rsid w:val="00851C06"/>
    <w:rsid w:val="00854683"/>
    <w:rsid w:val="00860485"/>
    <w:rsid w:val="00875DE3"/>
    <w:rsid w:val="00876382"/>
    <w:rsid w:val="008764CE"/>
    <w:rsid w:val="008767D0"/>
    <w:rsid w:val="008768DB"/>
    <w:rsid w:val="00884400"/>
    <w:rsid w:val="008921A7"/>
    <w:rsid w:val="008A229F"/>
    <w:rsid w:val="008B13F2"/>
    <w:rsid w:val="008C3843"/>
    <w:rsid w:val="008D0ED2"/>
    <w:rsid w:val="008E586D"/>
    <w:rsid w:val="008E74F4"/>
    <w:rsid w:val="008F38FF"/>
    <w:rsid w:val="00903A40"/>
    <w:rsid w:val="0092572A"/>
    <w:rsid w:val="00934800"/>
    <w:rsid w:val="0094549E"/>
    <w:rsid w:val="0095095D"/>
    <w:rsid w:val="00953825"/>
    <w:rsid w:val="00972FA9"/>
    <w:rsid w:val="00973C24"/>
    <w:rsid w:val="00992852"/>
    <w:rsid w:val="009A186B"/>
    <w:rsid w:val="009A4BBE"/>
    <w:rsid w:val="009B366B"/>
    <w:rsid w:val="009C34CA"/>
    <w:rsid w:val="009C34FC"/>
    <w:rsid w:val="009C5357"/>
    <w:rsid w:val="009D7076"/>
    <w:rsid w:val="009E46AA"/>
    <w:rsid w:val="009F21EF"/>
    <w:rsid w:val="009F2A5A"/>
    <w:rsid w:val="009F3BAE"/>
    <w:rsid w:val="00A10592"/>
    <w:rsid w:val="00A130C7"/>
    <w:rsid w:val="00A14AC0"/>
    <w:rsid w:val="00A25CB5"/>
    <w:rsid w:val="00A414D2"/>
    <w:rsid w:val="00A419DA"/>
    <w:rsid w:val="00A42259"/>
    <w:rsid w:val="00A4472C"/>
    <w:rsid w:val="00A46D00"/>
    <w:rsid w:val="00A51D51"/>
    <w:rsid w:val="00A5337C"/>
    <w:rsid w:val="00A70615"/>
    <w:rsid w:val="00A71F87"/>
    <w:rsid w:val="00A866D6"/>
    <w:rsid w:val="00AA3F7B"/>
    <w:rsid w:val="00AA6BAC"/>
    <w:rsid w:val="00AB11A9"/>
    <w:rsid w:val="00AB2B82"/>
    <w:rsid w:val="00AB4AE9"/>
    <w:rsid w:val="00AD5421"/>
    <w:rsid w:val="00AE31EA"/>
    <w:rsid w:val="00AE6CF6"/>
    <w:rsid w:val="00AF3624"/>
    <w:rsid w:val="00AF58F9"/>
    <w:rsid w:val="00B05E1B"/>
    <w:rsid w:val="00B13594"/>
    <w:rsid w:val="00B13754"/>
    <w:rsid w:val="00B145F0"/>
    <w:rsid w:val="00B22FA2"/>
    <w:rsid w:val="00B2683D"/>
    <w:rsid w:val="00B3450E"/>
    <w:rsid w:val="00B41BB2"/>
    <w:rsid w:val="00B44875"/>
    <w:rsid w:val="00B66FB1"/>
    <w:rsid w:val="00B70E15"/>
    <w:rsid w:val="00B74C8D"/>
    <w:rsid w:val="00B850F1"/>
    <w:rsid w:val="00B866B6"/>
    <w:rsid w:val="00B914B9"/>
    <w:rsid w:val="00B93152"/>
    <w:rsid w:val="00B9377D"/>
    <w:rsid w:val="00BA31F1"/>
    <w:rsid w:val="00BA3735"/>
    <w:rsid w:val="00BB0F61"/>
    <w:rsid w:val="00BB4401"/>
    <w:rsid w:val="00BC249B"/>
    <w:rsid w:val="00BC325F"/>
    <w:rsid w:val="00BC36B0"/>
    <w:rsid w:val="00BD05BD"/>
    <w:rsid w:val="00BD32ED"/>
    <w:rsid w:val="00BD7403"/>
    <w:rsid w:val="00BE168E"/>
    <w:rsid w:val="00BE25F0"/>
    <w:rsid w:val="00BE4FAF"/>
    <w:rsid w:val="00BE58DF"/>
    <w:rsid w:val="00C076A1"/>
    <w:rsid w:val="00C15AE8"/>
    <w:rsid w:val="00C15EC0"/>
    <w:rsid w:val="00C25649"/>
    <w:rsid w:val="00C442C8"/>
    <w:rsid w:val="00C50885"/>
    <w:rsid w:val="00C61097"/>
    <w:rsid w:val="00C7037B"/>
    <w:rsid w:val="00C70CDD"/>
    <w:rsid w:val="00C71AD6"/>
    <w:rsid w:val="00C749C0"/>
    <w:rsid w:val="00C74F4D"/>
    <w:rsid w:val="00C8149E"/>
    <w:rsid w:val="00C816C2"/>
    <w:rsid w:val="00CA4A62"/>
    <w:rsid w:val="00CA5B7A"/>
    <w:rsid w:val="00CB6848"/>
    <w:rsid w:val="00CD5523"/>
    <w:rsid w:val="00CE5427"/>
    <w:rsid w:val="00CE63D1"/>
    <w:rsid w:val="00CF39DB"/>
    <w:rsid w:val="00CF497C"/>
    <w:rsid w:val="00D06AD0"/>
    <w:rsid w:val="00D112E7"/>
    <w:rsid w:val="00D1174F"/>
    <w:rsid w:val="00D14FFA"/>
    <w:rsid w:val="00D17C3E"/>
    <w:rsid w:val="00D21D42"/>
    <w:rsid w:val="00D25F19"/>
    <w:rsid w:val="00D270EF"/>
    <w:rsid w:val="00D3203D"/>
    <w:rsid w:val="00D3704F"/>
    <w:rsid w:val="00D41F1B"/>
    <w:rsid w:val="00D640E8"/>
    <w:rsid w:val="00D65A6E"/>
    <w:rsid w:val="00D71F44"/>
    <w:rsid w:val="00D864CE"/>
    <w:rsid w:val="00D9043E"/>
    <w:rsid w:val="00D9316F"/>
    <w:rsid w:val="00D97FF9"/>
    <w:rsid w:val="00DA059A"/>
    <w:rsid w:val="00DA2B22"/>
    <w:rsid w:val="00DA2D10"/>
    <w:rsid w:val="00DA4159"/>
    <w:rsid w:val="00DA614E"/>
    <w:rsid w:val="00DD6510"/>
    <w:rsid w:val="00DF61BA"/>
    <w:rsid w:val="00E104E7"/>
    <w:rsid w:val="00E10769"/>
    <w:rsid w:val="00E162D5"/>
    <w:rsid w:val="00E2160E"/>
    <w:rsid w:val="00E2415D"/>
    <w:rsid w:val="00E30639"/>
    <w:rsid w:val="00E35D4C"/>
    <w:rsid w:val="00E434A9"/>
    <w:rsid w:val="00E44A69"/>
    <w:rsid w:val="00E465C1"/>
    <w:rsid w:val="00E523F7"/>
    <w:rsid w:val="00E53C86"/>
    <w:rsid w:val="00E65847"/>
    <w:rsid w:val="00E66320"/>
    <w:rsid w:val="00E73DB8"/>
    <w:rsid w:val="00E75C5E"/>
    <w:rsid w:val="00E7774E"/>
    <w:rsid w:val="00E77AB2"/>
    <w:rsid w:val="00E82091"/>
    <w:rsid w:val="00E92DA8"/>
    <w:rsid w:val="00EA5D9A"/>
    <w:rsid w:val="00EB54DE"/>
    <w:rsid w:val="00EE03EB"/>
    <w:rsid w:val="00EF0C44"/>
    <w:rsid w:val="00EF0D2F"/>
    <w:rsid w:val="00EF28E3"/>
    <w:rsid w:val="00EF3CBF"/>
    <w:rsid w:val="00F14742"/>
    <w:rsid w:val="00F1567D"/>
    <w:rsid w:val="00F264CA"/>
    <w:rsid w:val="00F37C48"/>
    <w:rsid w:val="00F41846"/>
    <w:rsid w:val="00F527EF"/>
    <w:rsid w:val="00F6020D"/>
    <w:rsid w:val="00F60AA2"/>
    <w:rsid w:val="00F6751E"/>
    <w:rsid w:val="00F768BA"/>
    <w:rsid w:val="00F8620A"/>
    <w:rsid w:val="00F95056"/>
    <w:rsid w:val="00FC7841"/>
    <w:rsid w:val="00FE02D8"/>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028FA"/>
  <w15:chartTrackingRefBased/>
  <w15:docId w15:val="{20988367-5959-4154-A9CC-0B47DDC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1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6E"/>
    <w:pPr>
      <w:ind w:left="720"/>
      <w:contextualSpacing/>
    </w:pPr>
  </w:style>
  <w:style w:type="paragraph" w:styleId="Header">
    <w:name w:val="header"/>
    <w:next w:val="Normal"/>
    <w:link w:val="HeaderChar"/>
    <w:uiPriority w:val="99"/>
    <w:unhideWhenUsed/>
    <w:rsid w:val="00771C6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771C6E"/>
    <w:rPr>
      <w:rFonts w:ascii="Arial" w:eastAsia="Times New Roman" w:hAnsi="Arial" w:cs="Arial"/>
      <w:sz w:val="24"/>
      <w:szCs w:val="24"/>
    </w:rPr>
  </w:style>
  <w:style w:type="paragraph" w:styleId="Footer">
    <w:name w:val="footer"/>
    <w:basedOn w:val="Normal"/>
    <w:link w:val="FooterChar"/>
    <w:uiPriority w:val="99"/>
    <w:unhideWhenUsed/>
    <w:rsid w:val="00771C6E"/>
    <w:pPr>
      <w:tabs>
        <w:tab w:val="center" w:pos="4320"/>
        <w:tab w:val="right" w:pos="8640"/>
      </w:tabs>
    </w:pPr>
  </w:style>
  <w:style w:type="character" w:customStyle="1" w:styleId="FooterChar">
    <w:name w:val="Footer Char"/>
    <w:basedOn w:val="DefaultParagraphFont"/>
    <w:link w:val="Footer"/>
    <w:uiPriority w:val="99"/>
    <w:rsid w:val="00771C6E"/>
    <w:rPr>
      <w:rFonts w:ascii="Arial" w:eastAsia="Times New Roman" w:hAnsi="Arial" w:cs="Arial"/>
      <w:sz w:val="24"/>
      <w:szCs w:val="24"/>
    </w:rPr>
  </w:style>
  <w:style w:type="table" w:styleId="TableGrid">
    <w:name w:val="Table Grid"/>
    <w:basedOn w:val="TableNormal"/>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6E"/>
    <w:rPr>
      <w:color w:val="0563C1" w:themeColor="hyperlink"/>
      <w:u w:val="single"/>
    </w:rPr>
  </w:style>
  <w:style w:type="table" w:customStyle="1" w:styleId="TableGrid2">
    <w:name w:val="Table Grid2"/>
    <w:basedOn w:val="TableNormal"/>
    <w:next w:val="TableGrid"/>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3"/>
    <w:rPr>
      <w:rFonts w:ascii="Segoe UI" w:eastAsia="Times New Roman" w:hAnsi="Segoe UI" w:cs="Segoe UI"/>
      <w:sz w:val="18"/>
      <w:szCs w:val="18"/>
    </w:rPr>
  </w:style>
  <w:style w:type="paragraph" w:styleId="NormalWeb">
    <w:name w:val="Normal (Web)"/>
    <w:basedOn w:val="Normal"/>
    <w:uiPriority w:val="99"/>
    <w:semiHidden/>
    <w:unhideWhenUsed/>
    <w:rsid w:val="005D66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D667F"/>
    <w:rPr>
      <w:b/>
      <w:bCs/>
    </w:rPr>
  </w:style>
  <w:style w:type="character" w:styleId="CommentReference">
    <w:name w:val="annotation reference"/>
    <w:basedOn w:val="DefaultParagraphFont"/>
    <w:uiPriority w:val="99"/>
    <w:semiHidden/>
    <w:unhideWhenUsed/>
    <w:rsid w:val="00BD32ED"/>
    <w:rPr>
      <w:sz w:val="16"/>
      <w:szCs w:val="16"/>
    </w:rPr>
  </w:style>
  <w:style w:type="paragraph" w:styleId="CommentText">
    <w:name w:val="annotation text"/>
    <w:basedOn w:val="Normal"/>
    <w:link w:val="CommentTextChar"/>
    <w:uiPriority w:val="99"/>
    <w:unhideWhenUsed/>
    <w:rsid w:val="00BD32ED"/>
    <w:rPr>
      <w:sz w:val="20"/>
      <w:szCs w:val="20"/>
    </w:rPr>
  </w:style>
  <w:style w:type="character" w:customStyle="1" w:styleId="CommentTextChar">
    <w:name w:val="Comment Text Char"/>
    <w:basedOn w:val="DefaultParagraphFont"/>
    <w:link w:val="CommentText"/>
    <w:uiPriority w:val="99"/>
    <w:rsid w:val="00BD32E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32ED"/>
    <w:rPr>
      <w:b/>
      <w:bCs/>
    </w:rPr>
  </w:style>
  <w:style w:type="character" w:customStyle="1" w:styleId="CommentSubjectChar">
    <w:name w:val="Comment Subject Char"/>
    <w:basedOn w:val="CommentTextChar"/>
    <w:link w:val="CommentSubject"/>
    <w:uiPriority w:val="99"/>
    <w:semiHidden/>
    <w:rsid w:val="00BD32E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12C9"/>
    <w:rPr>
      <w:color w:val="954F72" w:themeColor="followedHyperlink"/>
      <w:u w:val="single"/>
    </w:rPr>
  </w:style>
  <w:style w:type="character" w:customStyle="1" w:styleId="ms-rtethemebackcolor-1-0">
    <w:name w:val="ms-rtethemebackcolor-1-0"/>
    <w:basedOn w:val="DefaultParagraphFont"/>
    <w:rsid w:val="003A1C96"/>
  </w:style>
  <w:style w:type="paragraph" w:styleId="BodyText">
    <w:name w:val="Body Text"/>
    <w:basedOn w:val="Normal"/>
    <w:link w:val="BodyTextChar"/>
    <w:semiHidden/>
    <w:unhideWhenUsed/>
    <w:rsid w:val="00CE63D1"/>
    <w:pPr>
      <w:jc w:val="both"/>
    </w:pPr>
    <w:rPr>
      <w:rFonts w:ascii="Tahoma" w:hAnsi="Tahoma" w:cs="Times New Roman"/>
      <w:sz w:val="26"/>
      <w:szCs w:val="20"/>
    </w:rPr>
  </w:style>
  <w:style w:type="character" w:customStyle="1" w:styleId="BodyTextChar">
    <w:name w:val="Body Text Char"/>
    <w:basedOn w:val="DefaultParagraphFont"/>
    <w:link w:val="BodyText"/>
    <w:semiHidden/>
    <w:rsid w:val="00CE63D1"/>
    <w:rPr>
      <w:rFonts w:ascii="Tahoma" w:eastAsia="Times New Roman" w:hAnsi="Tahoma" w:cs="Times New Roman"/>
      <w:sz w:val="26"/>
      <w:szCs w:val="20"/>
    </w:rPr>
  </w:style>
  <w:style w:type="character" w:styleId="Emphasis">
    <w:name w:val="Emphasis"/>
    <w:basedOn w:val="DefaultParagraphFont"/>
    <w:uiPriority w:val="20"/>
    <w:qFormat/>
    <w:rsid w:val="002807B1"/>
    <w:rPr>
      <w:i/>
      <w:iCs/>
    </w:rPr>
  </w:style>
  <w:style w:type="paragraph" w:styleId="NoSpacing">
    <w:name w:val="No Spacing"/>
    <w:uiPriority w:val="1"/>
    <w:qFormat/>
    <w:rsid w:val="00DA614E"/>
    <w:pPr>
      <w:spacing w:after="0" w:line="240" w:lineRule="auto"/>
    </w:pPr>
    <w:rPr>
      <w:rFonts w:ascii="Arial" w:eastAsia="Times New Roman" w:hAnsi="Arial" w:cs="Arial"/>
      <w:sz w:val="24"/>
      <w:szCs w:val="24"/>
    </w:rPr>
  </w:style>
  <w:style w:type="paragraph" w:styleId="Revision">
    <w:name w:val="Revision"/>
    <w:hidden/>
    <w:uiPriority w:val="99"/>
    <w:semiHidden/>
    <w:rsid w:val="00EF28E3"/>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EF28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F28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280">
      <w:bodyDiv w:val="1"/>
      <w:marLeft w:val="0"/>
      <w:marRight w:val="0"/>
      <w:marTop w:val="0"/>
      <w:marBottom w:val="0"/>
      <w:divBdr>
        <w:top w:val="none" w:sz="0" w:space="0" w:color="auto"/>
        <w:left w:val="none" w:sz="0" w:space="0" w:color="auto"/>
        <w:bottom w:val="none" w:sz="0" w:space="0" w:color="auto"/>
        <w:right w:val="none" w:sz="0" w:space="0" w:color="auto"/>
      </w:divBdr>
    </w:div>
    <w:div w:id="373388991">
      <w:bodyDiv w:val="1"/>
      <w:marLeft w:val="0"/>
      <w:marRight w:val="0"/>
      <w:marTop w:val="0"/>
      <w:marBottom w:val="0"/>
      <w:divBdr>
        <w:top w:val="none" w:sz="0" w:space="0" w:color="auto"/>
        <w:left w:val="none" w:sz="0" w:space="0" w:color="auto"/>
        <w:bottom w:val="none" w:sz="0" w:space="0" w:color="auto"/>
        <w:right w:val="none" w:sz="0" w:space="0" w:color="auto"/>
      </w:divBdr>
    </w:div>
    <w:div w:id="459299115">
      <w:bodyDiv w:val="1"/>
      <w:marLeft w:val="0"/>
      <w:marRight w:val="0"/>
      <w:marTop w:val="0"/>
      <w:marBottom w:val="0"/>
      <w:divBdr>
        <w:top w:val="none" w:sz="0" w:space="0" w:color="auto"/>
        <w:left w:val="none" w:sz="0" w:space="0" w:color="auto"/>
        <w:bottom w:val="none" w:sz="0" w:space="0" w:color="auto"/>
        <w:right w:val="none" w:sz="0" w:space="0" w:color="auto"/>
      </w:divBdr>
    </w:div>
    <w:div w:id="495609714">
      <w:bodyDiv w:val="1"/>
      <w:marLeft w:val="0"/>
      <w:marRight w:val="0"/>
      <w:marTop w:val="0"/>
      <w:marBottom w:val="0"/>
      <w:divBdr>
        <w:top w:val="none" w:sz="0" w:space="0" w:color="auto"/>
        <w:left w:val="none" w:sz="0" w:space="0" w:color="auto"/>
        <w:bottom w:val="none" w:sz="0" w:space="0" w:color="auto"/>
        <w:right w:val="none" w:sz="0" w:space="0" w:color="auto"/>
      </w:divBdr>
      <w:divsChild>
        <w:div w:id="1097676387">
          <w:marLeft w:val="0"/>
          <w:marRight w:val="0"/>
          <w:marTop w:val="0"/>
          <w:marBottom w:val="0"/>
          <w:divBdr>
            <w:top w:val="none" w:sz="0" w:space="0" w:color="auto"/>
            <w:left w:val="none" w:sz="0" w:space="0" w:color="auto"/>
            <w:bottom w:val="none" w:sz="0" w:space="0" w:color="auto"/>
            <w:right w:val="none" w:sz="0" w:space="0" w:color="auto"/>
          </w:divBdr>
          <w:divsChild>
            <w:div w:id="677731973">
              <w:marLeft w:val="0"/>
              <w:marRight w:val="0"/>
              <w:marTop w:val="0"/>
              <w:marBottom w:val="0"/>
              <w:divBdr>
                <w:top w:val="none" w:sz="0" w:space="0" w:color="auto"/>
                <w:left w:val="none" w:sz="0" w:space="0" w:color="auto"/>
                <w:bottom w:val="none" w:sz="0" w:space="0" w:color="auto"/>
                <w:right w:val="none" w:sz="0" w:space="0" w:color="auto"/>
              </w:divBdr>
              <w:divsChild>
                <w:div w:id="773984975">
                  <w:marLeft w:val="0"/>
                  <w:marRight w:val="0"/>
                  <w:marTop w:val="0"/>
                  <w:marBottom w:val="0"/>
                  <w:divBdr>
                    <w:top w:val="none" w:sz="0" w:space="0" w:color="auto"/>
                    <w:left w:val="none" w:sz="0" w:space="0" w:color="auto"/>
                    <w:bottom w:val="none" w:sz="0" w:space="0" w:color="auto"/>
                    <w:right w:val="none" w:sz="0" w:space="0" w:color="auto"/>
                  </w:divBdr>
                  <w:divsChild>
                    <w:div w:id="1272517404">
                      <w:marLeft w:val="0"/>
                      <w:marRight w:val="0"/>
                      <w:marTop w:val="0"/>
                      <w:marBottom w:val="0"/>
                      <w:divBdr>
                        <w:top w:val="none" w:sz="0" w:space="0" w:color="auto"/>
                        <w:left w:val="none" w:sz="0" w:space="0" w:color="auto"/>
                        <w:bottom w:val="none" w:sz="0" w:space="0" w:color="auto"/>
                        <w:right w:val="none" w:sz="0" w:space="0" w:color="auto"/>
                      </w:divBdr>
                      <w:divsChild>
                        <w:div w:id="1355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59579">
      <w:bodyDiv w:val="1"/>
      <w:marLeft w:val="0"/>
      <w:marRight w:val="0"/>
      <w:marTop w:val="0"/>
      <w:marBottom w:val="0"/>
      <w:divBdr>
        <w:top w:val="none" w:sz="0" w:space="0" w:color="auto"/>
        <w:left w:val="none" w:sz="0" w:space="0" w:color="auto"/>
        <w:bottom w:val="none" w:sz="0" w:space="0" w:color="auto"/>
        <w:right w:val="none" w:sz="0" w:space="0" w:color="auto"/>
      </w:divBdr>
    </w:div>
    <w:div w:id="771783566">
      <w:bodyDiv w:val="1"/>
      <w:marLeft w:val="0"/>
      <w:marRight w:val="0"/>
      <w:marTop w:val="0"/>
      <w:marBottom w:val="0"/>
      <w:divBdr>
        <w:top w:val="none" w:sz="0" w:space="0" w:color="auto"/>
        <w:left w:val="none" w:sz="0" w:space="0" w:color="auto"/>
        <w:bottom w:val="none" w:sz="0" w:space="0" w:color="auto"/>
        <w:right w:val="none" w:sz="0" w:space="0" w:color="auto"/>
      </w:divBdr>
    </w:div>
    <w:div w:id="988480959">
      <w:bodyDiv w:val="1"/>
      <w:marLeft w:val="0"/>
      <w:marRight w:val="0"/>
      <w:marTop w:val="0"/>
      <w:marBottom w:val="0"/>
      <w:divBdr>
        <w:top w:val="none" w:sz="0" w:space="0" w:color="auto"/>
        <w:left w:val="none" w:sz="0" w:space="0" w:color="auto"/>
        <w:bottom w:val="none" w:sz="0" w:space="0" w:color="auto"/>
        <w:right w:val="none" w:sz="0" w:space="0" w:color="auto"/>
      </w:divBdr>
    </w:div>
    <w:div w:id="1063334632">
      <w:bodyDiv w:val="1"/>
      <w:marLeft w:val="0"/>
      <w:marRight w:val="0"/>
      <w:marTop w:val="0"/>
      <w:marBottom w:val="0"/>
      <w:divBdr>
        <w:top w:val="none" w:sz="0" w:space="0" w:color="auto"/>
        <w:left w:val="none" w:sz="0" w:space="0" w:color="auto"/>
        <w:bottom w:val="none" w:sz="0" w:space="0" w:color="auto"/>
        <w:right w:val="none" w:sz="0" w:space="0" w:color="auto"/>
      </w:divBdr>
    </w:div>
    <w:div w:id="1553882470">
      <w:bodyDiv w:val="1"/>
      <w:marLeft w:val="0"/>
      <w:marRight w:val="0"/>
      <w:marTop w:val="0"/>
      <w:marBottom w:val="0"/>
      <w:divBdr>
        <w:top w:val="none" w:sz="0" w:space="0" w:color="auto"/>
        <w:left w:val="none" w:sz="0" w:space="0" w:color="auto"/>
        <w:bottom w:val="none" w:sz="0" w:space="0" w:color="auto"/>
        <w:right w:val="none" w:sz="0" w:space="0" w:color="auto"/>
      </w:divBdr>
    </w:div>
    <w:div w:id="1587037228">
      <w:bodyDiv w:val="1"/>
      <w:marLeft w:val="0"/>
      <w:marRight w:val="0"/>
      <w:marTop w:val="0"/>
      <w:marBottom w:val="0"/>
      <w:divBdr>
        <w:top w:val="none" w:sz="0" w:space="0" w:color="auto"/>
        <w:left w:val="none" w:sz="0" w:space="0" w:color="auto"/>
        <w:bottom w:val="none" w:sz="0" w:space="0" w:color="auto"/>
        <w:right w:val="none" w:sz="0" w:space="0" w:color="auto"/>
      </w:divBdr>
    </w:div>
    <w:div w:id="1730885815">
      <w:bodyDiv w:val="1"/>
      <w:marLeft w:val="0"/>
      <w:marRight w:val="0"/>
      <w:marTop w:val="0"/>
      <w:marBottom w:val="0"/>
      <w:divBdr>
        <w:top w:val="none" w:sz="0" w:space="0" w:color="auto"/>
        <w:left w:val="none" w:sz="0" w:space="0" w:color="auto"/>
        <w:bottom w:val="none" w:sz="0" w:space="0" w:color="auto"/>
        <w:right w:val="none" w:sz="0" w:space="0" w:color="auto"/>
      </w:divBdr>
    </w:div>
    <w:div w:id="1831823808">
      <w:bodyDiv w:val="1"/>
      <w:marLeft w:val="0"/>
      <w:marRight w:val="0"/>
      <w:marTop w:val="0"/>
      <w:marBottom w:val="0"/>
      <w:divBdr>
        <w:top w:val="none" w:sz="0" w:space="0" w:color="auto"/>
        <w:left w:val="none" w:sz="0" w:space="0" w:color="auto"/>
        <w:bottom w:val="none" w:sz="0" w:space="0" w:color="auto"/>
        <w:right w:val="none" w:sz="0" w:space="0" w:color="auto"/>
      </w:divBdr>
    </w:div>
    <w:div w:id="1894661123">
      <w:bodyDiv w:val="1"/>
      <w:marLeft w:val="0"/>
      <w:marRight w:val="0"/>
      <w:marTop w:val="0"/>
      <w:marBottom w:val="0"/>
      <w:divBdr>
        <w:top w:val="none" w:sz="0" w:space="0" w:color="auto"/>
        <w:left w:val="none" w:sz="0" w:space="0" w:color="auto"/>
        <w:bottom w:val="none" w:sz="0" w:space="0" w:color="auto"/>
        <w:right w:val="none" w:sz="0" w:space="0" w:color="auto"/>
      </w:divBdr>
    </w:div>
    <w:div w:id="2107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hr/HRDocuments/Pages/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napier.ac.uk"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2DFA0C-8FAC-4962-B0BD-D206BE39D97D}"/>
</file>

<file path=customXml/itemProps2.xml><?xml version="1.0" encoding="utf-8"?>
<ds:datastoreItem xmlns:ds="http://schemas.openxmlformats.org/officeDocument/2006/customXml" ds:itemID="{BE476A06-8AC4-4574-B657-F1107FB3005E}"/>
</file>

<file path=customXml/itemProps3.xml><?xml version="1.0" encoding="utf-8"?>
<ds:datastoreItem xmlns:ds="http://schemas.openxmlformats.org/officeDocument/2006/customXml" ds:itemID="{93ED870F-F4D0-4309-9C25-05738525CE3A}"/>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Student Experience Contracts final October 2019</dc:title>
  <dc:subject/>
  <dc:creator>Leonard, Caroline</dc:creator>
  <cp:keywords/>
  <dc:description/>
  <cp:lastModifiedBy>Conlan, Lee (Staff)</cp:lastModifiedBy>
  <cp:revision>3</cp:revision>
  <cp:lastPrinted>2019-09-11T08:07:00Z</cp:lastPrinted>
  <dcterms:created xsi:type="dcterms:W3CDTF">2019-09-11T08:45:00Z</dcterms:created>
  <dcterms:modified xsi:type="dcterms:W3CDTF">2019-10-03T12:28:00Z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