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44ED0" w14:textId="77777777" w:rsidR="00CF0354" w:rsidRDefault="00CF0354" w:rsidP="00CF0354">
      <w:pPr>
        <w:pStyle w:val="NoSpacing"/>
        <w:rPr>
          <w:rFonts w:ascii="Arial" w:hAnsi="Arial" w:cs="Arial"/>
          <w:sz w:val="23"/>
          <w:szCs w:val="23"/>
        </w:rPr>
      </w:pPr>
      <w:r w:rsidRPr="00CF0354">
        <w:rPr>
          <w:rFonts w:ascii="Arial" w:hAnsi="Arial" w:cs="Arial"/>
          <w:noProof/>
          <w:sz w:val="23"/>
          <w:szCs w:val="23"/>
          <w:lang w:eastAsia="en-GB"/>
        </w:rPr>
        <w:drawing>
          <wp:inline distT="0" distB="0" distL="0" distR="0" wp14:anchorId="7C135EF0" wp14:editId="0E2E1440">
            <wp:extent cx="6645910" cy="1568777"/>
            <wp:effectExtent l="0" t="0" r="2540" b="0"/>
            <wp:docPr id="1" name="Picture 1" descr="C:\Users\40000507\Desktop\GM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00507\Desktop\GM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568777"/>
                    </a:xfrm>
                    <a:prstGeom prst="rect">
                      <a:avLst/>
                    </a:prstGeom>
                    <a:noFill/>
                    <a:ln>
                      <a:noFill/>
                    </a:ln>
                  </pic:spPr>
                </pic:pic>
              </a:graphicData>
            </a:graphic>
          </wp:inline>
        </w:drawing>
      </w:r>
    </w:p>
    <w:p w14:paraId="18A04E5E" w14:textId="77777777" w:rsidR="00CF0354" w:rsidRPr="000F1178" w:rsidRDefault="00CF0354" w:rsidP="00CF0354">
      <w:pPr>
        <w:pStyle w:val="NoSpacing"/>
        <w:rPr>
          <w:rFonts w:ascii="Arial" w:hAnsi="Arial" w:cs="Arial"/>
          <w:sz w:val="52"/>
          <w:szCs w:val="23"/>
        </w:rPr>
      </w:pPr>
    </w:p>
    <w:p w14:paraId="58EB2697" w14:textId="77777777" w:rsidR="000F1178" w:rsidRDefault="000F1178" w:rsidP="00CF0354">
      <w:pPr>
        <w:pStyle w:val="NoSpacing"/>
        <w:jc w:val="center"/>
        <w:rPr>
          <w:rFonts w:ascii="Arial" w:hAnsi="Arial" w:cs="Arial"/>
          <w:b/>
          <w:sz w:val="72"/>
          <w:szCs w:val="23"/>
        </w:rPr>
      </w:pPr>
    </w:p>
    <w:p w14:paraId="503462C5" w14:textId="77777777" w:rsidR="000F1178" w:rsidRDefault="000F1178" w:rsidP="00CF0354">
      <w:pPr>
        <w:pStyle w:val="NoSpacing"/>
        <w:jc w:val="center"/>
        <w:rPr>
          <w:rFonts w:ascii="Arial" w:hAnsi="Arial" w:cs="Arial"/>
          <w:b/>
          <w:sz w:val="72"/>
          <w:szCs w:val="23"/>
        </w:rPr>
      </w:pPr>
    </w:p>
    <w:p w14:paraId="04BDF956" w14:textId="66423137" w:rsidR="00CF0354" w:rsidRDefault="00CF0354" w:rsidP="00CF0354">
      <w:pPr>
        <w:pStyle w:val="NoSpacing"/>
        <w:jc w:val="center"/>
        <w:rPr>
          <w:rFonts w:ascii="Arial" w:hAnsi="Arial" w:cs="Arial"/>
          <w:b/>
          <w:sz w:val="72"/>
          <w:szCs w:val="23"/>
        </w:rPr>
      </w:pPr>
      <w:r w:rsidRPr="000F1178">
        <w:rPr>
          <w:rFonts w:ascii="Arial" w:hAnsi="Arial" w:cs="Arial"/>
          <w:b/>
          <w:sz w:val="72"/>
          <w:szCs w:val="23"/>
        </w:rPr>
        <w:t xml:space="preserve">Visiting Student </w:t>
      </w:r>
      <w:r w:rsidR="00BD3ADF">
        <w:rPr>
          <w:rFonts w:ascii="Arial" w:hAnsi="Arial" w:cs="Arial"/>
          <w:b/>
          <w:sz w:val="72"/>
          <w:szCs w:val="23"/>
        </w:rPr>
        <w:t xml:space="preserve">Admission </w:t>
      </w:r>
      <w:r w:rsidR="000F1178" w:rsidRPr="000F1178">
        <w:rPr>
          <w:rFonts w:ascii="Arial" w:hAnsi="Arial" w:cs="Arial"/>
          <w:b/>
          <w:sz w:val="72"/>
          <w:szCs w:val="23"/>
        </w:rPr>
        <w:t>Policy</w:t>
      </w:r>
    </w:p>
    <w:p w14:paraId="0712FC96" w14:textId="77777777" w:rsidR="00CF0354" w:rsidRPr="008F578B" w:rsidRDefault="00CF0354" w:rsidP="00CF0354">
      <w:pPr>
        <w:pStyle w:val="NoSpacing"/>
        <w:rPr>
          <w:rFonts w:ascii="Arial" w:hAnsi="Arial" w:cs="Arial"/>
          <w:sz w:val="23"/>
          <w:szCs w:val="23"/>
        </w:rPr>
      </w:pPr>
    </w:p>
    <w:p w14:paraId="7E70BDA3" w14:textId="77777777" w:rsidR="00CF0354" w:rsidRDefault="00CF0354" w:rsidP="00CF0354">
      <w:pPr>
        <w:pStyle w:val="NoSpacing"/>
        <w:rPr>
          <w:rFonts w:ascii="Arial" w:hAnsi="Arial" w:cs="Arial"/>
          <w:sz w:val="23"/>
          <w:szCs w:val="23"/>
        </w:rPr>
      </w:pPr>
    </w:p>
    <w:p w14:paraId="46280A6E" w14:textId="77777777" w:rsidR="00CF0354" w:rsidRDefault="00CF0354" w:rsidP="00CF0354">
      <w:pPr>
        <w:pStyle w:val="NoSpacing"/>
        <w:rPr>
          <w:rFonts w:ascii="Arial" w:hAnsi="Arial" w:cs="Arial"/>
          <w:sz w:val="23"/>
          <w:szCs w:val="23"/>
        </w:rPr>
      </w:pPr>
    </w:p>
    <w:p w14:paraId="0924ED50" w14:textId="77777777" w:rsidR="000F1178" w:rsidRDefault="000F1178">
      <w:pPr>
        <w:rPr>
          <w:rFonts w:ascii="Arial" w:hAnsi="Arial" w:cs="Arial"/>
          <w:sz w:val="23"/>
          <w:szCs w:val="23"/>
        </w:rPr>
      </w:pPr>
    </w:p>
    <w:p w14:paraId="68B0D73F" w14:textId="77777777" w:rsidR="000F1178" w:rsidRDefault="000F1178">
      <w:pPr>
        <w:rPr>
          <w:rFonts w:ascii="Arial" w:hAnsi="Arial" w:cs="Arial"/>
          <w:sz w:val="23"/>
          <w:szCs w:val="23"/>
        </w:rPr>
      </w:pPr>
    </w:p>
    <w:p w14:paraId="633E8D23" w14:textId="77777777" w:rsidR="00CF0354" w:rsidRDefault="00CF0354">
      <w:pPr>
        <w:rPr>
          <w:rFonts w:ascii="Arial" w:hAnsi="Arial" w:cs="Arial"/>
          <w:sz w:val="23"/>
          <w:szCs w:val="23"/>
        </w:rPr>
      </w:pPr>
      <w:r>
        <w:rPr>
          <w:rFonts w:ascii="Arial" w:hAnsi="Arial" w:cs="Arial"/>
          <w:sz w:val="23"/>
          <w:szCs w:val="23"/>
        </w:rPr>
        <w:br w:type="page"/>
      </w:r>
    </w:p>
    <w:sdt>
      <w:sdtPr>
        <w:rPr>
          <w:rFonts w:asciiTheme="minorHAnsi" w:eastAsiaTheme="minorHAnsi" w:hAnsiTheme="minorHAnsi" w:cstheme="minorBidi"/>
          <w:color w:val="auto"/>
          <w:sz w:val="22"/>
          <w:szCs w:val="22"/>
          <w:lang w:val="en-GB"/>
        </w:rPr>
        <w:id w:val="-1623762419"/>
        <w:docPartObj>
          <w:docPartGallery w:val="Table of Contents"/>
          <w:docPartUnique/>
        </w:docPartObj>
      </w:sdtPr>
      <w:sdtEndPr>
        <w:rPr>
          <w:b/>
          <w:bCs/>
          <w:noProof/>
        </w:rPr>
      </w:sdtEndPr>
      <w:sdtContent>
        <w:p w14:paraId="71B95E37" w14:textId="77777777" w:rsidR="000F1178" w:rsidRPr="000F1178" w:rsidRDefault="000F1178">
          <w:pPr>
            <w:pStyle w:val="TOCHeading"/>
            <w:rPr>
              <w:b/>
              <w:color w:val="000000" w:themeColor="text1"/>
            </w:rPr>
          </w:pPr>
          <w:r w:rsidRPr="000F1178">
            <w:rPr>
              <w:b/>
              <w:color w:val="000000" w:themeColor="text1"/>
            </w:rPr>
            <w:t>Contents</w:t>
          </w:r>
        </w:p>
        <w:p w14:paraId="6F605066" w14:textId="77777777" w:rsidR="005F5DA1" w:rsidRDefault="000F1178">
          <w:pPr>
            <w:pStyle w:val="TOC1"/>
            <w:tabs>
              <w:tab w:val="right" w:leader="dot" w:pos="1045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2957868" w:history="1">
            <w:r w:rsidR="005F5DA1" w:rsidRPr="002D7C10">
              <w:rPr>
                <w:rStyle w:val="Hyperlink"/>
                <w:b/>
                <w:noProof/>
              </w:rPr>
              <w:t>1. Overview, Purpose, Scope, Approval</w:t>
            </w:r>
            <w:r w:rsidR="005F5DA1">
              <w:rPr>
                <w:noProof/>
                <w:webHidden/>
              </w:rPr>
              <w:tab/>
            </w:r>
            <w:r w:rsidR="005F5DA1">
              <w:rPr>
                <w:noProof/>
                <w:webHidden/>
              </w:rPr>
              <w:fldChar w:fldCharType="begin"/>
            </w:r>
            <w:r w:rsidR="005F5DA1">
              <w:rPr>
                <w:noProof/>
                <w:webHidden/>
              </w:rPr>
              <w:instrText xml:space="preserve"> PAGEREF _Toc2957868 \h </w:instrText>
            </w:r>
            <w:r w:rsidR="005F5DA1">
              <w:rPr>
                <w:noProof/>
                <w:webHidden/>
              </w:rPr>
            </w:r>
            <w:r w:rsidR="005F5DA1">
              <w:rPr>
                <w:noProof/>
                <w:webHidden/>
              </w:rPr>
              <w:fldChar w:fldCharType="separate"/>
            </w:r>
            <w:r w:rsidR="005F5DA1">
              <w:rPr>
                <w:noProof/>
                <w:webHidden/>
              </w:rPr>
              <w:t>3</w:t>
            </w:r>
            <w:r w:rsidR="005F5DA1">
              <w:rPr>
                <w:noProof/>
                <w:webHidden/>
              </w:rPr>
              <w:fldChar w:fldCharType="end"/>
            </w:r>
          </w:hyperlink>
        </w:p>
        <w:p w14:paraId="5CF952F6" w14:textId="77777777" w:rsidR="005F5DA1" w:rsidRDefault="00070462">
          <w:pPr>
            <w:pStyle w:val="TOC1"/>
            <w:tabs>
              <w:tab w:val="right" w:leader="dot" w:pos="10456"/>
            </w:tabs>
            <w:rPr>
              <w:rFonts w:eastAsiaTheme="minorEastAsia"/>
              <w:noProof/>
              <w:lang w:eastAsia="en-GB"/>
            </w:rPr>
          </w:pPr>
          <w:hyperlink w:anchor="_Toc2957869" w:history="1">
            <w:r w:rsidR="005F5DA1" w:rsidRPr="002D7C10">
              <w:rPr>
                <w:rStyle w:val="Hyperlink"/>
                <w:b/>
                <w:noProof/>
              </w:rPr>
              <w:t>2.  Pre application cycle</w:t>
            </w:r>
            <w:r w:rsidR="005F5DA1">
              <w:rPr>
                <w:noProof/>
                <w:webHidden/>
              </w:rPr>
              <w:tab/>
            </w:r>
            <w:r w:rsidR="005F5DA1">
              <w:rPr>
                <w:noProof/>
                <w:webHidden/>
              </w:rPr>
              <w:fldChar w:fldCharType="begin"/>
            </w:r>
            <w:r w:rsidR="005F5DA1">
              <w:rPr>
                <w:noProof/>
                <w:webHidden/>
              </w:rPr>
              <w:instrText xml:space="preserve"> PAGEREF _Toc2957869 \h </w:instrText>
            </w:r>
            <w:r w:rsidR="005F5DA1">
              <w:rPr>
                <w:noProof/>
                <w:webHidden/>
              </w:rPr>
            </w:r>
            <w:r w:rsidR="005F5DA1">
              <w:rPr>
                <w:noProof/>
                <w:webHidden/>
              </w:rPr>
              <w:fldChar w:fldCharType="separate"/>
            </w:r>
            <w:r w:rsidR="005F5DA1">
              <w:rPr>
                <w:noProof/>
                <w:webHidden/>
              </w:rPr>
              <w:t>3</w:t>
            </w:r>
            <w:r w:rsidR="005F5DA1">
              <w:rPr>
                <w:noProof/>
                <w:webHidden/>
              </w:rPr>
              <w:fldChar w:fldCharType="end"/>
            </w:r>
          </w:hyperlink>
        </w:p>
        <w:p w14:paraId="63F09596" w14:textId="77777777" w:rsidR="005F5DA1" w:rsidRDefault="00070462">
          <w:pPr>
            <w:pStyle w:val="TOC2"/>
            <w:tabs>
              <w:tab w:val="right" w:leader="dot" w:pos="10456"/>
            </w:tabs>
            <w:rPr>
              <w:rFonts w:eastAsiaTheme="minorEastAsia"/>
              <w:noProof/>
              <w:lang w:eastAsia="en-GB"/>
            </w:rPr>
          </w:pPr>
          <w:hyperlink w:anchor="_Toc2957870" w:history="1">
            <w:r w:rsidR="005F5DA1" w:rsidRPr="002D7C10">
              <w:rPr>
                <w:rStyle w:val="Hyperlink"/>
                <w:b/>
                <w:noProof/>
              </w:rPr>
              <w:t>2. 1 Areas of responsibilities</w:t>
            </w:r>
            <w:r w:rsidR="005F5DA1">
              <w:rPr>
                <w:noProof/>
                <w:webHidden/>
              </w:rPr>
              <w:tab/>
            </w:r>
            <w:r w:rsidR="005F5DA1">
              <w:rPr>
                <w:noProof/>
                <w:webHidden/>
              </w:rPr>
              <w:fldChar w:fldCharType="begin"/>
            </w:r>
            <w:r w:rsidR="005F5DA1">
              <w:rPr>
                <w:noProof/>
                <w:webHidden/>
              </w:rPr>
              <w:instrText xml:space="preserve"> PAGEREF _Toc2957870 \h </w:instrText>
            </w:r>
            <w:r w:rsidR="005F5DA1">
              <w:rPr>
                <w:noProof/>
                <w:webHidden/>
              </w:rPr>
            </w:r>
            <w:r w:rsidR="005F5DA1">
              <w:rPr>
                <w:noProof/>
                <w:webHidden/>
              </w:rPr>
              <w:fldChar w:fldCharType="separate"/>
            </w:r>
            <w:r w:rsidR="005F5DA1">
              <w:rPr>
                <w:noProof/>
                <w:webHidden/>
              </w:rPr>
              <w:t>3</w:t>
            </w:r>
            <w:r w:rsidR="005F5DA1">
              <w:rPr>
                <w:noProof/>
                <w:webHidden/>
              </w:rPr>
              <w:fldChar w:fldCharType="end"/>
            </w:r>
          </w:hyperlink>
        </w:p>
        <w:p w14:paraId="1FA77CC0" w14:textId="77777777" w:rsidR="005F5DA1" w:rsidRDefault="00070462">
          <w:pPr>
            <w:pStyle w:val="TOC2"/>
            <w:tabs>
              <w:tab w:val="right" w:leader="dot" w:pos="10456"/>
            </w:tabs>
            <w:rPr>
              <w:rFonts w:eastAsiaTheme="minorEastAsia"/>
              <w:noProof/>
              <w:lang w:eastAsia="en-GB"/>
            </w:rPr>
          </w:pPr>
          <w:hyperlink w:anchor="_Toc2957871" w:history="1">
            <w:r w:rsidR="005F5DA1" w:rsidRPr="002D7C10">
              <w:rPr>
                <w:rStyle w:val="Hyperlink"/>
                <w:b/>
                <w:noProof/>
              </w:rPr>
              <w:t>2. 2 Deadlines</w:t>
            </w:r>
            <w:r w:rsidR="005F5DA1">
              <w:rPr>
                <w:noProof/>
                <w:webHidden/>
              </w:rPr>
              <w:tab/>
            </w:r>
            <w:r w:rsidR="005F5DA1">
              <w:rPr>
                <w:noProof/>
                <w:webHidden/>
              </w:rPr>
              <w:fldChar w:fldCharType="begin"/>
            </w:r>
            <w:r w:rsidR="005F5DA1">
              <w:rPr>
                <w:noProof/>
                <w:webHidden/>
              </w:rPr>
              <w:instrText xml:space="preserve"> PAGEREF _Toc2957871 \h </w:instrText>
            </w:r>
            <w:r w:rsidR="005F5DA1">
              <w:rPr>
                <w:noProof/>
                <w:webHidden/>
              </w:rPr>
            </w:r>
            <w:r w:rsidR="005F5DA1">
              <w:rPr>
                <w:noProof/>
                <w:webHidden/>
              </w:rPr>
              <w:fldChar w:fldCharType="separate"/>
            </w:r>
            <w:r w:rsidR="005F5DA1">
              <w:rPr>
                <w:noProof/>
                <w:webHidden/>
              </w:rPr>
              <w:t>4</w:t>
            </w:r>
            <w:r w:rsidR="005F5DA1">
              <w:rPr>
                <w:noProof/>
                <w:webHidden/>
              </w:rPr>
              <w:fldChar w:fldCharType="end"/>
            </w:r>
          </w:hyperlink>
        </w:p>
        <w:p w14:paraId="7769A2BF" w14:textId="77777777" w:rsidR="005F5DA1" w:rsidRDefault="00070462">
          <w:pPr>
            <w:pStyle w:val="TOC1"/>
            <w:tabs>
              <w:tab w:val="right" w:leader="dot" w:pos="10456"/>
            </w:tabs>
            <w:rPr>
              <w:rFonts w:eastAsiaTheme="minorEastAsia"/>
              <w:noProof/>
              <w:lang w:eastAsia="en-GB"/>
            </w:rPr>
          </w:pPr>
          <w:hyperlink w:anchor="_Toc2957872" w:history="1">
            <w:r w:rsidR="005F5DA1" w:rsidRPr="002D7C10">
              <w:rPr>
                <w:rStyle w:val="Hyperlink"/>
                <w:b/>
                <w:noProof/>
              </w:rPr>
              <w:t>3.  Processing applications</w:t>
            </w:r>
            <w:r w:rsidR="005F5DA1">
              <w:rPr>
                <w:noProof/>
                <w:webHidden/>
              </w:rPr>
              <w:tab/>
            </w:r>
            <w:r w:rsidR="005F5DA1">
              <w:rPr>
                <w:noProof/>
                <w:webHidden/>
              </w:rPr>
              <w:fldChar w:fldCharType="begin"/>
            </w:r>
            <w:r w:rsidR="005F5DA1">
              <w:rPr>
                <w:noProof/>
                <w:webHidden/>
              </w:rPr>
              <w:instrText xml:space="preserve"> PAGEREF _Toc2957872 \h </w:instrText>
            </w:r>
            <w:r w:rsidR="005F5DA1">
              <w:rPr>
                <w:noProof/>
                <w:webHidden/>
              </w:rPr>
            </w:r>
            <w:r w:rsidR="005F5DA1">
              <w:rPr>
                <w:noProof/>
                <w:webHidden/>
              </w:rPr>
              <w:fldChar w:fldCharType="separate"/>
            </w:r>
            <w:r w:rsidR="005F5DA1">
              <w:rPr>
                <w:noProof/>
                <w:webHidden/>
              </w:rPr>
              <w:t>4</w:t>
            </w:r>
            <w:r w:rsidR="005F5DA1">
              <w:rPr>
                <w:noProof/>
                <w:webHidden/>
              </w:rPr>
              <w:fldChar w:fldCharType="end"/>
            </w:r>
          </w:hyperlink>
        </w:p>
        <w:p w14:paraId="2A9560CA" w14:textId="77777777" w:rsidR="005F5DA1" w:rsidRDefault="00070462">
          <w:pPr>
            <w:pStyle w:val="TOC2"/>
            <w:tabs>
              <w:tab w:val="right" w:leader="dot" w:pos="10456"/>
            </w:tabs>
            <w:rPr>
              <w:rFonts w:eastAsiaTheme="minorEastAsia"/>
              <w:noProof/>
              <w:lang w:eastAsia="en-GB"/>
            </w:rPr>
          </w:pPr>
          <w:hyperlink w:anchor="_Toc2957873" w:history="1">
            <w:r w:rsidR="005F5DA1" w:rsidRPr="002D7C10">
              <w:rPr>
                <w:rStyle w:val="Hyperlink"/>
                <w:b/>
                <w:noProof/>
              </w:rPr>
              <w:t>Global Mobility Team:</w:t>
            </w:r>
            <w:r w:rsidR="005F5DA1">
              <w:rPr>
                <w:noProof/>
                <w:webHidden/>
              </w:rPr>
              <w:tab/>
            </w:r>
            <w:r w:rsidR="005F5DA1">
              <w:rPr>
                <w:noProof/>
                <w:webHidden/>
              </w:rPr>
              <w:fldChar w:fldCharType="begin"/>
            </w:r>
            <w:r w:rsidR="005F5DA1">
              <w:rPr>
                <w:noProof/>
                <w:webHidden/>
              </w:rPr>
              <w:instrText xml:space="preserve"> PAGEREF _Toc2957873 \h </w:instrText>
            </w:r>
            <w:r w:rsidR="005F5DA1">
              <w:rPr>
                <w:noProof/>
                <w:webHidden/>
              </w:rPr>
            </w:r>
            <w:r w:rsidR="005F5DA1">
              <w:rPr>
                <w:noProof/>
                <w:webHidden/>
              </w:rPr>
              <w:fldChar w:fldCharType="separate"/>
            </w:r>
            <w:r w:rsidR="005F5DA1">
              <w:rPr>
                <w:noProof/>
                <w:webHidden/>
              </w:rPr>
              <w:t>4</w:t>
            </w:r>
            <w:r w:rsidR="005F5DA1">
              <w:rPr>
                <w:noProof/>
                <w:webHidden/>
              </w:rPr>
              <w:fldChar w:fldCharType="end"/>
            </w:r>
          </w:hyperlink>
        </w:p>
        <w:p w14:paraId="3FAEF256" w14:textId="77777777" w:rsidR="005F5DA1" w:rsidRDefault="00070462">
          <w:pPr>
            <w:pStyle w:val="TOC2"/>
            <w:tabs>
              <w:tab w:val="right" w:leader="dot" w:pos="10456"/>
            </w:tabs>
            <w:rPr>
              <w:rFonts w:eastAsiaTheme="minorEastAsia"/>
              <w:noProof/>
              <w:lang w:eastAsia="en-GB"/>
            </w:rPr>
          </w:pPr>
          <w:hyperlink w:anchor="_Toc2957874" w:history="1">
            <w:r w:rsidR="005F5DA1" w:rsidRPr="002D7C10">
              <w:rPr>
                <w:rStyle w:val="Hyperlink"/>
                <w:b/>
                <w:noProof/>
              </w:rPr>
              <w:t>Schools &amp; School Support Service:</w:t>
            </w:r>
            <w:r w:rsidR="005F5DA1">
              <w:rPr>
                <w:noProof/>
                <w:webHidden/>
              </w:rPr>
              <w:tab/>
            </w:r>
            <w:r w:rsidR="005F5DA1">
              <w:rPr>
                <w:noProof/>
                <w:webHidden/>
              </w:rPr>
              <w:fldChar w:fldCharType="begin"/>
            </w:r>
            <w:r w:rsidR="005F5DA1">
              <w:rPr>
                <w:noProof/>
                <w:webHidden/>
              </w:rPr>
              <w:instrText xml:space="preserve"> PAGEREF _Toc2957874 \h </w:instrText>
            </w:r>
            <w:r w:rsidR="005F5DA1">
              <w:rPr>
                <w:noProof/>
                <w:webHidden/>
              </w:rPr>
            </w:r>
            <w:r w:rsidR="005F5DA1">
              <w:rPr>
                <w:noProof/>
                <w:webHidden/>
              </w:rPr>
              <w:fldChar w:fldCharType="separate"/>
            </w:r>
            <w:r w:rsidR="005F5DA1">
              <w:rPr>
                <w:noProof/>
                <w:webHidden/>
              </w:rPr>
              <w:t>4</w:t>
            </w:r>
            <w:r w:rsidR="005F5DA1">
              <w:rPr>
                <w:noProof/>
                <w:webHidden/>
              </w:rPr>
              <w:fldChar w:fldCharType="end"/>
            </w:r>
          </w:hyperlink>
        </w:p>
        <w:p w14:paraId="359395A0" w14:textId="77777777" w:rsidR="005F5DA1" w:rsidRDefault="00070462">
          <w:pPr>
            <w:pStyle w:val="TOC2"/>
            <w:tabs>
              <w:tab w:val="right" w:leader="dot" w:pos="10456"/>
            </w:tabs>
            <w:rPr>
              <w:rFonts w:eastAsiaTheme="minorEastAsia"/>
              <w:noProof/>
              <w:lang w:eastAsia="en-GB"/>
            </w:rPr>
          </w:pPr>
          <w:hyperlink w:anchor="_Toc2957875" w:history="1">
            <w:r w:rsidR="005F5DA1" w:rsidRPr="002D7C10">
              <w:rPr>
                <w:rStyle w:val="Hyperlink"/>
                <w:b/>
                <w:noProof/>
              </w:rPr>
              <w:t>The Admissions Team &amp; Visa &amp; International Support:</w:t>
            </w:r>
            <w:r w:rsidR="005F5DA1">
              <w:rPr>
                <w:noProof/>
                <w:webHidden/>
              </w:rPr>
              <w:tab/>
            </w:r>
            <w:r w:rsidR="005F5DA1">
              <w:rPr>
                <w:noProof/>
                <w:webHidden/>
              </w:rPr>
              <w:fldChar w:fldCharType="begin"/>
            </w:r>
            <w:r w:rsidR="005F5DA1">
              <w:rPr>
                <w:noProof/>
                <w:webHidden/>
              </w:rPr>
              <w:instrText xml:space="preserve"> PAGEREF _Toc2957875 \h </w:instrText>
            </w:r>
            <w:r w:rsidR="005F5DA1">
              <w:rPr>
                <w:noProof/>
                <w:webHidden/>
              </w:rPr>
            </w:r>
            <w:r w:rsidR="005F5DA1">
              <w:rPr>
                <w:noProof/>
                <w:webHidden/>
              </w:rPr>
              <w:fldChar w:fldCharType="separate"/>
            </w:r>
            <w:r w:rsidR="005F5DA1">
              <w:rPr>
                <w:noProof/>
                <w:webHidden/>
              </w:rPr>
              <w:t>5</w:t>
            </w:r>
            <w:r w:rsidR="005F5DA1">
              <w:rPr>
                <w:noProof/>
                <w:webHidden/>
              </w:rPr>
              <w:fldChar w:fldCharType="end"/>
            </w:r>
          </w:hyperlink>
        </w:p>
        <w:p w14:paraId="79DFE06E" w14:textId="77777777" w:rsidR="005F5DA1" w:rsidRDefault="00070462">
          <w:pPr>
            <w:pStyle w:val="TOC1"/>
            <w:tabs>
              <w:tab w:val="right" w:leader="dot" w:pos="10456"/>
            </w:tabs>
            <w:rPr>
              <w:rFonts w:eastAsiaTheme="minorEastAsia"/>
              <w:noProof/>
              <w:lang w:eastAsia="en-GB"/>
            </w:rPr>
          </w:pPr>
          <w:hyperlink w:anchor="_Toc2957876" w:history="1">
            <w:r w:rsidR="005F5DA1" w:rsidRPr="002D7C10">
              <w:rPr>
                <w:rStyle w:val="Hyperlink"/>
                <w:b/>
                <w:noProof/>
              </w:rPr>
              <w:t>4.  Post application cycle</w:t>
            </w:r>
            <w:r w:rsidR="005F5DA1">
              <w:rPr>
                <w:noProof/>
                <w:webHidden/>
              </w:rPr>
              <w:tab/>
            </w:r>
            <w:r w:rsidR="005F5DA1">
              <w:rPr>
                <w:noProof/>
                <w:webHidden/>
              </w:rPr>
              <w:fldChar w:fldCharType="begin"/>
            </w:r>
            <w:r w:rsidR="005F5DA1">
              <w:rPr>
                <w:noProof/>
                <w:webHidden/>
              </w:rPr>
              <w:instrText xml:space="preserve"> PAGEREF _Toc2957876 \h </w:instrText>
            </w:r>
            <w:r w:rsidR="005F5DA1">
              <w:rPr>
                <w:noProof/>
                <w:webHidden/>
              </w:rPr>
            </w:r>
            <w:r w:rsidR="005F5DA1">
              <w:rPr>
                <w:noProof/>
                <w:webHidden/>
              </w:rPr>
              <w:fldChar w:fldCharType="separate"/>
            </w:r>
            <w:r w:rsidR="005F5DA1">
              <w:rPr>
                <w:noProof/>
                <w:webHidden/>
              </w:rPr>
              <w:t>5</w:t>
            </w:r>
            <w:r w:rsidR="005F5DA1">
              <w:rPr>
                <w:noProof/>
                <w:webHidden/>
              </w:rPr>
              <w:fldChar w:fldCharType="end"/>
            </w:r>
          </w:hyperlink>
        </w:p>
        <w:p w14:paraId="1CB1DCD7" w14:textId="77777777" w:rsidR="005F5DA1" w:rsidRDefault="00070462">
          <w:pPr>
            <w:pStyle w:val="TOC2"/>
            <w:tabs>
              <w:tab w:val="right" w:leader="dot" w:pos="10456"/>
            </w:tabs>
            <w:rPr>
              <w:rFonts w:eastAsiaTheme="minorEastAsia"/>
              <w:noProof/>
              <w:lang w:eastAsia="en-GB"/>
            </w:rPr>
          </w:pPr>
          <w:hyperlink w:anchor="_Toc2957877" w:history="1">
            <w:r w:rsidR="005F5DA1" w:rsidRPr="002D7C10">
              <w:rPr>
                <w:rStyle w:val="Hyperlink"/>
                <w:b/>
                <w:noProof/>
              </w:rPr>
              <w:t>Global Mobility Team:</w:t>
            </w:r>
            <w:r w:rsidR="005F5DA1">
              <w:rPr>
                <w:noProof/>
                <w:webHidden/>
              </w:rPr>
              <w:tab/>
            </w:r>
            <w:r w:rsidR="005F5DA1">
              <w:rPr>
                <w:noProof/>
                <w:webHidden/>
              </w:rPr>
              <w:fldChar w:fldCharType="begin"/>
            </w:r>
            <w:r w:rsidR="005F5DA1">
              <w:rPr>
                <w:noProof/>
                <w:webHidden/>
              </w:rPr>
              <w:instrText xml:space="preserve"> PAGEREF _Toc2957877 \h </w:instrText>
            </w:r>
            <w:r w:rsidR="005F5DA1">
              <w:rPr>
                <w:noProof/>
                <w:webHidden/>
              </w:rPr>
            </w:r>
            <w:r w:rsidR="005F5DA1">
              <w:rPr>
                <w:noProof/>
                <w:webHidden/>
              </w:rPr>
              <w:fldChar w:fldCharType="separate"/>
            </w:r>
            <w:r w:rsidR="005F5DA1">
              <w:rPr>
                <w:noProof/>
                <w:webHidden/>
              </w:rPr>
              <w:t>5</w:t>
            </w:r>
            <w:r w:rsidR="005F5DA1">
              <w:rPr>
                <w:noProof/>
                <w:webHidden/>
              </w:rPr>
              <w:fldChar w:fldCharType="end"/>
            </w:r>
          </w:hyperlink>
        </w:p>
        <w:p w14:paraId="6E71E7C3" w14:textId="77777777" w:rsidR="005F5DA1" w:rsidRDefault="00070462">
          <w:pPr>
            <w:pStyle w:val="TOC2"/>
            <w:tabs>
              <w:tab w:val="right" w:leader="dot" w:pos="10456"/>
            </w:tabs>
            <w:rPr>
              <w:rFonts w:eastAsiaTheme="minorEastAsia"/>
              <w:noProof/>
              <w:lang w:eastAsia="en-GB"/>
            </w:rPr>
          </w:pPr>
          <w:hyperlink w:anchor="_Toc2957878" w:history="1">
            <w:r w:rsidR="005F5DA1" w:rsidRPr="002D7C10">
              <w:rPr>
                <w:rStyle w:val="Hyperlink"/>
                <w:b/>
                <w:noProof/>
              </w:rPr>
              <w:t>Schools &amp; School Support Service:</w:t>
            </w:r>
            <w:r w:rsidR="005F5DA1">
              <w:rPr>
                <w:noProof/>
                <w:webHidden/>
              </w:rPr>
              <w:tab/>
            </w:r>
            <w:r w:rsidR="005F5DA1">
              <w:rPr>
                <w:noProof/>
                <w:webHidden/>
              </w:rPr>
              <w:fldChar w:fldCharType="begin"/>
            </w:r>
            <w:r w:rsidR="005F5DA1">
              <w:rPr>
                <w:noProof/>
                <w:webHidden/>
              </w:rPr>
              <w:instrText xml:space="preserve"> PAGEREF _Toc2957878 \h </w:instrText>
            </w:r>
            <w:r w:rsidR="005F5DA1">
              <w:rPr>
                <w:noProof/>
                <w:webHidden/>
              </w:rPr>
            </w:r>
            <w:r w:rsidR="005F5DA1">
              <w:rPr>
                <w:noProof/>
                <w:webHidden/>
              </w:rPr>
              <w:fldChar w:fldCharType="separate"/>
            </w:r>
            <w:r w:rsidR="005F5DA1">
              <w:rPr>
                <w:noProof/>
                <w:webHidden/>
              </w:rPr>
              <w:t>5</w:t>
            </w:r>
            <w:r w:rsidR="005F5DA1">
              <w:rPr>
                <w:noProof/>
                <w:webHidden/>
              </w:rPr>
              <w:fldChar w:fldCharType="end"/>
            </w:r>
          </w:hyperlink>
        </w:p>
        <w:p w14:paraId="22D524DE" w14:textId="77777777" w:rsidR="000F1178" w:rsidRDefault="000F1178">
          <w:r>
            <w:rPr>
              <w:b/>
              <w:bCs/>
              <w:noProof/>
            </w:rPr>
            <w:fldChar w:fldCharType="end"/>
          </w:r>
        </w:p>
      </w:sdtContent>
    </w:sdt>
    <w:p w14:paraId="65F42A65" w14:textId="77777777" w:rsidR="000F1178" w:rsidRDefault="000F1178">
      <w:pPr>
        <w:rPr>
          <w:rFonts w:ascii="Arial" w:hAnsi="Arial" w:cs="Arial"/>
          <w:sz w:val="23"/>
          <w:szCs w:val="23"/>
        </w:rPr>
      </w:pPr>
      <w:r>
        <w:rPr>
          <w:rFonts w:ascii="Arial" w:hAnsi="Arial" w:cs="Arial"/>
          <w:sz w:val="23"/>
          <w:szCs w:val="23"/>
        </w:rPr>
        <w:br w:type="page"/>
      </w:r>
    </w:p>
    <w:p w14:paraId="630B450C" w14:textId="77777777" w:rsidR="00CF0354" w:rsidRPr="008F578B" w:rsidRDefault="00CF0354" w:rsidP="00CF0354">
      <w:pPr>
        <w:pStyle w:val="NoSpacing"/>
        <w:rPr>
          <w:rFonts w:ascii="Arial" w:hAnsi="Arial" w:cs="Arial"/>
          <w:sz w:val="23"/>
          <w:szCs w:val="23"/>
        </w:rPr>
      </w:pPr>
    </w:p>
    <w:p w14:paraId="4264CDD4" w14:textId="77777777" w:rsidR="00CF0354" w:rsidRPr="00CF0354" w:rsidRDefault="00CF0354" w:rsidP="00CF0354">
      <w:pPr>
        <w:pStyle w:val="Heading1"/>
        <w:rPr>
          <w:b/>
          <w:color w:val="000000" w:themeColor="text1"/>
        </w:rPr>
      </w:pPr>
      <w:bookmarkStart w:id="0" w:name="_Toc2957868"/>
      <w:r w:rsidRPr="00CF0354">
        <w:rPr>
          <w:b/>
          <w:color w:val="000000" w:themeColor="text1"/>
        </w:rPr>
        <w:t>1. Overview, Purpose, Scope</w:t>
      </w:r>
      <w:r>
        <w:rPr>
          <w:b/>
          <w:color w:val="000000" w:themeColor="text1"/>
        </w:rPr>
        <w:t>, Approval</w:t>
      </w:r>
      <w:bookmarkEnd w:id="0"/>
    </w:p>
    <w:p w14:paraId="30390A25" w14:textId="77777777" w:rsidR="00CF0354" w:rsidRPr="008F578B" w:rsidRDefault="00CF0354" w:rsidP="00CF0354">
      <w:pPr>
        <w:pStyle w:val="NoSpacing"/>
        <w:rPr>
          <w:rFonts w:ascii="Arial" w:hAnsi="Arial" w:cs="Arial"/>
          <w:sz w:val="23"/>
          <w:szCs w:val="23"/>
        </w:rPr>
      </w:pP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10314"/>
      </w:tblGrid>
      <w:tr w:rsidR="00CF0354" w:rsidRPr="008F578B" w14:paraId="40D46309" w14:textId="77777777" w:rsidTr="00CF0354">
        <w:trPr>
          <w:trHeight w:val="795"/>
        </w:trPr>
        <w:tc>
          <w:tcPr>
            <w:tcW w:w="10314" w:type="dxa"/>
          </w:tcPr>
          <w:p w14:paraId="1746F5E6"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 xml:space="preserve">1.1 In line with the University’s Strategy 2020 to internationalise our work, the University seeks to provide opportunities for both outgoing and incoming students to undertake a period of study overseas. This policy outlines the administrative process required to support the admission of Visiting Students (VS). Visiting Students are non-graduating students who study at the University for typically either one or two trimesters.    </w:t>
            </w:r>
          </w:p>
          <w:p w14:paraId="185444D6" w14:textId="77777777" w:rsidR="00CF0354" w:rsidRPr="008F578B" w:rsidRDefault="00CF0354" w:rsidP="00732A90">
            <w:pPr>
              <w:pStyle w:val="NoSpacing"/>
              <w:rPr>
                <w:rFonts w:ascii="Arial" w:hAnsi="Arial" w:cs="Arial"/>
                <w:sz w:val="23"/>
                <w:szCs w:val="23"/>
              </w:rPr>
            </w:pPr>
          </w:p>
          <w:p w14:paraId="73E175C5"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1.2 There are four categories of Visiting</w:t>
            </w:r>
            <w:r w:rsidRPr="008F578B">
              <w:rPr>
                <w:rFonts w:ascii="Arial" w:hAnsi="Arial" w:cs="Arial"/>
                <w:spacing w:val="-3"/>
                <w:sz w:val="23"/>
                <w:szCs w:val="23"/>
              </w:rPr>
              <w:t xml:space="preserve"> </w:t>
            </w:r>
            <w:r w:rsidRPr="008F578B">
              <w:rPr>
                <w:rFonts w:ascii="Arial" w:hAnsi="Arial" w:cs="Arial"/>
                <w:sz w:val="23"/>
                <w:szCs w:val="23"/>
              </w:rPr>
              <w:t>Students:</w:t>
            </w:r>
          </w:p>
          <w:p w14:paraId="2B6FF0F7" w14:textId="77777777" w:rsidR="00CF0354" w:rsidRPr="008F578B" w:rsidRDefault="00CF0354" w:rsidP="00CF0354">
            <w:pPr>
              <w:pStyle w:val="NoSpacing"/>
              <w:numPr>
                <w:ilvl w:val="0"/>
                <w:numId w:val="1"/>
              </w:numPr>
              <w:rPr>
                <w:rFonts w:ascii="Arial" w:eastAsia="Times New Roman" w:hAnsi="Arial" w:cs="Arial"/>
                <w:color w:val="333333"/>
                <w:sz w:val="23"/>
                <w:szCs w:val="23"/>
                <w:lang w:val="en" w:eastAsia="en-GB"/>
              </w:rPr>
            </w:pPr>
            <w:r w:rsidRPr="008F578B">
              <w:rPr>
                <w:rFonts w:ascii="Arial" w:eastAsia="Times New Roman" w:hAnsi="Arial" w:cs="Arial"/>
                <w:color w:val="333333"/>
                <w:sz w:val="23"/>
                <w:szCs w:val="23"/>
                <w:lang w:val="en" w:eastAsia="en-GB"/>
              </w:rPr>
              <w:t>Study Abroad (via a provider with whom ENU has a contractual agreement)</w:t>
            </w:r>
          </w:p>
          <w:p w14:paraId="007C0AE0" w14:textId="77777777" w:rsidR="00CF0354" w:rsidRPr="008F578B" w:rsidRDefault="00CF0354" w:rsidP="00CF0354">
            <w:pPr>
              <w:pStyle w:val="NoSpacing"/>
              <w:numPr>
                <w:ilvl w:val="0"/>
                <w:numId w:val="1"/>
              </w:numPr>
              <w:rPr>
                <w:rFonts w:ascii="Arial" w:eastAsia="Times New Roman" w:hAnsi="Arial" w:cs="Arial"/>
                <w:color w:val="333333"/>
                <w:sz w:val="23"/>
                <w:szCs w:val="23"/>
                <w:lang w:val="en" w:eastAsia="en-GB"/>
              </w:rPr>
            </w:pPr>
            <w:r w:rsidRPr="008F578B">
              <w:rPr>
                <w:rFonts w:ascii="Arial" w:eastAsia="Times New Roman" w:hAnsi="Arial" w:cs="Arial"/>
                <w:color w:val="333333"/>
                <w:sz w:val="23"/>
                <w:szCs w:val="23"/>
                <w:lang w:val="en" w:eastAsia="en-GB"/>
              </w:rPr>
              <w:t>Overseas Exchange (Primarily Non EU)</w:t>
            </w:r>
          </w:p>
          <w:p w14:paraId="31B9F05E" w14:textId="77777777" w:rsidR="00CF0354" w:rsidRPr="008F578B" w:rsidRDefault="00CF0354" w:rsidP="00CF0354">
            <w:pPr>
              <w:pStyle w:val="NoSpacing"/>
              <w:numPr>
                <w:ilvl w:val="0"/>
                <w:numId w:val="1"/>
              </w:numPr>
              <w:rPr>
                <w:rFonts w:ascii="Arial" w:eastAsia="Times New Roman" w:hAnsi="Arial" w:cs="Arial"/>
                <w:color w:val="333333"/>
                <w:sz w:val="23"/>
                <w:szCs w:val="23"/>
                <w:lang w:val="en" w:eastAsia="en-GB"/>
              </w:rPr>
            </w:pPr>
            <w:r w:rsidRPr="008F578B">
              <w:rPr>
                <w:rFonts w:ascii="Arial" w:eastAsia="Times New Roman" w:hAnsi="Arial" w:cs="Arial"/>
                <w:color w:val="333333"/>
                <w:sz w:val="23"/>
                <w:szCs w:val="23"/>
                <w:lang w:val="en" w:eastAsia="en-GB"/>
              </w:rPr>
              <w:t>Erasmus Exchange (Primarily EU)</w:t>
            </w:r>
          </w:p>
          <w:p w14:paraId="45471A72" w14:textId="77777777" w:rsidR="00CF0354" w:rsidRPr="008F578B" w:rsidRDefault="00CF0354" w:rsidP="00CF0354">
            <w:pPr>
              <w:pStyle w:val="NoSpacing"/>
              <w:numPr>
                <w:ilvl w:val="0"/>
                <w:numId w:val="1"/>
              </w:numPr>
              <w:rPr>
                <w:rFonts w:ascii="Arial" w:eastAsia="Times New Roman" w:hAnsi="Arial" w:cs="Arial"/>
                <w:color w:val="333333"/>
                <w:sz w:val="23"/>
                <w:szCs w:val="23"/>
                <w:lang w:val="en" w:eastAsia="en-GB"/>
              </w:rPr>
            </w:pPr>
            <w:r w:rsidRPr="008F578B">
              <w:rPr>
                <w:rFonts w:ascii="Arial" w:eastAsia="Times New Roman" w:hAnsi="Arial" w:cs="Arial"/>
                <w:color w:val="333333"/>
                <w:sz w:val="23"/>
                <w:szCs w:val="23"/>
                <w:lang w:val="en" w:eastAsia="en-GB"/>
              </w:rPr>
              <w:t xml:space="preserve">Free movers – ENU does not have a formal agreement with these students’ home universities. </w:t>
            </w:r>
          </w:p>
          <w:p w14:paraId="53CE53A7" w14:textId="77777777" w:rsidR="00CF0354" w:rsidRPr="008F578B" w:rsidRDefault="00CF0354" w:rsidP="00732A90">
            <w:pPr>
              <w:pStyle w:val="NoSpacing"/>
              <w:rPr>
                <w:rFonts w:ascii="Arial" w:hAnsi="Arial" w:cs="Arial"/>
                <w:color w:val="000000"/>
                <w:sz w:val="23"/>
                <w:szCs w:val="23"/>
              </w:rPr>
            </w:pPr>
          </w:p>
          <w:p w14:paraId="2D6C13B9"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1.3 This policy sets out how VS applications are managed and administered by the University, thereby providing consistency and enhancing the overall VS experience.</w:t>
            </w:r>
            <w:r w:rsidR="000F1178">
              <w:rPr>
                <w:rFonts w:ascii="Arial" w:hAnsi="Arial" w:cs="Arial"/>
                <w:sz w:val="23"/>
                <w:szCs w:val="23"/>
              </w:rPr>
              <w:t xml:space="preserve">  This policy has been signed off by the Institutional Mobility Forum. </w:t>
            </w:r>
          </w:p>
          <w:p w14:paraId="263D62D2" w14:textId="77777777" w:rsidR="00CF0354" w:rsidRPr="008F578B" w:rsidRDefault="00CF0354" w:rsidP="00732A90">
            <w:pPr>
              <w:pStyle w:val="NoSpacing"/>
              <w:rPr>
                <w:rFonts w:ascii="Arial" w:hAnsi="Arial" w:cs="Arial"/>
                <w:sz w:val="23"/>
                <w:szCs w:val="23"/>
              </w:rPr>
            </w:pPr>
          </w:p>
          <w:p w14:paraId="1C04D820"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1.4 The following areas of the University have responsibilities in administering this policy::</w:t>
            </w:r>
          </w:p>
          <w:p w14:paraId="00E40232" w14:textId="77777777" w:rsidR="00CF0354" w:rsidRPr="008F578B" w:rsidRDefault="00CF0354" w:rsidP="00732A90">
            <w:pPr>
              <w:pStyle w:val="NoSpacing"/>
              <w:rPr>
                <w:rFonts w:ascii="Arial" w:hAnsi="Arial" w:cs="Arial"/>
                <w:sz w:val="23"/>
                <w:szCs w:val="23"/>
              </w:rPr>
            </w:pPr>
          </w:p>
          <w:p w14:paraId="4634DEFA" w14:textId="77777777" w:rsidR="00CF0354" w:rsidRPr="008F578B" w:rsidRDefault="00CF0354" w:rsidP="00CF0354">
            <w:pPr>
              <w:pStyle w:val="NoSpacing"/>
              <w:numPr>
                <w:ilvl w:val="0"/>
                <w:numId w:val="2"/>
              </w:numPr>
              <w:rPr>
                <w:rFonts w:ascii="Arial" w:hAnsi="Arial" w:cs="Arial"/>
                <w:color w:val="000000"/>
                <w:sz w:val="23"/>
                <w:szCs w:val="23"/>
              </w:rPr>
            </w:pPr>
            <w:r w:rsidRPr="008F578B">
              <w:rPr>
                <w:rFonts w:ascii="Arial" w:hAnsi="Arial" w:cs="Arial"/>
                <w:color w:val="000000"/>
                <w:sz w:val="23"/>
                <w:szCs w:val="23"/>
              </w:rPr>
              <w:t xml:space="preserve">University Schools: </w:t>
            </w:r>
          </w:p>
          <w:p w14:paraId="755AFA1B" w14:textId="77777777" w:rsidR="00CF0354" w:rsidRPr="008F578B" w:rsidRDefault="00CF0354" w:rsidP="00CF0354">
            <w:pPr>
              <w:pStyle w:val="NoSpacing"/>
              <w:numPr>
                <w:ilvl w:val="0"/>
                <w:numId w:val="2"/>
              </w:numPr>
              <w:rPr>
                <w:rFonts w:ascii="Arial" w:hAnsi="Arial" w:cs="Arial"/>
                <w:color w:val="000000"/>
                <w:sz w:val="23"/>
                <w:szCs w:val="23"/>
              </w:rPr>
            </w:pPr>
            <w:r w:rsidRPr="008F578B">
              <w:rPr>
                <w:rFonts w:ascii="Arial" w:hAnsi="Arial" w:cs="Arial"/>
                <w:color w:val="000000"/>
                <w:sz w:val="23"/>
                <w:szCs w:val="23"/>
              </w:rPr>
              <w:t>School Support Service (S3)</w:t>
            </w:r>
          </w:p>
          <w:p w14:paraId="3E39C895" w14:textId="77777777" w:rsidR="00CF0354" w:rsidRPr="008F578B" w:rsidRDefault="00CF0354" w:rsidP="00CF0354">
            <w:pPr>
              <w:pStyle w:val="NoSpacing"/>
              <w:numPr>
                <w:ilvl w:val="0"/>
                <w:numId w:val="2"/>
              </w:numPr>
              <w:rPr>
                <w:rFonts w:ascii="Arial" w:hAnsi="Arial" w:cs="Arial"/>
                <w:color w:val="000000"/>
                <w:sz w:val="23"/>
                <w:szCs w:val="23"/>
              </w:rPr>
            </w:pPr>
            <w:r w:rsidRPr="008F578B">
              <w:rPr>
                <w:rFonts w:ascii="Arial" w:hAnsi="Arial" w:cs="Arial"/>
                <w:color w:val="000000"/>
                <w:sz w:val="23"/>
                <w:szCs w:val="23"/>
              </w:rPr>
              <w:t>International Student Recruitment (ISR)</w:t>
            </w:r>
          </w:p>
          <w:p w14:paraId="49D0CFD3" w14:textId="77777777" w:rsidR="00CF0354" w:rsidRPr="008F578B" w:rsidRDefault="00CF0354" w:rsidP="00CF0354">
            <w:pPr>
              <w:pStyle w:val="NoSpacing"/>
              <w:numPr>
                <w:ilvl w:val="0"/>
                <w:numId w:val="2"/>
              </w:numPr>
              <w:rPr>
                <w:rFonts w:ascii="Arial" w:hAnsi="Arial" w:cs="Arial"/>
                <w:color w:val="000000"/>
                <w:sz w:val="23"/>
                <w:szCs w:val="23"/>
              </w:rPr>
            </w:pPr>
            <w:r w:rsidRPr="008F578B">
              <w:rPr>
                <w:rFonts w:ascii="Arial" w:hAnsi="Arial" w:cs="Arial"/>
                <w:color w:val="000000"/>
                <w:sz w:val="23"/>
                <w:szCs w:val="23"/>
              </w:rPr>
              <w:t>Global Mobility Team (GMT)</w:t>
            </w:r>
          </w:p>
          <w:p w14:paraId="6AC1A75E" w14:textId="77777777" w:rsidR="00CF0354" w:rsidRPr="008F578B" w:rsidRDefault="00CF0354" w:rsidP="00CF0354">
            <w:pPr>
              <w:pStyle w:val="NoSpacing"/>
              <w:numPr>
                <w:ilvl w:val="0"/>
                <w:numId w:val="2"/>
              </w:numPr>
              <w:rPr>
                <w:rFonts w:ascii="Arial" w:hAnsi="Arial" w:cs="Arial"/>
                <w:color w:val="000000"/>
                <w:sz w:val="23"/>
                <w:szCs w:val="23"/>
              </w:rPr>
            </w:pPr>
            <w:r w:rsidRPr="008F578B">
              <w:rPr>
                <w:rFonts w:ascii="Arial" w:hAnsi="Arial" w:cs="Arial"/>
                <w:color w:val="000000"/>
                <w:sz w:val="23"/>
                <w:szCs w:val="23"/>
              </w:rPr>
              <w:t>Admissions</w:t>
            </w:r>
          </w:p>
          <w:p w14:paraId="223EB98F" w14:textId="77777777" w:rsidR="00CF0354" w:rsidRPr="008F578B" w:rsidRDefault="00CF0354" w:rsidP="00CF0354">
            <w:pPr>
              <w:pStyle w:val="NoSpacing"/>
              <w:numPr>
                <w:ilvl w:val="0"/>
                <w:numId w:val="2"/>
              </w:numPr>
              <w:rPr>
                <w:rFonts w:ascii="Arial" w:hAnsi="Arial" w:cs="Arial"/>
                <w:color w:val="000000"/>
                <w:sz w:val="23"/>
                <w:szCs w:val="23"/>
              </w:rPr>
            </w:pPr>
            <w:r w:rsidRPr="008F578B">
              <w:rPr>
                <w:rFonts w:ascii="Arial" w:hAnsi="Arial" w:cs="Arial"/>
                <w:color w:val="000000"/>
                <w:sz w:val="23"/>
                <w:szCs w:val="23"/>
              </w:rPr>
              <w:t>Information Services</w:t>
            </w:r>
          </w:p>
          <w:p w14:paraId="5B6178D1" w14:textId="77777777" w:rsidR="00CF0354" w:rsidRPr="008F578B" w:rsidRDefault="00CF0354" w:rsidP="00CF0354">
            <w:pPr>
              <w:pStyle w:val="NoSpacing"/>
              <w:numPr>
                <w:ilvl w:val="0"/>
                <w:numId w:val="2"/>
              </w:numPr>
              <w:rPr>
                <w:rFonts w:ascii="Arial" w:hAnsi="Arial" w:cs="Arial"/>
                <w:color w:val="000000"/>
                <w:sz w:val="23"/>
                <w:szCs w:val="23"/>
              </w:rPr>
            </w:pPr>
            <w:r w:rsidRPr="008F578B">
              <w:rPr>
                <w:rFonts w:ascii="Arial" w:hAnsi="Arial" w:cs="Arial"/>
                <w:color w:val="000000"/>
                <w:sz w:val="23"/>
                <w:szCs w:val="23"/>
              </w:rPr>
              <w:t>Student Systems</w:t>
            </w:r>
          </w:p>
          <w:p w14:paraId="4564C9E9" w14:textId="77777777" w:rsidR="00CF0354" w:rsidRPr="008F578B" w:rsidRDefault="00CF0354" w:rsidP="00732A90">
            <w:pPr>
              <w:pStyle w:val="NoSpacing"/>
              <w:rPr>
                <w:rFonts w:ascii="Arial" w:hAnsi="Arial" w:cs="Arial"/>
                <w:color w:val="000000"/>
                <w:sz w:val="23"/>
                <w:szCs w:val="23"/>
              </w:rPr>
            </w:pPr>
          </w:p>
          <w:p w14:paraId="46A2BD45" w14:textId="77777777" w:rsidR="00CF0354" w:rsidRPr="00CF0354" w:rsidRDefault="00CF0354" w:rsidP="00CF0354">
            <w:pPr>
              <w:pStyle w:val="Heading1"/>
              <w:rPr>
                <w:b/>
                <w:color w:val="000000" w:themeColor="text1"/>
              </w:rPr>
            </w:pPr>
            <w:bookmarkStart w:id="1" w:name="_Toc2957869"/>
            <w:r w:rsidRPr="00CF0354">
              <w:rPr>
                <w:b/>
                <w:color w:val="000000" w:themeColor="text1"/>
              </w:rPr>
              <w:t>2.  Pre a</w:t>
            </w:r>
            <w:r w:rsidR="00C959C8">
              <w:rPr>
                <w:b/>
                <w:color w:val="000000" w:themeColor="text1"/>
              </w:rPr>
              <w:t>pplication cycle</w:t>
            </w:r>
            <w:bookmarkEnd w:id="1"/>
          </w:p>
          <w:p w14:paraId="6C43E0CC" w14:textId="77777777" w:rsidR="00CF0354" w:rsidRPr="008F578B" w:rsidRDefault="00CF0354" w:rsidP="00732A90">
            <w:pPr>
              <w:pStyle w:val="NoSpacing"/>
              <w:rPr>
                <w:rFonts w:ascii="Arial" w:hAnsi="Arial" w:cs="Arial"/>
                <w:sz w:val="23"/>
                <w:szCs w:val="23"/>
              </w:rPr>
            </w:pPr>
          </w:p>
          <w:p w14:paraId="0313DF0F" w14:textId="77777777" w:rsidR="00CF0354" w:rsidRPr="00CF0354" w:rsidRDefault="00CF0354" w:rsidP="00CF0354">
            <w:pPr>
              <w:pStyle w:val="Heading2"/>
              <w:rPr>
                <w:b/>
              </w:rPr>
            </w:pPr>
            <w:bookmarkStart w:id="2" w:name="_Toc2957870"/>
            <w:r w:rsidRPr="00CF0354">
              <w:rPr>
                <w:b/>
                <w:color w:val="000000" w:themeColor="text1"/>
              </w:rPr>
              <w:t xml:space="preserve">2. 1 </w:t>
            </w:r>
            <w:r w:rsidR="00C959C8">
              <w:rPr>
                <w:b/>
                <w:color w:val="000000" w:themeColor="text1"/>
              </w:rPr>
              <w:t>Areas of responsibilities</w:t>
            </w:r>
            <w:bookmarkEnd w:id="2"/>
            <w:r w:rsidR="00C959C8">
              <w:rPr>
                <w:b/>
                <w:color w:val="000000" w:themeColor="text1"/>
              </w:rPr>
              <w:t xml:space="preserve"> </w:t>
            </w:r>
          </w:p>
          <w:p w14:paraId="2C60FA1F" w14:textId="77777777" w:rsidR="00CF0354" w:rsidRDefault="00CF0354" w:rsidP="00732A90">
            <w:pPr>
              <w:pStyle w:val="NoSpacing"/>
              <w:rPr>
                <w:rFonts w:ascii="Arial" w:hAnsi="Arial" w:cs="Arial"/>
                <w:sz w:val="23"/>
                <w:szCs w:val="23"/>
              </w:rPr>
            </w:pPr>
          </w:p>
          <w:p w14:paraId="1F684F88"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2.1.1 The final list of all the Schools</w:t>
            </w:r>
            <w:r w:rsidR="00C959C8">
              <w:rPr>
                <w:rFonts w:ascii="Arial" w:hAnsi="Arial" w:cs="Arial"/>
                <w:sz w:val="23"/>
                <w:szCs w:val="23"/>
              </w:rPr>
              <w:t xml:space="preserve"> specific modules for both Trimesters</w:t>
            </w:r>
            <w:r w:rsidRPr="008F578B">
              <w:rPr>
                <w:rFonts w:ascii="Arial" w:hAnsi="Arial" w:cs="Arial"/>
                <w:sz w:val="23"/>
                <w:szCs w:val="23"/>
              </w:rPr>
              <w:t xml:space="preserve"> is confirmed and approved </w:t>
            </w:r>
            <w:r w:rsidR="00C959C8">
              <w:rPr>
                <w:rFonts w:ascii="Arial" w:hAnsi="Arial" w:cs="Arial"/>
                <w:sz w:val="23"/>
                <w:szCs w:val="23"/>
              </w:rPr>
              <w:t xml:space="preserve">by the deadline given in the table below.  </w:t>
            </w:r>
          </w:p>
          <w:p w14:paraId="7FBFDDD5" w14:textId="77777777" w:rsidR="00CF0354" w:rsidRPr="008F578B" w:rsidRDefault="00CF0354" w:rsidP="00732A90">
            <w:pPr>
              <w:pStyle w:val="NoSpacing"/>
              <w:rPr>
                <w:rFonts w:ascii="Arial" w:hAnsi="Arial" w:cs="Arial"/>
                <w:sz w:val="23"/>
                <w:szCs w:val="23"/>
              </w:rPr>
            </w:pPr>
          </w:p>
          <w:p w14:paraId="7EAE34E1"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 xml:space="preserve">2.1.2 </w:t>
            </w:r>
            <w:r w:rsidR="00C959C8">
              <w:rPr>
                <w:rFonts w:ascii="Arial" w:hAnsi="Arial" w:cs="Arial"/>
                <w:sz w:val="23"/>
                <w:szCs w:val="23"/>
              </w:rPr>
              <w:t>T</w:t>
            </w:r>
            <w:r w:rsidRPr="008F578B">
              <w:rPr>
                <w:rFonts w:ascii="Arial" w:hAnsi="Arial" w:cs="Arial"/>
                <w:sz w:val="23"/>
                <w:szCs w:val="23"/>
              </w:rPr>
              <w:t xml:space="preserve">he </w:t>
            </w:r>
            <w:r w:rsidR="00C959C8">
              <w:rPr>
                <w:rFonts w:ascii="Arial" w:hAnsi="Arial" w:cs="Arial"/>
                <w:sz w:val="23"/>
                <w:szCs w:val="23"/>
              </w:rPr>
              <w:t>Global Mobility Team will</w:t>
            </w:r>
            <w:r w:rsidRPr="008F578B">
              <w:rPr>
                <w:rFonts w:ascii="Arial" w:hAnsi="Arial" w:cs="Arial"/>
                <w:sz w:val="23"/>
                <w:szCs w:val="23"/>
              </w:rPr>
              <w:t xml:space="preserve"> sends the final list</w:t>
            </w:r>
            <w:r w:rsidR="00C959C8">
              <w:rPr>
                <w:rFonts w:ascii="Arial" w:hAnsi="Arial" w:cs="Arial"/>
                <w:sz w:val="23"/>
                <w:szCs w:val="23"/>
              </w:rPr>
              <w:t xml:space="preserve"> to the relevant</w:t>
            </w:r>
            <w:r w:rsidRPr="008F578B">
              <w:rPr>
                <w:rFonts w:ascii="Arial" w:hAnsi="Arial" w:cs="Arial"/>
                <w:sz w:val="23"/>
                <w:szCs w:val="23"/>
              </w:rPr>
              <w:t xml:space="preserve"> </w:t>
            </w:r>
            <w:r w:rsidR="00C959C8">
              <w:rPr>
                <w:rFonts w:ascii="Arial" w:hAnsi="Arial" w:cs="Arial"/>
                <w:sz w:val="23"/>
                <w:szCs w:val="23"/>
              </w:rPr>
              <w:t>Academic Adviser</w:t>
            </w:r>
            <w:r w:rsidRPr="008F578B">
              <w:rPr>
                <w:rFonts w:ascii="Arial" w:hAnsi="Arial" w:cs="Arial"/>
                <w:sz w:val="23"/>
                <w:szCs w:val="23"/>
              </w:rPr>
              <w:t xml:space="preserve"> asking them to identify suitable School module offerings for the VS cohort. The final list of VS module information should be returned to the </w:t>
            </w:r>
            <w:r w:rsidR="00C959C8">
              <w:rPr>
                <w:rFonts w:ascii="Arial" w:hAnsi="Arial" w:cs="Arial"/>
                <w:sz w:val="23"/>
                <w:szCs w:val="23"/>
              </w:rPr>
              <w:t xml:space="preserve">Global Mobility Team by the deadlines in the table below. </w:t>
            </w:r>
          </w:p>
          <w:p w14:paraId="7C2F895B" w14:textId="77777777" w:rsidR="00CF0354" w:rsidRPr="008F578B" w:rsidRDefault="00CF0354" w:rsidP="00732A90">
            <w:pPr>
              <w:pStyle w:val="NoSpacing"/>
              <w:rPr>
                <w:rFonts w:ascii="Arial" w:hAnsi="Arial" w:cs="Arial"/>
                <w:sz w:val="23"/>
                <w:szCs w:val="23"/>
              </w:rPr>
            </w:pPr>
          </w:p>
          <w:p w14:paraId="46B55E5F"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 xml:space="preserve">2.1.3 </w:t>
            </w:r>
            <w:r w:rsidR="00C959C8">
              <w:rPr>
                <w:rFonts w:ascii="Arial" w:hAnsi="Arial" w:cs="Arial"/>
                <w:sz w:val="23"/>
                <w:szCs w:val="23"/>
              </w:rPr>
              <w:t xml:space="preserve">After the module list is submitted, the </w:t>
            </w:r>
            <w:r w:rsidRPr="008F578B">
              <w:rPr>
                <w:rFonts w:ascii="Arial" w:hAnsi="Arial" w:cs="Arial"/>
                <w:sz w:val="23"/>
                <w:szCs w:val="23"/>
              </w:rPr>
              <w:t>Global Mobility Team creates FMC codes for the Schools modules and link these FMCs to the module groupings provided by the Schools</w:t>
            </w:r>
            <w:r w:rsidR="00C959C8">
              <w:rPr>
                <w:rFonts w:ascii="Arial" w:hAnsi="Arial" w:cs="Arial"/>
                <w:sz w:val="23"/>
                <w:szCs w:val="23"/>
              </w:rPr>
              <w:t xml:space="preserve">.  </w:t>
            </w:r>
            <w:r w:rsidRPr="008F578B">
              <w:rPr>
                <w:rFonts w:ascii="Arial" w:hAnsi="Arial" w:cs="Arial"/>
                <w:sz w:val="23"/>
                <w:szCs w:val="23"/>
              </w:rPr>
              <w:t xml:space="preserve">The Systems Team will then input this into the system so that the modules are linked to the Module Choice website on the Visiting Student Portal. Information Services will run the tests to check if the Visiting Student Portal is operating as expected. </w:t>
            </w:r>
          </w:p>
          <w:p w14:paraId="36F23529" w14:textId="77777777" w:rsidR="00CF0354" w:rsidRPr="008F578B" w:rsidRDefault="00CF0354" w:rsidP="00732A90">
            <w:pPr>
              <w:pStyle w:val="NoSpacing"/>
              <w:rPr>
                <w:rFonts w:ascii="Arial" w:hAnsi="Arial" w:cs="Arial"/>
                <w:sz w:val="23"/>
                <w:szCs w:val="23"/>
              </w:rPr>
            </w:pPr>
          </w:p>
          <w:p w14:paraId="04EE26C9"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 xml:space="preserve">2.1.4 </w:t>
            </w:r>
            <w:r w:rsidR="00C959C8">
              <w:rPr>
                <w:rFonts w:ascii="Arial" w:hAnsi="Arial" w:cs="Arial"/>
                <w:sz w:val="23"/>
                <w:szCs w:val="23"/>
              </w:rPr>
              <w:t>In</w:t>
            </w:r>
            <w:r w:rsidR="00C959C8" w:rsidRPr="008F578B">
              <w:rPr>
                <w:rFonts w:ascii="Arial" w:hAnsi="Arial" w:cs="Arial"/>
                <w:sz w:val="23"/>
                <w:szCs w:val="23"/>
              </w:rPr>
              <w:t xml:space="preserve"> advance of the application system going live</w:t>
            </w:r>
            <w:r w:rsidR="00C959C8">
              <w:rPr>
                <w:rFonts w:ascii="Arial" w:hAnsi="Arial" w:cs="Arial"/>
                <w:sz w:val="23"/>
                <w:szCs w:val="23"/>
              </w:rPr>
              <w:t>, t</w:t>
            </w:r>
            <w:r w:rsidRPr="008F578B">
              <w:rPr>
                <w:rFonts w:ascii="Arial" w:hAnsi="Arial" w:cs="Arial"/>
                <w:sz w:val="23"/>
                <w:szCs w:val="23"/>
              </w:rPr>
              <w:t xml:space="preserve">he </w:t>
            </w:r>
            <w:r w:rsidR="00C959C8">
              <w:rPr>
                <w:rFonts w:ascii="Arial" w:hAnsi="Arial" w:cs="Arial"/>
                <w:sz w:val="23"/>
                <w:szCs w:val="23"/>
              </w:rPr>
              <w:t xml:space="preserve">Global Mobility Team will send </w:t>
            </w:r>
            <w:r w:rsidRPr="008F578B">
              <w:rPr>
                <w:rFonts w:ascii="Arial" w:hAnsi="Arial" w:cs="Arial"/>
                <w:sz w:val="23"/>
                <w:szCs w:val="23"/>
              </w:rPr>
              <w:t xml:space="preserve">the Guidance Notes explaining how </w:t>
            </w:r>
            <w:r w:rsidR="00C959C8">
              <w:rPr>
                <w:rFonts w:ascii="Arial" w:hAnsi="Arial" w:cs="Arial"/>
                <w:sz w:val="23"/>
                <w:szCs w:val="23"/>
              </w:rPr>
              <w:t>students</w:t>
            </w:r>
            <w:r w:rsidRPr="008F578B">
              <w:rPr>
                <w:rFonts w:ascii="Arial" w:hAnsi="Arial" w:cs="Arial"/>
                <w:sz w:val="23"/>
                <w:szCs w:val="23"/>
              </w:rPr>
              <w:t xml:space="preserve"> shou</w:t>
            </w:r>
            <w:r w:rsidR="00C959C8">
              <w:rPr>
                <w:rFonts w:ascii="Arial" w:hAnsi="Arial" w:cs="Arial"/>
                <w:sz w:val="23"/>
                <w:szCs w:val="23"/>
              </w:rPr>
              <w:t>ld select their modules to all p</w:t>
            </w:r>
            <w:r w:rsidRPr="008F578B">
              <w:rPr>
                <w:rFonts w:ascii="Arial" w:hAnsi="Arial" w:cs="Arial"/>
                <w:sz w:val="23"/>
                <w:szCs w:val="23"/>
              </w:rPr>
              <w:t xml:space="preserve">artner </w:t>
            </w:r>
            <w:r w:rsidR="00C959C8">
              <w:rPr>
                <w:rFonts w:ascii="Arial" w:hAnsi="Arial" w:cs="Arial"/>
                <w:sz w:val="23"/>
                <w:szCs w:val="23"/>
              </w:rPr>
              <w:t>u</w:t>
            </w:r>
            <w:r w:rsidRPr="008F578B">
              <w:rPr>
                <w:rFonts w:ascii="Arial" w:hAnsi="Arial" w:cs="Arial"/>
                <w:sz w:val="23"/>
                <w:szCs w:val="23"/>
              </w:rPr>
              <w:t xml:space="preserve">niversities and the </w:t>
            </w:r>
            <w:r w:rsidR="00C959C8">
              <w:rPr>
                <w:rFonts w:ascii="Arial" w:hAnsi="Arial" w:cs="Arial"/>
                <w:sz w:val="23"/>
                <w:szCs w:val="23"/>
              </w:rPr>
              <w:t>p</w:t>
            </w:r>
            <w:r w:rsidRPr="008F578B">
              <w:rPr>
                <w:rFonts w:ascii="Arial" w:hAnsi="Arial" w:cs="Arial"/>
                <w:sz w:val="23"/>
                <w:szCs w:val="23"/>
              </w:rPr>
              <w:t xml:space="preserve">roviders so they can pass it on to their </w:t>
            </w:r>
            <w:r w:rsidR="00C959C8">
              <w:rPr>
                <w:rFonts w:ascii="Arial" w:hAnsi="Arial" w:cs="Arial"/>
                <w:sz w:val="23"/>
                <w:szCs w:val="23"/>
              </w:rPr>
              <w:t>students</w:t>
            </w:r>
            <w:r w:rsidRPr="008F578B">
              <w:rPr>
                <w:rFonts w:ascii="Arial" w:hAnsi="Arial" w:cs="Arial"/>
                <w:sz w:val="23"/>
                <w:szCs w:val="23"/>
              </w:rPr>
              <w:t>.</w:t>
            </w:r>
          </w:p>
          <w:p w14:paraId="3F52AC09" w14:textId="77777777" w:rsidR="00CF0354" w:rsidRPr="008F578B" w:rsidRDefault="00CF0354" w:rsidP="00732A90">
            <w:pPr>
              <w:pStyle w:val="NoSpacing"/>
              <w:rPr>
                <w:rFonts w:ascii="Arial" w:hAnsi="Arial" w:cs="Arial"/>
                <w:sz w:val="23"/>
                <w:szCs w:val="23"/>
              </w:rPr>
            </w:pPr>
          </w:p>
          <w:p w14:paraId="619EA5E4"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 xml:space="preserve">21.5 The online application is launched </w:t>
            </w:r>
            <w:r w:rsidRPr="008F578B">
              <w:rPr>
                <w:rFonts w:ascii="Arial" w:hAnsi="Arial" w:cs="Arial"/>
                <w:color w:val="000000" w:themeColor="text1"/>
                <w:sz w:val="23"/>
                <w:szCs w:val="23"/>
              </w:rPr>
              <w:t xml:space="preserve">to </w:t>
            </w:r>
            <w:r w:rsidR="00C959C8">
              <w:rPr>
                <w:rFonts w:ascii="Arial" w:hAnsi="Arial" w:cs="Arial"/>
                <w:color w:val="000000" w:themeColor="text1"/>
                <w:sz w:val="23"/>
                <w:szCs w:val="23"/>
              </w:rPr>
              <w:t xml:space="preserve">students on the date in the table for each trimester </w:t>
            </w:r>
          </w:p>
          <w:p w14:paraId="1E4F06C1" w14:textId="77777777" w:rsidR="00CF0354" w:rsidRPr="008F578B" w:rsidRDefault="00CF0354" w:rsidP="00732A90">
            <w:pPr>
              <w:pStyle w:val="NoSpacing"/>
              <w:rPr>
                <w:rFonts w:ascii="Arial" w:hAnsi="Arial" w:cs="Arial"/>
                <w:sz w:val="23"/>
                <w:szCs w:val="23"/>
              </w:rPr>
            </w:pPr>
          </w:p>
          <w:p w14:paraId="58C2D54E"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ab/>
            </w:r>
          </w:p>
          <w:p w14:paraId="457DFE35" w14:textId="77777777" w:rsidR="00CF0354" w:rsidRPr="008F578B" w:rsidRDefault="00CF0354" w:rsidP="00732A90">
            <w:pPr>
              <w:pStyle w:val="NoSpacing"/>
              <w:rPr>
                <w:rFonts w:ascii="Arial" w:hAnsi="Arial" w:cs="Arial"/>
                <w:sz w:val="23"/>
                <w:szCs w:val="23"/>
              </w:rPr>
            </w:pPr>
            <w:bookmarkStart w:id="3" w:name="_Toc432082817"/>
          </w:p>
          <w:p w14:paraId="0D8E0E2D" w14:textId="77777777" w:rsidR="00C959C8" w:rsidRPr="00CF0354" w:rsidRDefault="00C959C8" w:rsidP="00C959C8">
            <w:pPr>
              <w:pStyle w:val="Heading2"/>
              <w:rPr>
                <w:b/>
              </w:rPr>
            </w:pPr>
            <w:bookmarkStart w:id="4" w:name="_Toc2957871"/>
            <w:r>
              <w:rPr>
                <w:b/>
                <w:color w:val="000000" w:themeColor="text1"/>
              </w:rPr>
              <w:t>2. 2</w:t>
            </w:r>
            <w:r w:rsidRPr="00CF0354">
              <w:rPr>
                <w:b/>
                <w:color w:val="000000" w:themeColor="text1"/>
              </w:rPr>
              <w:t xml:space="preserve"> </w:t>
            </w:r>
            <w:r>
              <w:rPr>
                <w:b/>
                <w:color w:val="000000" w:themeColor="text1"/>
              </w:rPr>
              <w:t>Deadlines</w:t>
            </w:r>
            <w:bookmarkEnd w:id="4"/>
          </w:p>
          <w:p w14:paraId="1DC27C70" w14:textId="77777777" w:rsidR="00CF0354" w:rsidRPr="008F578B" w:rsidRDefault="00CF0354" w:rsidP="00732A90">
            <w:pPr>
              <w:pStyle w:val="NoSpacing"/>
              <w:rPr>
                <w:rFonts w:ascii="Arial" w:hAnsi="Arial" w:cs="Arial"/>
                <w:sz w:val="23"/>
                <w:szCs w:val="23"/>
              </w:rPr>
            </w:pPr>
          </w:p>
          <w:tbl>
            <w:tblPr>
              <w:tblStyle w:val="TableGrid"/>
              <w:tblW w:w="0" w:type="auto"/>
              <w:tblLayout w:type="fixed"/>
              <w:tblLook w:val="04A0" w:firstRow="1" w:lastRow="0" w:firstColumn="1" w:lastColumn="0" w:noHBand="0" w:noVBand="1"/>
            </w:tblPr>
            <w:tblGrid>
              <w:gridCol w:w="4815"/>
              <w:gridCol w:w="2693"/>
              <w:gridCol w:w="2443"/>
            </w:tblGrid>
            <w:tr w:rsidR="00C959C8" w14:paraId="6D2B36DF" w14:textId="77777777" w:rsidTr="00732A90">
              <w:trPr>
                <w:trHeight w:val="258"/>
              </w:trPr>
              <w:tc>
                <w:tcPr>
                  <w:tcW w:w="4815" w:type="dxa"/>
                </w:tcPr>
                <w:p w14:paraId="492C8EFB" w14:textId="77777777" w:rsidR="00C959C8" w:rsidRPr="00C959C8" w:rsidRDefault="00C959C8" w:rsidP="00C959C8">
                  <w:pPr>
                    <w:pStyle w:val="NoSpacing"/>
                    <w:rPr>
                      <w:rFonts w:ascii="Arial" w:hAnsi="Arial" w:cs="Arial"/>
                      <w:b/>
                      <w:sz w:val="23"/>
                      <w:szCs w:val="23"/>
                    </w:rPr>
                  </w:pPr>
                  <w:r w:rsidRPr="00C959C8">
                    <w:rPr>
                      <w:rFonts w:ascii="Arial" w:hAnsi="Arial" w:cs="Arial"/>
                      <w:b/>
                      <w:sz w:val="23"/>
                      <w:szCs w:val="23"/>
                    </w:rPr>
                    <w:t>Action</w:t>
                  </w:r>
                </w:p>
              </w:tc>
              <w:tc>
                <w:tcPr>
                  <w:tcW w:w="2693" w:type="dxa"/>
                </w:tcPr>
                <w:p w14:paraId="4D761929" w14:textId="77777777" w:rsidR="00C959C8" w:rsidRPr="00C959C8" w:rsidRDefault="00C959C8" w:rsidP="00C959C8">
                  <w:pPr>
                    <w:pStyle w:val="NoSpacing"/>
                    <w:rPr>
                      <w:rFonts w:ascii="Arial" w:hAnsi="Arial" w:cs="Arial"/>
                      <w:b/>
                      <w:sz w:val="23"/>
                      <w:szCs w:val="23"/>
                    </w:rPr>
                  </w:pPr>
                  <w:r w:rsidRPr="00C959C8">
                    <w:rPr>
                      <w:rFonts w:ascii="Arial" w:hAnsi="Arial" w:cs="Arial"/>
                      <w:b/>
                      <w:sz w:val="23"/>
                      <w:szCs w:val="23"/>
                    </w:rPr>
                    <w:t>Trimester 1</w:t>
                  </w:r>
                </w:p>
              </w:tc>
              <w:tc>
                <w:tcPr>
                  <w:tcW w:w="2443" w:type="dxa"/>
                </w:tcPr>
                <w:p w14:paraId="46B01BE7" w14:textId="77777777" w:rsidR="00C959C8" w:rsidRPr="00C959C8" w:rsidRDefault="00C959C8" w:rsidP="00C959C8">
                  <w:pPr>
                    <w:pStyle w:val="NoSpacing"/>
                    <w:rPr>
                      <w:rFonts w:ascii="Arial" w:hAnsi="Arial" w:cs="Arial"/>
                      <w:b/>
                      <w:sz w:val="23"/>
                      <w:szCs w:val="23"/>
                    </w:rPr>
                  </w:pPr>
                  <w:r w:rsidRPr="00C959C8">
                    <w:rPr>
                      <w:rFonts w:ascii="Arial" w:hAnsi="Arial" w:cs="Arial"/>
                      <w:b/>
                      <w:sz w:val="23"/>
                      <w:szCs w:val="23"/>
                    </w:rPr>
                    <w:t>Trimester 2</w:t>
                  </w:r>
                </w:p>
              </w:tc>
            </w:tr>
            <w:tr w:rsidR="00C959C8" w14:paraId="72BB9AA2" w14:textId="77777777" w:rsidTr="00732A90">
              <w:trPr>
                <w:trHeight w:val="531"/>
              </w:trPr>
              <w:tc>
                <w:tcPr>
                  <w:tcW w:w="4815" w:type="dxa"/>
                </w:tcPr>
                <w:p w14:paraId="2DE4ED91" w14:textId="77777777" w:rsidR="00C959C8" w:rsidRDefault="00C959C8" w:rsidP="00C959C8">
                  <w:pPr>
                    <w:pStyle w:val="NoSpacing"/>
                    <w:rPr>
                      <w:rFonts w:ascii="Arial" w:hAnsi="Arial" w:cs="Arial"/>
                      <w:sz w:val="23"/>
                      <w:szCs w:val="23"/>
                    </w:rPr>
                  </w:pPr>
                  <w:r>
                    <w:rPr>
                      <w:rFonts w:ascii="Arial" w:hAnsi="Arial" w:cs="Arial"/>
                      <w:sz w:val="23"/>
                      <w:szCs w:val="23"/>
                    </w:rPr>
                    <w:t>Schools confirm specific modules</w:t>
                  </w:r>
                </w:p>
              </w:tc>
              <w:tc>
                <w:tcPr>
                  <w:tcW w:w="2693" w:type="dxa"/>
                </w:tcPr>
                <w:p w14:paraId="427AA486" w14:textId="77777777" w:rsidR="00C959C8" w:rsidRDefault="00C959C8" w:rsidP="00C959C8">
                  <w:pPr>
                    <w:pStyle w:val="NoSpacing"/>
                    <w:rPr>
                      <w:rFonts w:ascii="Arial" w:hAnsi="Arial" w:cs="Arial"/>
                      <w:sz w:val="23"/>
                      <w:szCs w:val="23"/>
                    </w:rPr>
                  </w:pPr>
                  <w:r>
                    <w:rPr>
                      <w:rFonts w:ascii="Arial" w:hAnsi="Arial" w:cs="Arial"/>
                      <w:sz w:val="23"/>
                      <w:szCs w:val="23"/>
                    </w:rPr>
                    <w:t>15 February</w:t>
                  </w:r>
                </w:p>
              </w:tc>
              <w:tc>
                <w:tcPr>
                  <w:tcW w:w="2443" w:type="dxa"/>
                </w:tcPr>
                <w:p w14:paraId="76068224" w14:textId="77777777" w:rsidR="00C959C8" w:rsidRDefault="00C959C8" w:rsidP="00C959C8">
                  <w:pPr>
                    <w:pStyle w:val="NoSpacing"/>
                    <w:rPr>
                      <w:rFonts w:ascii="Arial" w:hAnsi="Arial" w:cs="Arial"/>
                      <w:sz w:val="23"/>
                      <w:szCs w:val="23"/>
                    </w:rPr>
                  </w:pPr>
                  <w:r>
                    <w:rPr>
                      <w:rFonts w:ascii="Arial" w:hAnsi="Arial" w:cs="Arial"/>
                      <w:sz w:val="23"/>
                      <w:szCs w:val="23"/>
                    </w:rPr>
                    <w:t>15 July</w:t>
                  </w:r>
                </w:p>
              </w:tc>
            </w:tr>
            <w:tr w:rsidR="00C959C8" w14:paraId="6C35E1B1" w14:textId="77777777" w:rsidTr="00732A90">
              <w:trPr>
                <w:trHeight w:val="531"/>
              </w:trPr>
              <w:tc>
                <w:tcPr>
                  <w:tcW w:w="4815" w:type="dxa"/>
                </w:tcPr>
                <w:p w14:paraId="222826EC" w14:textId="77777777" w:rsidR="00C959C8" w:rsidRDefault="00C959C8" w:rsidP="00C959C8">
                  <w:pPr>
                    <w:pStyle w:val="NoSpacing"/>
                    <w:rPr>
                      <w:rFonts w:ascii="Arial" w:hAnsi="Arial" w:cs="Arial"/>
                      <w:sz w:val="23"/>
                      <w:szCs w:val="23"/>
                    </w:rPr>
                  </w:pPr>
                  <w:r>
                    <w:rPr>
                      <w:rFonts w:ascii="Arial" w:hAnsi="Arial" w:cs="Arial"/>
                      <w:sz w:val="23"/>
                      <w:szCs w:val="23"/>
                    </w:rPr>
                    <w:t>GMT sends final list to Academic Adviser</w:t>
                  </w:r>
                </w:p>
              </w:tc>
              <w:tc>
                <w:tcPr>
                  <w:tcW w:w="2693" w:type="dxa"/>
                </w:tcPr>
                <w:p w14:paraId="7969FF20" w14:textId="77777777" w:rsidR="00C959C8" w:rsidRDefault="00C959C8" w:rsidP="00C959C8">
                  <w:pPr>
                    <w:pStyle w:val="NoSpacing"/>
                    <w:rPr>
                      <w:rFonts w:ascii="Arial" w:hAnsi="Arial" w:cs="Arial"/>
                      <w:sz w:val="23"/>
                      <w:szCs w:val="23"/>
                    </w:rPr>
                  </w:pPr>
                  <w:r>
                    <w:rPr>
                      <w:rFonts w:ascii="Arial" w:hAnsi="Arial" w:cs="Arial"/>
                      <w:sz w:val="23"/>
                      <w:szCs w:val="23"/>
                    </w:rPr>
                    <w:t>1 March</w:t>
                  </w:r>
                </w:p>
              </w:tc>
              <w:tc>
                <w:tcPr>
                  <w:tcW w:w="2443" w:type="dxa"/>
                </w:tcPr>
                <w:p w14:paraId="726D7532" w14:textId="77777777" w:rsidR="00C959C8" w:rsidRDefault="00C959C8" w:rsidP="00C959C8">
                  <w:pPr>
                    <w:pStyle w:val="NoSpacing"/>
                    <w:rPr>
                      <w:rFonts w:ascii="Arial" w:hAnsi="Arial" w:cs="Arial"/>
                      <w:sz w:val="23"/>
                      <w:szCs w:val="23"/>
                    </w:rPr>
                  </w:pPr>
                  <w:r>
                    <w:rPr>
                      <w:rFonts w:ascii="Arial" w:hAnsi="Arial" w:cs="Arial"/>
                      <w:sz w:val="23"/>
                      <w:szCs w:val="23"/>
                    </w:rPr>
                    <w:t>1 August</w:t>
                  </w:r>
                </w:p>
              </w:tc>
            </w:tr>
            <w:tr w:rsidR="00C959C8" w14:paraId="4DAE308F" w14:textId="77777777" w:rsidTr="00732A90">
              <w:trPr>
                <w:trHeight w:val="804"/>
              </w:trPr>
              <w:tc>
                <w:tcPr>
                  <w:tcW w:w="4815" w:type="dxa"/>
                </w:tcPr>
                <w:p w14:paraId="6A203E1B" w14:textId="77777777" w:rsidR="00C959C8" w:rsidRDefault="00C959C8" w:rsidP="00C959C8">
                  <w:pPr>
                    <w:pStyle w:val="NoSpacing"/>
                    <w:rPr>
                      <w:rFonts w:ascii="Arial" w:hAnsi="Arial" w:cs="Arial"/>
                      <w:sz w:val="23"/>
                      <w:szCs w:val="23"/>
                    </w:rPr>
                  </w:pPr>
                  <w:r>
                    <w:rPr>
                      <w:rFonts w:ascii="Arial" w:hAnsi="Arial" w:cs="Arial"/>
                      <w:sz w:val="23"/>
                      <w:szCs w:val="23"/>
                    </w:rPr>
                    <w:t>Academic Adviser return final module list to GMT</w:t>
                  </w:r>
                </w:p>
              </w:tc>
              <w:tc>
                <w:tcPr>
                  <w:tcW w:w="2693" w:type="dxa"/>
                </w:tcPr>
                <w:p w14:paraId="71FB86EB" w14:textId="77777777" w:rsidR="00C959C8" w:rsidRDefault="00C959C8" w:rsidP="00C959C8">
                  <w:pPr>
                    <w:pStyle w:val="NoSpacing"/>
                    <w:rPr>
                      <w:rFonts w:ascii="Arial" w:hAnsi="Arial" w:cs="Arial"/>
                      <w:sz w:val="23"/>
                      <w:szCs w:val="23"/>
                    </w:rPr>
                  </w:pPr>
                  <w:r>
                    <w:rPr>
                      <w:rFonts w:ascii="Arial" w:hAnsi="Arial" w:cs="Arial"/>
                      <w:sz w:val="23"/>
                      <w:szCs w:val="23"/>
                    </w:rPr>
                    <w:t>15 March</w:t>
                  </w:r>
                </w:p>
              </w:tc>
              <w:tc>
                <w:tcPr>
                  <w:tcW w:w="2443" w:type="dxa"/>
                </w:tcPr>
                <w:p w14:paraId="5973E1E7" w14:textId="77777777" w:rsidR="00C959C8" w:rsidRDefault="00C959C8" w:rsidP="00C959C8">
                  <w:pPr>
                    <w:pStyle w:val="NoSpacing"/>
                    <w:rPr>
                      <w:rFonts w:ascii="Arial" w:hAnsi="Arial" w:cs="Arial"/>
                      <w:sz w:val="23"/>
                      <w:szCs w:val="23"/>
                    </w:rPr>
                  </w:pPr>
                  <w:r>
                    <w:rPr>
                      <w:rFonts w:ascii="Arial" w:hAnsi="Arial" w:cs="Arial"/>
                      <w:sz w:val="23"/>
                      <w:szCs w:val="23"/>
                    </w:rPr>
                    <w:t>15 August</w:t>
                  </w:r>
                </w:p>
              </w:tc>
            </w:tr>
            <w:tr w:rsidR="00C959C8" w14:paraId="58D8526A" w14:textId="77777777" w:rsidTr="00732A90">
              <w:trPr>
                <w:trHeight w:val="258"/>
              </w:trPr>
              <w:tc>
                <w:tcPr>
                  <w:tcW w:w="4815" w:type="dxa"/>
                </w:tcPr>
                <w:p w14:paraId="2E89CF64" w14:textId="77777777" w:rsidR="00C959C8" w:rsidRDefault="00C959C8" w:rsidP="00C959C8">
                  <w:pPr>
                    <w:pStyle w:val="NoSpacing"/>
                    <w:rPr>
                      <w:rFonts w:ascii="Arial" w:hAnsi="Arial" w:cs="Arial"/>
                      <w:sz w:val="23"/>
                      <w:szCs w:val="23"/>
                    </w:rPr>
                  </w:pPr>
                  <w:r>
                    <w:rPr>
                      <w:rFonts w:ascii="Arial" w:hAnsi="Arial" w:cs="Arial"/>
                      <w:sz w:val="23"/>
                      <w:szCs w:val="23"/>
                    </w:rPr>
                    <w:t xml:space="preserve">Launch of online application </w:t>
                  </w:r>
                </w:p>
              </w:tc>
              <w:tc>
                <w:tcPr>
                  <w:tcW w:w="2693" w:type="dxa"/>
                </w:tcPr>
                <w:p w14:paraId="77E60950" w14:textId="77777777" w:rsidR="00C959C8" w:rsidRDefault="00C959C8" w:rsidP="00C959C8">
                  <w:pPr>
                    <w:pStyle w:val="NoSpacing"/>
                    <w:rPr>
                      <w:rFonts w:ascii="Arial" w:hAnsi="Arial" w:cs="Arial"/>
                      <w:sz w:val="23"/>
                      <w:szCs w:val="23"/>
                    </w:rPr>
                  </w:pPr>
                  <w:r>
                    <w:rPr>
                      <w:rFonts w:ascii="Arial" w:hAnsi="Arial" w:cs="Arial"/>
                      <w:sz w:val="23"/>
                      <w:szCs w:val="23"/>
                    </w:rPr>
                    <w:t>15 April</w:t>
                  </w:r>
                </w:p>
              </w:tc>
              <w:tc>
                <w:tcPr>
                  <w:tcW w:w="2443" w:type="dxa"/>
                </w:tcPr>
                <w:p w14:paraId="4F004809" w14:textId="77777777" w:rsidR="00C959C8" w:rsidRDefault="00C959C8" w:rsidP="00C959C8">
                  <w:pPr>
                    <w:pStyle w:val="NoSpacing"/>
                    <w:rPr>
                      <w:rFonts w:ascii="Arial" w:hAnsi="Arial" w:cs="Arial"/>
                      <w:sz w:val="23"/>
                      <w:szCs w:val="23"/>
                    </w:rPr>
                  </w:pPr>
                  <w:r>
                    <w:rPr>
                      <w:rFonts w:ascii="Arial" w:hAnsi="Arial" w:cs="Arial"/>
                      <w:sz w:val="23"/>
                      <w:szCs w:val="23"/>
                    </w:rPr>
                    <w:t>15 September</w:t>
                  </w:r>
                </w:p>
              </w:tc>
            </w:tr>
            <w:tr w:rsidR="00C959C8" w14:paraId="46403DA0" w14:textId="77777777" w:rsidTr="00732A90">
              <w:trPr>
                <w:trHeight w:val="258"/>
              </w:trPr>
              <w:tc>
                <w:tcPr>
                  <w:tcW w:w="4815" w:type="dxa"/>
                </w:tcPr>
                <w:p w14:paraId="7DDEA1D8" w14:textId="77777777" w:rsidR="00C959C8" w:rsidRDefault="00C959C8" w:rsidP="00C959C8">
                  <w:pPr>
                    <w:pStyle w:val="NoSpacing"/>
                    <w:rPr>
                      <w:rFonts w:ascii="Arial" w:hAnsi="Arial" w:cs="Arial"/>
                      <w:sz w:val="23"/>
                      <w:szCs w:val="23"/>
                    </w:rPr>
                  </w:pPr>
                  <w:r>
                    <w:rPr>
                      <w:rFonts w:ascii="Arial" w:hAnsi="Arial" w:cs="Arial"/>
                      <w:sz w:val="23"/>
                      <w:szCs w:val="23"/>
                    </w:rPr>
                    <w:t>Application processing begins</w:t>
                  </w:r>
                </w:p>
              </w:tc>
              <w:tc>
                <w:tcPr>
                  <w:tcW w:w="2693" w:type="dxa"/>
                </w:tcPr>
                <w:p w14:paraId="60F3C68A" w14:textId="0F453990" w:rsidR="00C959C8" w:rsidRDefault="00C959C8" w:rsidP="00C959C8">
                  <w:pPr>
                    <w:pStyle w:val="NoSpacing"/>
                    <w:rPr>
                      <w:rFonts w:ascii="Arial" w:hAnsi="Arial" w:cs="Arial"/>
                      <w:sz w:val="23"/>
                      <w:szCs w:val="23"/>
                    </w:rPr>
                  </w:pPr>
                  <w:r>
                    <w:rPr>
                      <w:rFonts w:ascii="Arial" w:hAnsi="Arial" w:cs="Arial"/>
                      <w:sz w:val="23"/>
                      <w:szCs w:val="23"/>
                    </w:rPr>
                    <w:t>1</w:t>
                  </w:r>
                  <w:r w:rsidR="00070462">
                    <w:rPr>
                      <w:rFonts w:ascii="Arial" w:hAnsi="Arial" w:cs="Arial"/>
                      <w:sz w:val="23"/>
                      <w:szCs w:val="23"/>
                    </w:rPr>
                    <w:t>5 April</w:t>
                  </w:r>
                  <w:r>
                    <w:rPr>
                      <w:rFonts w:ascii="Arial" w:hAnsi="Arial" w:cs="Arial"/>
                      <w:sz w:val="23"/>
                      <w:szCs w:val="23"/>
                    </w:rPr>
                    <w:t xml:space="preserve"> </w:t>
                  </w:r>
                </w:p>
              </w:tc>
              <w:tc>
                <w:tcPr>
                  <w:tcW w:w="2443" w:type="dxa"/>
                </w:tcPr>
                <w:p w14:paraId="03148BB5" w14:textId="3AF8CF77" w:rsidR="00C959C8" w:rsidRDefault="00C959C8" w:rsidP="00C959C8">
                  <w:pPr>
                    <w:pStyle w:val="NoSpacing"/>
                    <w:rPr>
                      <w:rFonts w:ascii="Arial" w:hAnsi="Arial" w:cs="Arial"/>
                      <w:sz w:val="23"/>
                      <w:szCs w:val="23"/>
                    </w:rPr>
                  </w:pPr>
                  <w:r>
                    <w:rPr>
                      <w:rFonts w:ascii="Arial" w:hAnsi="Arial" w:cs="Arial"/>
                      <w:sz w:val="23"/>
                      <w:szCs w:val="23"/>
                    </w:rPr>
                    <w:t>1</w:t>
                  </w:r>
                  <w:r w:rsidR="00070462">
                    <w:rPr>
                      <w:rFonts w:ascii="Arial" w:hAnsi="Arial" w:cs="Arial"/>
                      <w:sz w:val="23"/>
                      <w:szCs w:val="23"/>
                    </w:rPr>
                    <w:t>5 September</w:t>
                  </w:r>
                  <w:r>
                    <w:rPr>
                      <w:rFonts w:ascii="Arial" w:hAnsi="Arial" w:cs="Arial"/>
                      <w:sz w:val="23"/>
                      <w:szCs w:val="23"/>
                    </w:rPr>
                    <w:t xml:space="preserve"> </w:t>
                  </w:r>
                </w:p>
              </w:tc>
            </w:tr>
            <w:tr w:rsidR="00C959C8" w14:paraId="6876CFD3" w14:textId="77777777" w:rsidTr="00732A90">
              <w:trPr>
                <w:trHeight w:val="258"/>
              </w:trPr>
              <w:tc>
                <w:tcPr>
                  <w:tcW w:w="4815" w:type="dxa"/>
                </w:tcPr>
                <w:p w14:paraId="2988F6AD" w14:textId="77777777" w:rsidR="00C959C8" w:rsidRDefault="00C959C8" w:rsidP="00C959C8">
                  <w:pPr>
                    <w:pStyle w:val="NoSpacing"/>
                    <w:rPr>
                      <w:rFonts w:ascii="Arial" w:hAnsi="Arial" w:cs="Arial"/>
                      <w:sz w:val="23"/>
                      <w:szCs w:val="23"/>
                    </w:rPr>
                  </w:pPr>
                  <w:r>
                    <w:rPr>
                      <w:rFonts w:ascii="Arial" w:hAnsi="Arial" w:cs="Arial"/>
                      <w:sz w:val="23"/>
                      <w:szCs w:val="23"/>
                    </w:rPr>
                    <w:t xml:space="preserve">Closing date for applications </w:t>
                  </w:r>
                </w:p>
              </w:tc>
              <w:tc>
                <w:tcPr>
                  <w:tcW w:w="2693" w:type="dxa"/>
                </w:tcPr>
                <w:p w14:paraId="066C0346" w14:textId="77777777" w:rsidR="00C959C8" w:rsidRDefault="00C959C8" w:rsidP="00C959C8">
                  <w:pPr>
                    <w:pStyle w:val="NoSpacing"/>
                    <w:rPr>
                      <w:rFonts w:ascii="Arial" w:hAnsi="Arial" w:cs="Arial"/>
                      <w:sz w:val="23"/>
                      <w:szCs w:val="23"/>
                    </w:rPr>
                  </w:pPr>
                  <w:r>
                    <w:rPr>
                      <w:rFonts w:ascii="Arial" w:hAnsi="Arial" w:cs="Arial"/>
                      <w:sz w:val="23"/>
                      <w:szCs w:val="23"/>
                    </w:rPr>
                    <w:t>15 May</w:t>
                  </w:r>
                </w:p>
              </w:tc>
              <w:tc>
                <w:tcPr>
                  <w:tcW w:w="2443" w:type="dxa"/>
                </w:tcPr>
                <w:p w14:paraId="78C63F49" w14:textId="77777777" w:rsidR="00C959C8" w:rsidRDefault="00C959C8" w:rsidP="00C959C8">
                  <w:pPr>
                    <w:pStyle w:val="NoSpacing"/>
                    <w:rPr>
                      <w:rFonts w:ascii="Arial" w:hAnsi="Arial" w:cs="Arial"/>
                      <w:sz w:val="23"/>
                      <w:szCs w:val="23"/>
                    </w:rPr>
                  </w:pPr>
                  <w:r>
                    <w:rPr>
                      <w:rFonts w:ascii="Arial" w:hAnsi="Arial" w:cs="Arial"/>
                      <w:sz w:val="23"/>
                      <w:szCs w:val="23"/>
                    </w:rPr>
                    <w:t>15 October</w:t>
                  </w:r>
                </w:p>
              </w:tc>
            </w:tr>
            <w:tr w:rsidR="00C959C8" w14:paraId="0EC728C0" w14:textId="77777777" w:rsidTr="00732A90">
              <w:trPr>
                <w:trHeight w:val="258"/>
              </w:trPr>
              <w:tc>
                <w:tcPr>
                  <w:tcW w:w="4815" w:type="dxa"/>
                </w:tcPr>
                <w:p w14:paraId="310FB8AE" w14:textId="77777777" w:rsidR="00C959C8" w:rsidRDefault="00C959C8" w:rsidP="00C959C8">
                  <w:pPr>
                    <w:pStyle w:val="NoSpacing"/>
                    <w:rPr>
                      <w:rFonts w:ascii="Arial" w:hAnsi="Arial" w:cs="Arial"/>
                      <w:sz w:val="23"/>
                      <w:szCs w:val="23"/>
                    </w:rPr>
                  </w:pPr>
                  <w:r>
                    <w:rPr>
                      <w:rFonts w:ascii="Arial" w:hAnsi="Arial" w:cs="Arial"/>
                      <w:sz w:val="23"/>
                      <w:szCs w:val="23"/>
                    </w:rPr>
                    <w:t xml:space="preserve">Application processing completed by </w:t>
                  </w:r>
                </w:p>
              </w:tc>
              <w:tc>
                <w:tcPr>
                  <w:tcW w:w="2693" w:type="dxa"/>
                </w:tcPr>
                <w:p w14:paraId="432CBBAF" w14:textId="77777777" w:rsidR="00C959C8" w:rsidRDefault="00C959C8" w:rsidP="00C959C8">
                  <w:pPr>
                    <w:pStyle w:val="NoSpacing"/>
                    <w:rPr>
                      <w:rFonts w:ascii="Arial" w:hAnsi="Arial" w:cs="Arial"/>
                      <w:sz w:val="23"/>
                      <w:szCs w:val="23"/>
                    </w:rPr>
                  </w:pPr>
                  <w:r>
                    <w:rPr>
                      <w:rFonts w:ascii="Arial" w:hAnsi="Arial" w:cs="Arial"/>
                      <w:sz w:val="23"/>
                      <w:szCs w:val="23"/>
                    </w:rPr>
                    <w:t>5 June</w:t>
                  </w:r>
                </w:p>
              </w:tc>
              <w:tc>
                <w:tcPr>
                  <w:tcW w:w="2443" w:type="dxa"/>
                </w:tcPr>
                <w:p w14:paraId="26290590" w14:textId="77777777" w:rsidR="00C959C8" w:rsidRDefault="00C959C8" w:rsidP="00C959C8">
                  <w:pPr>
                    <w:pStyle w:val="NoSpacing"/>
                    <w:rPr>
                      <w:rFonts w:ascii="Arial" w:hAnsi="Arial" w:cs="Arial"/>
                      <w:sz w:val="23"/>
                      <w:szCs w:val="23"/>
                    </w:rPr>
                  </w:pPr>
                  <w:r>
                    <w:rPr>
                      <w:rFonts w:ascii="Arial" w:hAnsi="Arial" w:cs="Arial"/>
                      <w:sz w:val="23"/>
                      <w:szCs w:val="23"/>
                    </w:rPr>
                    <w:t>5 November</w:t>
                  </w:r>
                </w:p>
              </w:tc>
            </w:tr>
          </w:tbl>
          <w:p w14:paraId="09731383" w14:textId="77777777" w:rsidR="00C959C8" w:rsidRDefault="00C959C8" w:rsidP="00C959C8">
            <w:pPr>
              <w:pStyle w:val="NoSpacing"/>
              <w:rPr>
                <w:rFonts w:ascii="Arial" w:hAnsi="Arial" w:cs="Arial"/>
                <w:sz w:val="23"/>
                <w:szCs w:val="23"/>
              </w:rPr>
            </w:pPr>
          </w:p>
          <w:p w14:paraId="1EC04030" w14:textId="77777777" w:rsidR="00CF0354" w:rsidRPr="00C959C8" w:rsidRDefault="00CF0354" w:rsidP="00C959C8">
            <w:pPr>
              <w:pStyle w:val="Heading1"/>
              <w:rPr>
                <w:b/>
                <w:color w:val="000000" w:themeColor="text1"/>
              </w:rPr>
            </w:pPr>
            <w:bookmarkStart w:id="5" w:name="_Toc2957872"/>
            <w:bookmarkEnd w:id="3"/>
            <w:r w:rsidRPr="00C959C8">
              <w:rPr>
                <w:b/>
                <w:color w:val="000000" w:themeColor="text1"/>
              </w:rPr>
              <w:t>3.  Processing applications</w:t>
            </w:r>
            <w:bookmarkEnd w:id="5"/>
            <w:r w:rsidRPr="00C959C8">
              <w:rPr>
                <w:b/>
                <w:color w:val="000000" w:themeColor="text1"/>
              </w:rPr>
              <w:t xml:space="preserve"> </w:t>
            </w:r>
            <w:bookmarkStart w:id="6" w:name="_GoBack"/>
            <w:bookmarkEnd w:id="6"/>
          </w:p>
          <w:p w14:paraId="506B42BC" w14:textId="77777777" w:rsidR="00CF0354" w:rsidRPr="008F578B" w:rsidRDefault="00CF0354" w:rsidP="00732A90">
            <w:pPr>
              <w:pStyle w:val="NoSpacing"/>
              <w:rPr>
                <w:rFonts w:ascii="Arial" w:hAnsi="Arial" w:cs="Arial"/>
                <w:sz w:val="23"/>
                <w:szCs w:val="23"/>
              </w:rPr>
            </w:pPr>
          </w:p>
          <w:p w14:paraId="3DEC0335" w14:textId="77777777" w:rsidR="00CF0354" w:rsidRPr="00C959C8" w:rsidRDefault="00CF0354" w:rsidP="00C959C8">
            <w:pPr>
              <w:pStyle w:val="Heading2"/>
              <w:rPr>
                <w:b/>
                <w:color w:val="000000" w:themeColor="text1"/>
              </w:rPr>
            </w:pPr>
            <w:bookmarkStart w:id="7" w:name="_Toc2957873"/>
            <w:r w:rsidRPr="00C959C8">
              <w:rPr>
                <w:b/>
                <w:color w:val="000000" w:themeColor="text1"/>
              </w:rPr>
              <w:t>Global Mobility Team:</w:t>
            </w:r>
            <w:bookmarkEnd w:id="7"/>
          </w:p>
          <w:p w14:paraId="2243EB16" w14:textId="77777777" w:rsidR="00CF0354" w:rsidRPr="008F578B" w:rsidRDefault="00CF0354" w:rsidP="00732A90">
            <w:pPr>
              <w:pStyle w:val="NoSpacing"/>
              <w:rPr>
                <w:rFonts w:ascii="Arial" w:hAnsi="Arial" w:cs="Arial"/>
                <w:sz w:val="23"/>
                <w:szCs w:val="23"/>
              </w:rPr>
            </w:pPr>
          </w:p>
          <w:p w14:paraId="229E74E0" w14:textId="77777777" w:rsidR="00CF0354" w:rsidRPr="008F578B" w:rsidRDefault="00CF0354" w:rsidP="00732A90">
            <w:pPr>
              <w:pStyle w:val="NoSpacing"/>
              <w:rPr>
                <w:rFonts w:ascii="Arial" w:hAnsi="Arial" w:cs="Arial"/>
                <w:color w:val="000000" w:themeColor="text1"/>
                <w:sz w:val="23"/>
                <w:szCs w:val="23"/>
              </w:rPr>
            </w:pPr>
            <w:r w:rsidRPr="008F578B">
              <w:rPr>
                <w:rFonts w:ascii="Arial" w:hAnsi="Arial" w:cs="Arial"/>
                <w:sz w:val="23"/>
                <w:szCs w:val="23"/>
              </w:rPr>
              <w:t xml:space="preserve">3.1.1 </w:t>
            </w:r>
            <w:r w:rsidRPr="008F578B">
              <w:rPr>
                <w:rFonts w:ascii="Arial" w:hAnsi="Arial" w:cs="Arial"/>
                <w:color w:val="000000" w:themeColor="text1"/>
                <w:sz w:val="23"/>
                <w:szCs w:val="23"/>
              </w:rPr>
              <w:t>Applications are submitted through the Visiting Student Portal (online application) and come into SITS under a dummy code W11605.</w:t>
            </w:r>
          </w:p>
          <w:p w14:paraId="33F66C99" w14:textId="77777777" w:rsidR="00CF0354" w:rsidRPr="008F578B" w:rsidRDefault="00CF0354" w:rsidP="00732A90">
            <w:pPr>
              <w:pStyle w:val="NoSpacing"/>
              <w:rPr>
                <w:rFonts w:ascii="Arial" w:hAnsi="Arial" w:cs="Arial"/>
                <w:color w:val="000000" w:themeColor="text1"/>
                <w:sz w:val="23"/>
                <w:szCs w:val="23"/>
              </w:rPr>
            </w:pPr>
            <w:r w:rsidRPr="008F578B">
              <w:rPr>
                <w:rFonts w:ascii="Arial" w:hAnsi="Arial" w:cs="Arial"/>
                <w:color w:val="000000" w:themeColor="text1"/>
                <w:sz w:val="23"/>
                <w:szCs w:val="23"/>
              </w:rPr>
              <w:t xml:space="preserve"> </w:t>
            </w:r>
            <w:r w:rsidRPr="008F578B">
              <w:rPr>
                <w:rFonts w:ascii="Arial" w:hAnsi="Arial" w:cs="Arial"/>
                <w:sz w:val="23"/>
                <w:szCs w:val="23"/>
              </w:rPr>
              <w:t xml:space="preserve"> </w:t>
            </w:r>
          </w:p>
          <w:p w14:paraId="0FB0FE67" w14:textId="77777777" w:rsidR="00CF0354" w:rsidRPr="008F578B" w:rsidRDefault="00CF0354" w:rsidP="00732A90">
            <w:pPr>
              <w:pStyle w:val="NoSpacing"/>
              <w:rPr>
                <w:rFonts w:ascii="Arial" w:hAnsi="Arial" w:cs="Arial"/>
                <w:color w:val="000000" w:themeColor="text1"/>
                <w:sz w:val="23"/>
                <w:szCs w:val="23"/>
              </w:rPr>
            </w:pPr>
            <w:r w:rsidRPr="008F578B">
              <w:rPr>
                <w:rFonts w:ascii="Arial" w:hAnsi="Arial" w:cs="Arial"/>
                <w:sz w:val="23"/>
                <w:szCs w:val="23"/>
              </w:rPr>
              <w:t xml:space="preserve">3.1.2 </w:t>
            </w:r>
            <w:r w:rsidR="00C959C8">
              <w:rPr>
                <w:rFonts w:ascii="Arial" w:hAnsi="Arial" w:cs="Arial"/>
                <w:sz w:val="23"/>
                <w:szCs w:val="23"/>
              </w:rPr>
              <w:t>The Global Mobility Team will</w:t>
            </w:r>
            <w:r w:rsidRPr="008F578B">
              <w:rPr>
                <w:rFonts w:ascii="Arial" w:hAnsi="Arial" w:cs="Arial"/>
                <w:sz w:val="23"/>
                <w:szCs w:val="23"/>
              </w:rPr>
              <w:t xml:space="preserve"> run reports and </w:t>
            </w:r>
            <w:r w:rsidR="00C959C8">
              <w:rPr>
                <w:rFonts w:ascii="Arial" w:hAnsi="Arial" w:cs="Arial"/>
                <w:color w:val="000000" w:themeColor="text1"/>
                <w:sz w:val="23"/>
                <w:szCs w:val="23"/>
              </w:rPr>
              <w:t>create</w:t>
            </w:r>
            <w:r w:rsidRPr="008F578B">
              <w:rPr>
                <w:rFonts w:ascii="Arial" w:hAnsi="Arial" w:cs="Arial"/>
                <w:color w:val="000000" w:themeColor="text1"/>
                <w:sz w:val="23"/>
                <w:szCs w:val="23"/>
              </w:rPr>
              <w:t xml:space="preserve"> a master </w:t>
            </w:r>
            <w:r w:rsidRPr="008F578B">
              <w:rPr>
                <w:rFonts w:ascii="Arial" w:hAnsi="Arial" w:cs="Arial"/>
                <w:i/>
                <w:color w:val="000000" w:themeColor="text1"/>
                <w:sz w:val="23"/>
                <w:szCs w:val="23"/>
              </w:rPr>
              <w:t xml:space="preserve">Applications </w:t>
            </w:r>
            <w:r w:rsidRPr="008F578B">
              <w:rPr>
                <w:rFonts w:ascii="Arial" w:hAnsi="Arial" w:cs="Arial"/>
                <w:color w:val="000000" w:themeColor="text1"/>
                <w:sz w:val="23"/>
                <w:szCs w:val="23"/>
              </w:rPr>
              <w:t>spreadsheet in which all applications for the given intake get noted and the application details including matric, first name, last name, email, nationality, home institution, home university country, all the modules student included on their application etc. are listed.</w:t>
            </w:r>
          </w:p>
          <w:p w14:paraId="141C8093" w14:textId="77777777" w:rsidR="00CF0354" w:rsidRPr="008F578B" w:rsidRDefault="00CF0354" w:rsidP="00732A90">
            <w:pPr>
              <w:pStyle w:val="NoSpacing"/>
              <w:rPr>
                <w:rFonts w:ascii="Arial" w:hAnsi="Arial" w:cs="Arial"/>
                <w:color w:val="000000" w:themeColor="text1"/>
                <w:sz w:val="23"/>
                <w:szCs w:val="23"/>
              </w:rPr>
            </w:pPr>
          </w:p>
          <w:p w14:paraId="247D4200" w14:textId="77777777" w:rsidR="00CF0354" w:rsidRPr="008F578B" w:rsidRDefault="00CF0354" w:rsidP="00732A90">
            <w:pPr>
              <w:pStyle w:val="NoSpacing"/>
              <w:rPr>
                <w:rFonts w:ascii="Arial" w:hAnsi="Arial" w:cs="Arial"/>
                <w:color w:val="000000" w:themeColor="text1"/>
                <w:sz w:val="23"/>
                <w:szCs w:val="23"/>
              </w:rPr>
            </w:pPr>
            <w:r w:rsidRPr="008F578B">
              <w:rPr>
                <w:rFonts w:ascii="Arial" w:hAnsi="Arial" w:cs="Arial"/>
                <w:color w:val="000000" w:themeColor="text1"/>
                <w:sz w:val="23"/>
                <w:szCs w:val="23"/>
              </w:rPr>
              <w:t xml:space="preserve">3.1.3 Based on the category of </w:t>
            </w:r>
            <w:r w:rsidR="00C959C8">
              <w:rPr>
                <w:rFonts w:ascii="Arial" w:hAnsi="Arial" w:cs="Arial"/>
                <w:color w:val="000000" w:themeColor="text1"/>
                <w:sz w:val="23"/>
                <w:szCs w:val="23"/>
              </w:rPr>
              <w:t>s</w:t>
            </w:r>
            <w:r w:rsidRPr="008F578B">
              <w:rPr>
                <w:rFonts w:ascii="Arial" w:hAnsi="Arial" w:cs="Arial"/>
                <w:color w:val="000000" w:themeColor="text1"/>
                <w:sz w:val="23"/>
                <w:szCs w:val="23"/>
              </w:rPr>
              <w:t xml:space="preserve">tudent and the agreements related to them, the </w:t>
            </w:r>
            <w:r w:rsidR="00C959C8">
              <w:rPr>
                <w:rFonts w:ascii="Arial" w:hAnsi="Arial" w:cs="Arial"/>
                <w:sz w:val="23"/>
                <w:szCs w:val="23"/>
              </w:rPr>
              <w:t xml:space="preserve">Global Mobility Team </w:t>
            </w:r>
            <w:r w:rsidRPr="008F578B">
              <w:rPr>
                <w:rFonts w:ascii="Arial" w:hAnsi="Arial" w:cs="Arial"/>
                <w:color w:val="000000" w:themeColor="text1"/>
                <w:sz w:val="23"/>
                <w:szCs w:val="23"/>
              </w:rPr>
              <w:t xml:space="preserve">makes a decision and assigns applications to the relevant School for approval. </w:t>
            </w:r>
            <w:r w:rsidR="00C959C8">
              <w:rPr>
                <w:rFonts w:ascii="Arial" w:hAnsi="Arial" w:cs="Arial"/>
                <w:color w:val="000000" w:themeColor="text1"/>
                <w:sz w:val="23"/>
                <w:szCs w:val="23"/>
              </w:rPr>
              <w:t xml:space="preserve">Global Mobility Team </w:t>
            </w:r>
            <w:r w:rsidRPr="008F578B">
              <w:rPr>
                <w:rFonts w:ascii="Arial" w:hAnsi="Arial" w:cs="Arial"/>
                <w:color w:val="000000" w:themeColor="text1"/>
                <w:sz w:val="23"/>
                <w:szCs w:val="23"/>
              </w:rPr>
              <w:t xml:space="preserve">regularly runs reports and check in SITS for new applications and processes them as they come.  </w:t>
            </w:r>
          </w:p>
          <w:p w14:paraId="7459AF1F" w14:textId="77777777" w:rsidR="00CF0354" w:rsidRPr="008F578B" w:rsidRDefault="00CF0354" w:rsidP="00732A90">
            <w:pPr>
              <w:pStyle w:val="NoSpacing"/>
              <w:rPr>
                <w:rFonts w:ascii="Arial" w:hAnsi="Arial" w:cs="Arial"/>
                <w:color w:val="000000" w:themeColor="text1"/>
                <w:sz w:val="23"/>
                <w:szCs w:val="23"/>
              </w:rPr>
            </w:pPr>
          </w:p>
          <w:p w14:paraId="2FA03026" w14:textId="77777777" w:rsidR="00CF0354" w:rsidRPr="008F578B" w:rsidRDefault="00CF0354" w:rsidP="00732A90">
            <w:pPr>
              <w:pStyle w:val="NoSpacing"/>
              <w:rPr>
                <w:rFonts w:ascii="Arial" w:hAnsi="Arial" w:cs="Arial"/>
                <w:color w:val="000000" w:themeColor="text1"/>
                <w:sz w:val="23"/>
                <w:szCs w:val="23"/>
              </w:rPr>
            </w:pPr>
            <w:r w:rsidRPr="008F578B">
              <w:rPr>
                <w:rFonts w:ascii="Arial" w:hAnsi="Arial" w:cs="Arial"/>
                <w:color w:val="000000" w:themeColor="text1"/>
                <w:sz w:val="23"/>
                <w:szCs w:val="23"/>
              </w:rPr>
              <w:t xml:space="preserve">3.1.4 If there has been no response from the School relating to the after 3 weeks the </w:t>
            </w:r>
            <w:r w:rsidR="00C959C8">
              <w:rPr>
                <w:rFonts w:ascii="Arial" w:hAnsi="Arial" w:cs="Arial"/>
                <w:color w:val="000000" w:themeColor="text1"/>
                <w:sz w:val="23"/>
                <w:szCs w:val="23"/>
              </w:rPr>
              <w:t>Global Mobility Team</w:t>
            </w:r>
            <w:r w:rsidRPr="008F578B">
              <w:rPr>
                <w:rFonts w:ascii="Arial" w:hAnsi="Arial" w:cs="Arial"/>
                <w:color w:val="000000" w:themeColor="text1"/>
                <w:sz w:val="23"/>
                <w:szCs w:val="23"/>
              </w:rPr>
              <w:t xml:space="preserve"> will contact the School to check on the progress. </w:t>
            </w:r>
          </w:p>
          <w:p w14:paraId="2F63ED42" w14:textId="77777777" w:rsidR="00CF0354" w:rsidRPr="008F578B" w:rsidRDefault="00CF0354" w:rsidP="00732A90">
            <w:pPr>
              <w:pStyle w:val="NoSpacing"/>
              <w:rPr>
                <w:rFonts w:ascii="Arial" w:hAnsi="Arial" w:cs="Arial"/>
                <w:color w:val="000000" w:themeColor="text1"/>
                <w:sz w:val="23"/>
                <w:szCs w:val="23"/>
              </w:rPr>
            </w:pPr>
          </w:p>
          <w:p w14:paraId="2791D372" w14:textId="77777777" w:rsidR="00CF0354" w:rsidRPr="008F578B" w:rsidRDefault="00CF0354" w:rsidP="00732A90">
            <w:pPr>
              <w:pStyle w:val="NoSpacing"/>
              <w:rPr>
                <w:rFonts w:ascii="Arial" w:hAnsi="Arial" w:cs="Arial"/>
                <w:sz w:val="23"/>
                <w:szCs w:val="23"/>
              </w:rPr>
            </w:pPr>
            <w:r w:rsidRPr="008F578B">
              <w:rPr>
                <w:rFonts w:ascii="Arial" w:hAnsi="Arial" w:cs="Arial"/>
                <w:color w:val="000000" w:themeColor="text1"/>
                <w:sz w:val="23"/>
                <w:szCs w:val="23"/>
              </w:rPr>
              <w:t xml:space="preserve">3.1.5 If </w:t>
            </w:r>
            <w:r w:rsidRPr="008F578B">
              <w:rPr>
                <w:rFonts w:ascii="Arial" w:hAnsi="Arial" w:cs="Arial"/>
                <w:sz w:val="23"/>
                <w:szCs w:val="23"/>
              </w:rPr>
              <w:t xml:space="preserve">an applicant is not suited to the School and has to be transferred to another School, then it is </w:t>
            </w:r>
            <w:r w:rsidR="00C959C8">
              <w:rPr>
                <w:rFonts w:ascii="Arial" w:hAnsi="Arial" w:cs="Arial"/>
                <w:sz w:val="23"/>
                <w:szCs w:val="23"/>
              </w:rPr>
              <w:t>the Global Mobility Team responsibility</w:t>
            </w:r>
            <w:r w:rsidRPr="008F578B">
              <w:rPr>
                <w:rFonts w:ascii="Arial" w:hAnsi="Arial" w:cs="Arial"/>
                <w:sz w:val="23"/>
                <w:szCs w:val="23"/>
              </w:rPr>
              <w:t xml:space="preserve"> to liaise directly with the new School to find out if the transfer is possible and that the new module selection can be offered.</w:t>
            </w:r>
          </w:p>
          <w:p w14:paraId="2069876B" w14:textId="77777777" w:rsidR="00CF0354" w:rsidRPr="008F578B" w:rsidRDefault="00CF0354" w:rsidP="00732A90">
            <w:pPr>
              <w:pStyle w:val="NoSpacing"/>
              <w:rPr>
                <w:rFonts w:ascii="Arial" w:hAnsi="Arial" w:cs="Arial"/>
                <w:sz w:val="23"/>
                <w:szCs w:val="23"/>
              </w:rPr>
            </w:pPr>
          </w:p>
          <w:p w14:paraId="0B7CE6E5"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3.1.6 Some applicants select modules from two different schools. One school will be their dominant School (applicant selected 2 modules from this School) and another School will be their additional School (applicant selected 1 module from this School). In this case</w:t>
            </w:r>
            <w:r w:rsidR="00C959C8">
              <w:rPr>
                <w:rFonts w:ascii="Arial" w:hAnsi="Arial" w:cs="Arial"/>
                <w:sz w:val="23"/>
                <w:szCs w:val="23"/>
              </w:rPr>
              <w:t>,</w:t>
            </w:r>
            <w:r w:rsidRPr="008F578B">
              <w:rPr>
                <w:rFonts w:ascii="Arial" w:hAnsi="Arial" w:cs="Arial"/>
                <w:sz w:val="23"/>
                <w:szCs w:val="23"/>
              </w:rPr>
              <w:t xml:space="preserve"> it is </w:t>
            </w:r>
            <w:r w:rsidR="00C959C8">
              <w:rPr>
                <w:rFonts w:ascii="Arial" w:hAnsi="Arial" w:cs="Arial"/>
                <w:sz w:val="23"/>
                <w:szCs w:val="23"/>
              </w:rPr>
              <w:t xml:space="preserve">the responsibility of the Global Mobility Team </w:t>
            </w:r>
            <w:r w:rsidRPr="008F578B">
              <w:rPr>
                <w:rFonts w:ascii="Arial" w:hAnsi="Arial" w:cs="Arial"/>
                <w:sz w:val="23"/>
                <w:szCs w:val="23"/>
              </w:rPr>
              <w:t>to liaise directly with the additional School to check if their module can be offered to the applicant.</w:t>
            </w:r>
          </w:p>
          <w:p w14:paraId="51B29C8F" w14:textId="77777777" w:rsidR="00CF0354" w:rsidRPr="008F578B" w:rsidRDefault="00CF0354" w:rsidP="00732A90">
            <w:pPr>
              <w:pStyle w:val="NoSpacing"/>
              <w:rPr>
                <w:rFonts w:ascii="Arial" w:hAnsi="Arial" w:cs="Arial"/>
                <w:sz w:val="23"/>
                <w:szCs w:val="23"/>
              </w:rPr>
            </w:pPr>
          </w:p>
          <w:p w14:paraId="4C2CEAB9" w14:textId="77777777" w:rsidR="00CF0354" w:rsidRPr="008F578B" w:rsidRDefault="00CF0354" w:rsidP="00732A90">
            <w:pPr>
              <w:pStyle w:val="NoSpacing"/>
              <w:rPr>
                <w:rFonts w:ascii="Arial" w:hAnsi="Arial" w:cs="Arial"/>
                <w:sz w:val="23"/>
                <w:szCs w:val="23"/>
              </w:rPr>
            </w:pPr>
          </w:p>
          <w:p w14:paraId="72358DB3" w14:textId="77777777" w:rsidR="00CF0354" w:rsidRPr="00C959C8" w:rsidRDefault="00CF0354" w:rsidP="00C959C8">
            <w:pPr>
              <w:pStyle w:val="Heading2"/>
              <w:rPr>
                <w:b/>
                <w:color w:val="000000" w:themeColor="text1"/>
              </w:rPr>
            </w:pPr>
            <w:bookmarkStart w:id="8" w:name="_Toc2957874"/>
            <w:r w:rsidRPr="00C959C8">
              <w:rPr>
                <w:b/>
                <w:color w:val="000000" w:themeColor="text1"/>
              </w:rPr>
              <w:t>Schools &amp; School Support Service:</w:t>
            </w:r>
            <w:bookmarkEnd w:id="8"/>
          </w:p>
          <w:p w14:paraId="0B8A0BB5" w14:textId="77777777" w:rsidR="00CF0354" w:rsidRPr="008F578B" w:rsidRDefault="00CF0354" w:rsidP="00732A90">
            <w:pPr>
              <w:pStyle w:val="NoSpacing"/>
              <w:rPr>
                <w:rFonts w:ascii="Arial" w:hAnsi="Arial" w:cs="Arial"/>
                <w:sz w:val="23"/>
                <w:szCs w:val="23"/>
              </w:rPr>
            </w:pPr>
          </w:p>
          <w:p w14:paraId="49EFE603"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 xml:space="preserve">3.2.1 </w:t>
            </w:r>
            <w:r w:rsidR="00C959C8">
              <w:rPr>
                <w:rFonts w:ascii="Arial" w:hAnsi="Arial" w:cs="Arial"/>
                <w:sz w:val="23"/>
                <w:szCs w:val="23"/>
              </w:rPr>
              <w:t xml:space="preserve">The Global Mobility </w:t>
            </w:r>
            <w:r w:rsidR="000E6B9B">
              <w:rPr>
                <w:rFonts w:ascii="Arial" w:hAnsi="Arial" w:cs="Arial"/>
                <w:sz w:val="23"/>
                <w:szCs w:val="23"/>
              </w:rPr>
              <w:t xml:space="preserve">Team </w:t>
            </w:r>
            <w:r w:rsidR="000E6B9B" w:rsidRPr="008F578B">
              <w:rPr>
                <w:rFonts w:ascii="Arial" w:hAnsi="Arial" w:cs="Arial"/>
                <w:sz w:val="23"/>
                <w:szCs w:val="23"/>
              </w:rPr>
              <w:t>sends</w:t>
            </w:r>
            <w:r w:rsidRPr="008F578B">
              <w:rPr>
                <w:rFonts w:ascii="Arial" w:hAnsi="Arial" w:cs="Arial"/>
                <w:sz w:val="23"/>
                <w:szCs w:val="23"/>
              </w:rPr>
              <w:t xml:space="preserve"> spreadsheets to Schools containing details of applications to be assessed. Schools typically have 3 weeks to review the applications and make a decision whether the applicants are accepted or rejected. </w:t>
            </w:r>
          </w:p>
          <w:p w14:paraId="1357D0F7" w14:textId="77777777" w:rsidR="00CF0354" w:rsidRPr="008F578B" w:rsidRDefault="00CF0354" w:rsidP="00732A90">
            <w:pPr>
              <w:pStyle w:val="NoSpacing"/>
              <w:rPr>
                <w:rFonts w:ascii="Arial" w:hAnsi="Arial" w:cs="Arial"/>
                <w:sz w:val="23"/>
                <w:szCs w:val="23"/>
              </w:rPr>
            </w:pPr>
          </w:p>
          <w:p w14:paraId="2AF85F56"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3.2.2 Schools/S3 will communicate directly with the applicants (</w:t>
            </w:r>
            <w:hyperlink r:id="rId9" w:history="1">
              <w:r w:rsidRPr="008F578B">
                <w:rPr>
                  <w:rStyle w:val="Hyperlink"/>
                  <w:rFonts w:ascii="Arial" w:hAnsi="Arial" w:cs="Arial"/>
                  <w:sz w:val="23"/>
                  <w:szCs w:val="23"/>
                </w:rPr>
                <w:t>visitingstudents@napier.ac.uk</w:t>
              </w:r>
            </w:hyperlink>
            <w:r w:rsidRPr="008F578B">
              <w:rPr>
                <w:rFonts w:ascii="Arial" w:hAnsi="Arial" w:cs="Arial"/>
                <w:sz w:val="23"/>
                <w:szCs w:val="23"/>
              </w:rPr>
              <w:t xml:space="preserve"> should always be copied in to the communication ) in the following instances:</w:t>
            </w:r>
          </w:p>
          <w:p w14:paraId="156E2449" w14:textId="77777777" w:rsidR="00CF0354" w:rsidRPr="008F578B" w:rsidRDefault="00CF0354" w:rsidP="00732A90">
            <w:pPr>
              <w:pStyle w:val="NoSpacing"/>
              <w:rPr>
                <w:rFonts w:ascii="Arial" w:hAnsi="Arial" w:cs="Arial"/>
                <w:sz w:val="23"/>
                <w:szCs w:val="23"/>
              </w:rPr>
            </w:pPr>
          </w:p>
          <w:p w14:paraId="3D72C748" w14:textId="77777777" w:rsidR="00CF0354" w:rsidRPr="008F578B" w:rsidRDefault="00CF0354" w:rsidP="000F1178">
            <w:pPr>
              <w:pStyle w:val="NoSpacing"/>
              <w:ind w:left="720"/>
              <w:rPr>
                <w:rFonts w:ascii="Arial" w:hAnsi="Arial" w:cs="Arial"/>
                <w:sz w:val="23"/>
                <w:szCs w:val="23"/>
              </w:rPr>
            </w:pPr>
            <w:r w:rsidRPr="008F578B">
              <w:rPr>
                <w:rFonts w:ascii="Arial" w:hAnsi="Arial" w:cs="Arial"/>
                <w:sz w:val="23"/>
                <w:szCs w:val="23"/>
              </w:rPr>
              <w:t>3.2.2.1 School needs more information about an applicant’s academic background in order to make a full assessment.</w:t>
            </w:r>
          </w:p>
          <w:p w14:paraId="7753E8EC" w14:textId="77777777" w:rsidR="00CF0354" w:rsidRPr="008F578B" w:rsidRDefault="00CF0354" w:rsidP="000F1178">
            <w:pPr>
              <w:pStyle w:val="NoSpacing"/>
              <w:ind w:left="720"/>
              <w:rPr>
                <w:rFonts w:ascii="Arial" w:hAnsi="Arial" w:cs="Arial"/>
                <w:sz w:val="23"/>
                <w:szCs w:val="23"/>
              </w:rPr>
            </w:pPr>
          </w:p>
          <w:p w14:paraId="691BA8C8" w14:textId="77777777" w:rsidR="00CF0354" w:rsidRPr="008F578B" w:rsidRDefault="00CF0354" w:rsidP="000F1178">
            <w:pPr>
              <w:pStyle w:val="NoSpacing"/>
              <w:ind w:left="720"/>
              <w:rPr>
                <w:rFonts w:ascii="Arial" w:hAnsi="Arial" w:cs="Arial"/>
                <w:sz w:val="23"/>
                <w:szCs w:val="23"/>
              </w:rPr>
            </w:pPr>
            <w:r w:rsidRPr="008F578B">
              <w:rPr>
                <w:rFonts w:ascii="Arial" w:hAnsi="Arial" w:cs="Arial"/>
                <w:sz w:val="23"/>
                <w:szCs w:val="23"/>
              </w:rPr>
              <w:t>3.2.2.2 School cannot offer an applicant all or some modules selected by an applicant and must discuss an alternative module selection.</w:t>
            </w:r>
          </w:p>
          <w:p w14:paraId="6526F505" w14:textId="77777777" w:rsidR="00CF0354" w:rsidRPr="008F578B" w:rsidRDefault="00CF0354" w:rsidP="00732A90">
            <w:pPr>
              <w:pStyle w:val="NoSpacing"/>
              <w:rPr>
                <w:rFonts w:ascii="Arial" w:hAnsi="Arial" w:cs="Arial"/>
                <w:sz w:val="23"/>
                <w:szCs w:val="23"/>
              </w:rPr>
            </w:pPr>
          </w:p>
          <w:p w14:paraId="22929E08"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 xml:space="preserve">3.2.3 After the decision whether the applicants are accepted or rejected is made, the School forwards the master </w:t>
            </w:r>
            <w:r w:rsidRPr="008F578B">
              <w:rPr>
                <w:rFonts w:ascii="Arial" w:hAnsi="Arial" w:cs="Arial"/>
                <w:i/>
                <w:sz w:val="23"/>
                <w:szCs w:val="23"/>
              </w:rPr>
              <w:t>Applications</w:t>
            </w:r>
            <w:r w:rsidRPr="008F578B">
              <w:rPr>
                <w:rFonts w:ascii="Arial" w:hAnsi="Arial" w:cs="Arial"/>
                <w:sz w:val="23"/>
                <w:szCs w:val="23"/>
              </w:rPr>
              <w:t xml:space="preserve"> spreadsheet to the Admission Team </w:t>
            </w:r>
            <w:hyperlink r:id="rId10" w:history="1">
              <w:r w:rsidRPr="008F578B">
                <w:rPr>
                  <w:rStyle w:val="Hyperlink"/>
                  <w:rFonts w:ascii="Arial" w:hAnsi="Arial" w:cs="Arial"/>
                  <w:sz w:val="23"/>
                  <w:szCs w:val="23"/>
                </w:rPr>
                <w:t>ugadmissions@napier.ac.uk</w:t>
              </w:r>
            </w:hyperlink>
            <w:r w:rsidRPr="008F578B">
              <w:rPr>
                <w:rFonts w:ascii="Arial" w:hAnsi="Arial" w:cs="Arial"/>
                <w:sz w:val="23"/>
                <w:szCs w:val="23"/>
              </w:rPr>
              <w:t xml:space="preserve"> to generate offers for applicants. The Schools should make sure that the whole master spreadsheet is sent to the Admissions Team otherwise, Admissions will not have enough information from the Schools about the accepted students and which can lead to incorrect offers of admissions and delays. </w:t>
            </w:r>
            <w:hyperlink r:id="rId11" w:history="1">
              <w:r w:rsidRPr="008F578B">
                <w:rPr>
                  <w:rStyle w:val="Hyperlink"/>
                  <w:rFonts w:ascii="Arial" w:hAnsi="Arial" w:cs="Arial"/>
                  <w:sz w:val="23"/>
                  <w:szCs w:val="23"/>
                </w:rPr>
                <w:t>visitingstudents@napier.ac.uk</w:t>
              </w:r>
            </w:hyperlink>
            <w:r w:rsidRPr="008F578B">
              <w:rPr>
                <w:rStyle w:val="Hyperlink"/>
                <w:rFonts w:ascii="Arial" w:hAnsi="Arial" w:cs="Arial"/>
                <w:sz w:val="23"/>
                <w:szCs w:val="23"/>
              </w:rPr>
              <w:t xml:space="preserve"> </w:t>
            </w:r>
            <w:r w:rsidRPr="008F578B">
              <w:rPr>
                <w:rFonts w:ascii="Arial" w:hAnsi="Arial" w:cs="Arial"/>
                <w:sz w:val="23"/>
                <w:szCs w:val="23"/>
              </w:rPr>
              <w:t xml:space="preserve">should be copied in the communication to the Admissions. </w:t>
            </w:r>
          </w:p>
          <w:p w14:paraId="6DC54AE2" w14:textId="77777777" w:rsidR="00CF0354" w:rsidRPr="008F578B" w:rsidRDefault="00CF0354" w:rsidP="00732A90">
            <w:pPr>
              <w:pStyle w:val="NoSpacing"/>
              <w:rPr>
                <w:rFonts w:ascii="Arial" w:hAnsi="Arial" w:cs="Arial"/>
                <w:sz w:val="23"/>
                <w:szCs w:val="23"/>
              </w:rPr>
            </w:pPr>
          </w:p>
          <w:p w14:paraId="44D69FDC" w14:textId="77777777" w:rsidR="00CF0354" w:rsidRPr="00C959C8" w:rsidRDefault="00CF0354" w:rsidP="00C959C8">
            <w:pPr>
              <w:pStyle w:val="Heading2"/>
              <w:rPr>
                <w:b/>
                <w:color w:val="000000" w:themeColor="text1"/>
              </w:rPr>
            </w:pPr>
            <w:bookmarkStart w:id="9" w:name="_Toc2957875"/>
            <w:r w:rsidRPr="00C959C8">
              <w:rPr>
                <w:b/>
                <w:color w:val="000000" w:themeColor="text1"/>
              </w:rPr>
              <w:t>The Admissions Team &amp; Visa &amp; International Support:</w:t>
            </w:r>
            <w:bookmarkEnd w:id="9"/>
          </w:p>
          <w:p w14:paraId="78BF9A27" w14:textId="77777777" w:rsidR="00CF0354" w:rsidRPr="008F578B" w:rsidRDefault="00CF0354" w:rsidP="00732A90">
            <w:pPr>
              <w:pStyle w:val="NoSpacing"/>
              <w:rPr>
                <w:rFonts w:ascii="Arial" w:hAnsi="Arial" w:cs="Arial"/>
                <w:sz w:val="23"/>
                <w:szCs w:val="23"/>
              </w:rPr>
            </w:pPr>
          </w:p>
          <w:p w14:paraId="6989C533"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 xml:space="preserve">3.3.1 Upon receipt of the completed </w:t>
            </w:r>
            <w:r w:rsidRPr="008F578B">
              <w:rPr>
                <w:rFonts w:ascii="Arial" w:hAnsi="Arial" w:cs="Arial"/>
                <w:i/>
                <w:sz w:val="23"/>
                <w:szCs w:val="23"/>
              </w:rPr>
              <w:t>Applications</w:t>
            </w:r>
            <w:r w:rsidRPr="008F578B">
              <w:rPr>
                <w:rFonts w:ascii="Arial" w:hAnsi="Arial" w:cs="Arial"/>
                <w:sz w:val="23"/>
                <w:szCs w:val="23"/>
              </w:rPr>
              <w:t xml:space="preserve"> spreadsheet Admissions reviews the application to ensure all supporting documentation is included, then generates an email with appropriate offer details to the applicant(s). Every time the offer is sent to the applicant, Admissions must notify the relevant School that the offer has been sent. </w:t>
            </w:r>
          </w:p>
          <w:p w14:paraId="655F1941" w14:textId="77777777" w:rsidR="00CF0354" w:rsidRPr="008F578B" w:rsidRDefault="00CF0354" w:rsidP="00732A90">
            <w:pPr>
              <w:pStyle w:val="NoSpacing"/>
              <w:rPr>
                <w:rFonts w:ascii="Arial" w:hAnsi="Arial" w:cs="Arial"/>
                <w:sz w:val="23"/>
                <w:szCs w:val="23"/>
              </w:rPr>
            </w:pPr>
            <w:r w:rsidRPr="008F578B">
              <w:rPr>
                <w:rFonts w:ascii="Arial" w:hAnsi="Arial" w:cs="Arial"/>
                <w:sz w:val="23"/>
                <w:szCs w:val="23"/>
              </w:rPr>
              <w:t xml:space="preserve"> </w:t>
            </w:r>
          </w:p>
          <w:p w14:paraId="0C58C9C1" w14:textId="3542B999" w:rsidR="00CF0354" w:rsidRPr="008F578B" w:rsidRDefault="00CF0354" w:rsidP="00732A90">
            <w:pPr>
              <w:pStyle w:val="NoSpacing"/>
              <w:rPr>
                <w:rFonts w:ascii="Arial" w:hAnsi="Arial" w:cs="Arial"/>
                <w:color w:val="000000" w:themeColor="text1"/>
                <w:sz w:val="23"/>
                <w:szCs w:val="23"/>
              </w:rPr>
            </w:pPr>
            <w:r w:rsidRPr="008F578B">
              <w:rPr>
                <w:rFonts w:ascii="Arial" w:hAnsi="Arial" w:cs="Arial"/>
                <w:color w:val="000000" w:themeColor="text1"/>
                <w:sz w:val="23"/>
                <w:szCs w:val="23"/>
              </w:rPr>
              <w:t xml:space="preserve">3.3.2 Some Visiting Students need a </w:t>
            </w:r>
            <w:r w:rsidR="00115694">
              <w:rPr>
                <w:rFonts w:ascii="Arial" w:hAnsi="Arial" w:cs="Arial"/>
                <w:color w:val="000000" w:themeColor="text1"/>
                <w:sz w:val="23"/>
                <w:szCs w:val="23"/>
              </w:rPr>
              <w:t>Student Visa</w:t>
            </w:r>
            <w:r w:rsidRPr="008F578B">
              <w:rPr>
                <w:rFonts w:ascii="Arial" w:hAnsi="Arial" w:cs="Arial"/>
                <w:color w:val="000000" w:themeColor="text1"/>
                <w:sz w:val="23"/>
                <w:szCs w:val="23"/>
              </w:rPr>
              <w:t xml:space="preserve"> to be able to study at Edinburgh Napier University. </w:t>
            </w:r>
            <w:r w:rsidRPr="008F578B">
              <w:rPr>
                <w:rFonts w:ascii="Arial" w:hAnsi="Arial" w:cs="Arial"/>
                <w:color w:val="000000" w:themeColor="text1"/>
                <w:sz w:val="23"/>
                <w:szCs w:val="23"/>
                <w:lang w:val="en"/>
              </w:rPr>
              <w:t xml:space="preserve">Guidance on applying for a visa will be provided by our Visa &amp; International Support team.  </w:t>
            </w:r>
          </w:p>
          <w:p w14:paraId="45409D3F" w14:textId="77777777" w:rsidR="00CF0354" w:rsidRPr="008F578B" w:rsidRDefault="00CF0354" w:rsidP="00732A90">
            <w:pPr>
              <w:pStyle w:val="NoSpacing"/>
              <w:rPr>
                <w:rFonts w:ascii="Arial" w:hAnsi="Arial" w:cs="Arial"/>
                <w:sz w:val="23"/>
                <w:szCs w:val="23"/>
              </w:rPr>
            </w:pPr>
          </w:p>
          <w:p w14:paraId="5ADD5333" w14:textId="77777777" w:rsidR="00CF0354" w:rsidRPr="000F1178" w:rsidRDefault="00CF0354" w:rsidP="000F1178">
            <w:pPr>
              <w:pStyle w:val="Heading1"/>
              <w:rPr>
                <w:b/>
                <w:color w:val="000000" w:themeColor="text1"/>
              </w:rPr>
            </w:pPr>
            <w:bookmarkStart w:id="10" w:name="_Toc2957876"/>
            <w:r w:rsidRPr="000F1178">
              <w:rPr>
                <w:b/>
                <w:color w:val="000000" w:themeColor="text1"/>
              </w:rPr>
              <w:t xml:space="preserve">4.  Post </w:t>
            </w:r>
            <w:r w:rsidR="000F1178">
              <w:rPr>
                <w:b/>
                <w:color w:val="000000" w:themeColor="text1"/>
              </w:rPr>
              <w:t>application cycle</w:t>
            </w:r>
            <w:bookmarkEnd w:id="10"/>
            <w:r w:rsidR="000F1178">
              <w:rPr>
                <w:b/>
                <w:color w:val="000000" w:themeColor="text1"/>
              </w:rPr>
              <w:t xml:space="preserve"> </w:t>
            </w:r>
          </w:p>
          <w:p w14:paraId="77CDB925" w14:textId="77777777" w:rsidR="00CF0354" w:rsidRPr="008F578B" w:rsidRDefault="00CF0354" w:rsidP="00732A90">
            <w:pPr>
              <w:pStyle w:val="NoSpacing"/>
              <w:rPr>
                <w:rFonts w:ascii="Arial" w:hAnsi="Arial" w:cs="Arial"/>
                <w:sz w:val="23"/>
                <w:szCs w:val="23"/>
              </w:rPr>
            </w:pPr>
          </w:p>
          <w:p w14:paraId="2A44B6AE" w14:textId="77777777" w:rsidR="00CF0354" w:rsidRPr="000F1178" w:rsidRDefault="00CF0354" w:rsidP="000F1178">
            <w:pPr>
              <w:pStyle w:val="Heading2"/>
              <w:rPr>
                <w:b/>
                <w:color w:val="000000" w:themeColor="text1"/>
              </w:rPr>
            </w:pPr>
            <w:bookmarkStart w:id="11" w:name="_Toc2957877"/>
            <w:r w:rsidRPr="000F1178">
              <w:rPr>
                <w:b/>
                <w:color w:val="000000" w:themeColor="text1"/>
              </w:rPr>
              <w:t>Global Mobility Team:</w:t>
            </w:r>
            <w:bookmarkEnd w:id="11"/>
          </w:p>
          <w:p w14:paraId="2920FCF7" w14:textId="77777777" w:rsidR="00CF0354" w:rsidRDefault="00CF0354" w:rsidP="00732A90">
            <w:pPr>
              <w:pStyle w:val="NoSpacing"/>
              <w:rPr>
                <w:rFonts w:ascii="Arial" w:hAnsi="Arial" w:cs="Arial"/>
                <w:sz w:val="23"/>
                <w:szCs w:val="23"/>
              </w:rPr>
            </w:pPr>
          </w:p>
          <w:p w14:paraId="71955BB4" w14:textId="77777777" w:rsidR="000F1178" w:rsidRDefault="000F1178" w:rsidP="00732A90">
            <w:pPr>
              <w:pStyle w:val="NoSpacing"/>
              <w:rPr>
                <w:rFonts w:ascii="Arial" w:hAnsi="Arial" w:cs="Arial"/>
                <w:sz w:val="23"/>
                <w:szCs w:val="23"/>
              </w:rPr>
            </w:pPr>
            <w:r>
              <w:rPr>
                <w:rFonts w:ascii="Arial" w:hAnsi="Arial" w:cs="Arial"/>
                <w:sz w:val="23"/>
                <w:szCs w:val="23"/>
              </w:rPr>
              <w:t>The Global Mobility Team will be responsible for:</w:t>
            </w:r>
          </w:p>
          <w:p w14:paraId="09EC0FA4" w14:textId="77777777" w:rsidR="000F1178" w:rsidRPr="008F578B" w:rsidRDefault="000F1178" w:rsidP="00732A90">
            <w:pPr>
              <w:pStyle w:val="NoSpacing"/>
              <w:rPr>
                <w:rFonts w:ascii="Arial" w:hAnsi="Arial" w:cs="Arial"/>
                <w:sz w:val="23"/>
                <w:szCs w:val="23"/>
              </w:rPr>
            </w:pPr>
          </w:p>
          <w:p w14:paraId="4020B4CF" w14:textId="77777777" w:rsidR="00CF0354" w:rsidRPr="008F578B" w:rsidRDefault="00CF0354" w:rsidP="000F1178">
            <w:pPr>
              <w:pStyle w:val="NoSpacing"/>
              <w:numPr>
                <w:ilvl w:val="0"/>
                <w:numId w:val="3"/>
              </w:numPr>
              <w:rPr>
                <w:rFonts w:ascii="Arial" w:hAnsi="Arial" w:cs="Arial"/>
                <w:sz w:val="23"/>
                <w:szCs w:val="23"/>
              </w:rPr>
            </w:pPr>
            <w:r w:rsidRPr="008F578B">
              <w:rPr>
                <w:rFonts w:ascii="Arial" w:hAnsi="Arial" w:cs="Arial"/>
                <w:sz w:val="23"/>
                <w:szCs w:val="23"/>
              </w:rPr>
              <w:t>p</w:t>
            </w:r>
            <w:r w:rsidR="000F1178">
              <w:rPr>
                <w:rFonts w:ascii="Arial" w:hAnsi="Arial" w:cs="Arial"/>
                <w:sz w:val="23"/>
                <w:szCs w:val="23"/>
              </w:rPr>
              <w:t>roviding</w:t>
            </w:r>
            <w:r w:rsidRPr="008F578B">
              <w:rPr>
                <w:rFonts w:ascii="Arial" w:hAnsi="Arial" w:cs="Arial"/>
                <w:sz w:val="23"/>
                <w:szCs w:val="23"/>
              </w:rPr>
              <w:t xml:space="preserve"> </w:t>
            </w:r>
            <w:r w:rsidR="000F1178">
              <w:rPr>
                <w:rFonts w:ascii="Arial" w:hAnsi="Arial" w:cs="Arial"/>
                <w:sz w:val="23"/>
                <w:szCs w:val="23"/>
              </w:rPr>
              <w:t xml:space="preserve">support to students </w:t>
            </w:r>
            <w:r w:rsidRPr="008F578B">
              <w:rPr>
                <w:rFonts w:ascii="Arial" w:hAnsi="Arial" w:cs="Arial"/>
                <w:sz w:val="23"/>
                <w:szCs w:val="23"/>
              </w:rPr>
              <w:t>and acts as a first point of contact for non-academic matters</w:t>
            </w:r>
          </w:p>
          <w:p w14:paraId="41C545D0" w14:textId="77777777" w:rsidR="00CF0354" w:rsidRPr="008F578B" w:rsidRDefault="00CF0354" w:rsidP="000F1178">
            <w:pPr>
              <w:pStyle w:val="NoSpacing"/>
              <w:numPr>
                <w:ilvl w:val="0"/>
                <w:numId w:val="3"/>
              </w:numPr>
              <w:rPr>
                <w:rFonts w:ascii="Arial" w:hAnsi="Arial" w:cs="Arial"/>
                <w:sz w:val="23"/>
                <w:szCs w:val="23"/>
              </w:rPr>
            </w:pPr>
            <w:r w:rsidRPr="008F578B">
              <w:rPr>
                <w:rFonts w:ascii="Arial" w:hAnsi="Arial" w:cs="Arial"/>
                <w:sz w:val="23"/>
                <w:szCs w:val="23"/>
              </w:rPr>
              <w:t xml:space="preserve">issues Visiting Student communications </w:t>
            </w:r>
          </w:p>
          <w:p w14:paraId="48140385" w14:textId="77777777" w:rsidR="00CF0354" w:rsidRPr="008F578B" w:rsidRDefault="000F1178" w:rsidP="000F1178">
            <w:pPr>
              <w:pStyle w:val="NoSpacing"/>
              <w:numPr>
                <w:ilvl w:val="0"/>
                <w:numId w:val="3"/>
              </w:numPr>
              <w:rPr>
                <w:rFonts w:ascii="Arial" w:hAnsi="Arial" w:cs="Arial"/>
                <w:sz w:val="23"/>
                <w:szCs w:val="23"/>
              </w:rPr>
            </w:pPr>
            <w:r>
              <w:rPr>
                <w:rFonts w:ascii="Arial" w:hAnsi="Arial" w:cs="Arial"/>
                <w:sz w:val="23"/>
                <w:szCs w:val="23"/>
              </w:rPr>
              <w:t>keeping</w:t>
            </w:r>
            <w:r w:rsidR="00CF0354" w:rsidRPr="008F578B">
              <w:rPr>
                <w:rFonts w:ascii="Arial" w:hAnsi="Arial" w:cs="Arial"/>
                <w:sz w:val="23"/>
                <w:szCs w:val="23"/>
              </w:rPr>
              <w:t xml:space="preserve"> the Partners and Study Abroad providers well informed about the application status of their applicants</w:t>
            </w:r>
          </w:p>
          <w:p w14:paraId="42D7DFAE" w14:textId="77777777" w:rsidR="000F1178" w:rsidRDefault="000F1178" w:rsidP="007B21C2">
            <w:pPr>
              <w:pStyle w:val="NoSpacing"/>
              <w:numPr>
                <w:ilvl w:val="0"/>
                <w:numId w:val="3"/>
              </w:numPr>
              <w:rPr>
                <w:rFonts w:ascii="Arial" w:hAnsi="Arial" w:cs="Arial"/>
                <w:sz w:val="23"/>
                <w:szCs w:val="23"/>
              </w:rPr>
            </w:pPr>
            <w:r w:rsidRPr="000F1178">
              <w:rPr>
                <w:rFonts w:ascii="Arial" w:hAnsi="Arial" w:cs="Arial"/>
                <w:sz w:val="23"/>
                <w:szCs w:val="23"/>
              </w:rPr>
              <w:t>organising and implementing the student w</w:t>
            </w:r>
            <w:r w:rsidR="00CF0354" w:rsidRPr="000F1178">
              <w:rPr>
                <w:rFonts w:ascii="Arial" w:hAnsi="Arial" w:cs="Arial"/>
                <w:sz w:val="23"/>
                <w:szCs w:val="23"/>
              </w:rPr>
              <w:t xml:space="preserve">elcome </w:t>
            </w:r>
            <w:r w:rsidRPr="000F1178">
              <w:rPr>
                <w:rFonts w:ascii="Arial" w:hAnsi="Arial" w:cs="Arial"/>
                <w:sz w:val="23"/>
                <w:szCs w:val="23"/>
              </w:rPr>
              <w:t xml:space="preserve">and induction events </w:t>
            </w:r>
          </w:p>
          <w:p w14:paraId="6EACF24C" w14:textId="77777777" w:rsidR="00CF0354" w:rsidRPr="000F1178" w:rsidRDefault="00CF0354" w:rsidP="007B21C2">
            <w:pPr>
              <w:pStyle w:val="NoSpacing"/>
              <w:numPr>
                <w:ilvl w:val="0"/>
                <w:numId w:val="3"/>
              </w:numPr>
              <w:rPr>
                <w:rFonts w:ascii="Arial" w:hAnsi="Arial" w:cs="Arial"/>
                <w:sz w:val="23"/>
                <w:szCs w:val="23"/>
              </w:rPr>
            </w:pPr>
            <w:r w:rsidRPr="000F1178">
              <w:rPr>
                <w:rFonts w:ascii="Arial" w:hAnsi="Arial" w:cs="Arial"/>
                <w:sz w:val="23"/>
                <w:szCs w:val="23"/>
              </w:rPr>
              <w:t>represent</w:t>
            </w:r>
            <w:r w:rsidR="000F1178">
              <w:rPr>
                <w:rFonts w:ascii="Arial" w:hAnsi="Arial" w:cs="Arial"/>
                <w:sz w:val="23"/>
                <w:szCs w:val="23"/>
              </w:rPr>
              <w:t>ing</w:t>
            </w:r>
            <w:r w:rsidRPr="000F1178">
              <w:rPr>
                <w:rFonts w:ascii="Arial" w:hAnsi="Arial" w:cs="Arial"/>
                <w:sz w:val="23"/>
                <w:szCs w:val="23"/>
              </w:rPr>
              <w:t xml:space="preserve"> the </w:t>
            </w:r>
            <w:r w:rsidR="000F1178">
              <w:rPr>
                <w:rFonts w:ascii="Arial" w:hAnsi="Arial" w:cs="Arial"/>
                <w:sz w:val="23"/>
                <w:szCs w:val="23"/>
              </w:rPr>
              <w:t>student</w:t>
            </w:r>
            <w:r w:rsidRPr="000F1178">
              <w:rPr>
                <w:rFonts w:ascii="Arial" w:hAnsi="Arial" w:cs="Arial"/>
                <w:sz w:val="23"/>
                <w:szCs w:val="23"/>
              </w:rPr>
              <w:t xml:space="preserve"> cohort on relevant forums – </w:t>
            </w:r>
            <w:r w:rsidR="000F1178" w:rsidRPr="000F1178">
              <w:rPr>
                <w:rFonts w:ascii="Arial" w:hAnsi="Arial" w:cs="Arial"/>
                <w:sz w:val="23"/>
                <w:szCs w:val="23"/>
              </w:rPr>
              <w:t>e.g.</w:t>
            </w:r>
            <w:r w:rsidR="000F1178">
              <w:rPr>
                <w:rFonts w:ascii="Arial" w:hAnsi="Arial" w:cs="Arial"/>
                <w:sz w:val="23"/>
                <w:szCs w:val="23"/>
              </w:rPr>
              <w:t xml:space="preserve"> </w:t>
            </w:r>
            <w:r w:rsidRPr="000F1178">
              <w:rPr>
                <w:rFonts w:ascii="Arial" w:hAnsi="Arial" w:cs="Arial"/>
                <w:sz w:val="23"/>
                <w:szCs w:val="23"/>
              </w:rPr>
              <w:t>Induction and Communication Group, the Institutional Mobility Forum</w:t>
            </w:r>
            <w:r w:rsidR="000F1178">
              <w:rPr>
                <w:rFonts w:ascii="Arial" w:hAnsi="Arial" w:cs="Arial"/>
                <w:sz w:val="23"/>
                <w:szCs w:val="23"/>
              </w:rPr>
              <w:t xml:space="preserve"> etc.</w:t>
            </w:r>
          </w:p>
          <w:p w14:paraId="7BD83083" w14:textId="77777777" w:rsidR="00CF0354" w:rsidRPr="008F578B" w:rsidRDefault="00CF0354" w:rsidP="00732A90">
            <w:pPr>
              <w:pStyle w:val="NoSpacing"/>
              <w:rPr>
                <w:rFonts w:ascii="Arial" w:hAnsi="Arial" w:cs="Arial"/>
                <w:sz w:val="23"/>
                <w:szCs w:val="23"/>
              </w:rPr>
            </w:pPr>
          </w:p>
          <w:p w14:paraId="2FCA08CD" w14:textId="77777777" w:rsidR="00CF0354" w:rsidRPr="000F1178" w:rsidRDefault="00CF0354" w:rsidP="000F1178">
            <w:pPr>
              <w:pStyle w:val="Heading2"/>
              <w:rPr>
                <w:b/>
                <w:color w:val="000000" w:themeColor="text1"/>
              </w:rPr>
            </w:pPr>
            <w:bookmarkStart w:id="12" w:name="_Toc2957878"/>
            <w:r w:rsidRPr="000F1178">
              <w:rPr>
                <w:b/>
                <w:color w:val="000000" w:themeColor="text1"/>
              </w:rPr>
              <w:t>Schools &amp; School Support Service:</w:t>
            </w:r>
            <w:bookmarkEnd w:id="12"/>
          </w:p>
          <w:p w14:paraId="74C07A02" w14:textId="77777777" w:rsidR="00CF0354" w:rsidRDefault="00CF0354" w:rsidP="00732A90">
            <w:pPr>
              <w:pStyle w:val="NoSpacing"/>
              <w:rPr>
                <w:rFonts w:ascii="Arial" w:hAnsi="Arial" w:cs="Arial"/>
                <w:sz w:val="23"/>
                <w:szCs w:val="23"/>
              </w:rPr>
            </w:pPr>
          </w:p>
          <w:p w14:paraId="1715A141" w14:textId="77777777" w:rsidR="000F1178" w:rsidRPr="008F578B" w:rsidRDefault="000F1178" w:rsidP="00732A90">
            <w:pPr>
              <w:pStyle w:val="NoSpacing"/>
              <w:rPr>
                <w:rFonts w:ascii="Arial" w:hAnsi="Arial" w:cs="Arial"/>
                <w:sz w:val="23"/>
                <w:szCs w:val="23"/>
              </w:rPr>
            </w:pPr>
            <w:r>
              <w:rPr>
                <w:rFonts w:ascii="Arial" w:hAnsi="Arial" w:cs="Arial"/>
                <w:sz w:val="23"/>
                <w:szCs w:val="23"/>
              </w:rPr>
              <w:t>The School and the School Support Service will be responsible for:</w:t>
            </w:r>
          </w:p>
          <w:p w14:paraId="33D7FE46" w14:textId="77777777" w:rsidR="00CF0354" w:rsidRPr="008F578B" w:rsidRDefault="00CF0354" w:rsidP="000F1178">
            <w:pPr>
              <w:pStyle w:val="NoSpacing"/>
              <w:numPr>
                <w:ilvl w:val="0"/>
                <w:numId w:val="4"/>
              </w:numPr>
              <w:rPr>
                <w:rFonts w:ascii="Arial" w:hAnsi="Arial" w:cs="Arial"/>
                <w:sz w:val="23"/>
                <w:szCs w:val="23"/>
              </w:rPr>
            </w:pPr>
            <w:r w:rsidRPr="008F578B">
              <w:rPr>
                <w:rFonts w:ascii="Arial" w:hAnsi="Arial" w:cs="Arial"/>
                <w:sz w:val="23"/>
                <w:szCs w:val="23"/>
              </w:rPr>
              <w:t>act</w:t>
            </w:r>
            <w:r w:rsidR="000F1178">
              <w:rPr>
                <w:rFonts w:ascii="Arial" w:hAnsi="Arial" w:cs="Arial"/>
                <w:sz w:val="23"/>
                <w:szCs w:val="23"/>
              </w:rPr>
              <w:t>ing</w:t>
            </w:r>
            <w:r w:rsidRPr="008F578B">
              <w:rPr>
                <w:rFonts w:ascii="Arial" w:hAnsi="Arial" w:cs="Arial"/>
                <w:sz w:val="23"/>
                <w:szCs w:val="23"/>
              </w:rPr>
              <w:t xml:space="preserve"> as a first point of contact for all academic matters,</w:t>
            </w:r>
          </w:p>
          <w:p w14:paraId="00429E19" w14:textId="77777777" w:rsidR="00CF0354" w:rsidRPr="008F578B" w:rsidRDefault="00CF0354" w:rsidP="000F1178">
            <w:pPr>
              <w:pStyle w:val="NoSpacing"/>
              <w:numPr>
                <w:ilvl w:val="0"/>
                <w:numId w:val="4"/>
              </w:numPr>
              <w:rPr>
                <w:rFonts w:ascii="Arial" w:hAnsi="Arial" w:cs="Arial"/>
                <w:sz w:val="23"/>
                <w:szCs w:val="23"/>
              </w:rPr>
            </w:pPr>
            <w:r w:rsidRPr="008F578B">
              <w:rPr>
                <w:rFonts w:ascii="Arial" w:hAnsi="Arial" w:cs="Arial"/>
                <w:sz w:val="23"/>
                <w:szCs w:val="23"/>
              </w:rPr>
              <w:t>enro</w:t>
            </w:r>
            <w:r w:rsidR="000F1178">
              <w:rPr>
                <w:rFonts w:ascii="Arial" w:hAnsi="Arial" w:cs="Arial"/>
                <w:sz w:val="23"/>
                <w:szCs w:val="23"/>
              </w:rPr>
              <w:t>l</w:t>
            </w:r>
            <w:r w:rsidRPr="008F578B">
              <w:rPr>
                <w:rFonts w:ascii="Arial" w:hAnsi="Arial" w:cs="Arial"/>
                <w:sz w:val="23"/>
                <w:szCs w:val="23"/>
              </w:rPr>
              <w:t>l</w:t>
            </w:r>
            <w:r w:rsidR="000F1178">
              <w:rPr>
                <w:rFonts w:ascii="Arial" w:hAnsi="Arial" w:cs="Arial"/>
                <w:sz w:val="23"/>
                <w:szCs w:val="23"/>
              </w:rPr>
              <w:t>ing</w:t>
            </w:r>
            <w:r w:rsidRPr="008F578B">
              <w:rPr>
                <w:rFonts w:ascii="Arial" w:hAnsi="Arial" w:cs="Arial"/>
                <w:sz w:val="23"/>
                <w:szCs w:val="23"/>
              </w:rPr>
              <w:t xml:space="preserve"> VS cohort on their modules before they arrive at the university,</w:t>
            </w:r>
          </w:p>
          <w:p w14:paraId="16B7D052" w14:textId="77777777" w:rsidR="00CF0354" w:rsidRPr="008F578B" w:rsidRDefault="00CF0354" w:rsidP="000F1178">
            <w:pPr>
              <w:pStyle w:val="NoSpacing"/>
              <w:numPr>
                <w:ilvl w:val="0"/>
                <w:numId w:val="4"/>
              </w:numPr>
              <w:rPr>
                <w:rFonts w:ascii="Arial" w:hAnsi="Arial" w:cs="Arial"/>
                <w:sz w:val="23"/>
                <w:szCs w:val="23"/>
              </w:rPr>
            </w:pPr>
            <w:r w:rsidRPr="008F578B">
              <w:rPr>
                <w:rFonts w:ascii="Arial" w:hAnsi="Arial" w:cs="Arial"/>
                <w:sz w:val="23"/>
                <w:szCs w:val="23"/>
              </w:rPr>
              <w:t>check</w:t>
            </w:r>
            <w:r w:rsidR="000F1178">
              <w:rPr>
                <w:rFonts w:ascii="Arial" w:hAnsi="Arial" w:cs="Arial"/>
                <w:sz w:val="23"/>
                <w:szCs w:val="23"/>
              </w:rPr>
              <w:t>ing</w:t>
            </w:r>
            <w:r w:rsidRPr="008F578B">
              <w:rPr>
                <w:rFonts w:ascii="Arial" w:hAnsi="Arial" w:cs="Arial"/>
                <w:sz w:val="23"/>
                <w:szCs w:val="23"/>
              </w:rPr>
              <w:t xml:space="preserve"> if there are any timetable clashes before </w:t>
            </w:r>
            <w:r w:rsidR="000F1178">
              <w:rPr>
                <w:rFonts w:ascii="Arial" w:hAnsi="Arial" w:cs="Arial"/>
                <w:sz w:val="23"/>
                <w:szCs w:val="23"/>
              </w:rPr>
              <w:t>student</w:t>
            </w:r>
            <w:r w:rsidRPr="008F578B">
              <w:rPr>
                <w:rFonts w:ascii="Arial" w:hAnsi="Arial" w:cs="Arial"/>
                <w:sz w:val="23"/>
                <w:szCs w:val="23"/>
              </w:rPr>
              <w:t xml:space="preserve"> cohort arrives at the university,</w:t>
            </w:r>
          </w:p>
          <w:p w14:paraId="24BF85DA" w14:textId="77777777" w:rsidR="00CF0354" w:rsidRPr="008F578B" w:rsidRDefault="00CF0354" w:rsidP="000F1178">
            <w:pPr>
              <w:pStyle w:val="NoSpacing"/>
              <w:numPr>
                <w:ilvl w:val="0"/>
                <w:numId w:val="4"/>
              </w:numPr>
              <w:rPr>
                <w:rFonts w:ascii="Arial" w:hAnsi="Arial" w:cs="Arial"/>
                <w:sz w:val="23"/>
                <w:szCs w:val="23"/>
              </w:rPr>
            </w:pPr>
            <w:r w:rsidRPr="008F578B">
              <w:rPr>
                <w:rFonts w:ascii="Arial" w:hAnsi="Arial" w:cs="Arial"/>
                <w:sz w:val="23"/>
                <w:szCs w:val="23"/>
              </w:rPr>
              <w:t>sign</w:t>
            </w:r>
            <w:r w:rsidR="000F1178">
              <w:rPr>
                <w:rFonts w:ascii="Arial" w:hAnsi="Arial" w:cs="Arial"/>
                <w:sz w:val="23"/>
                <w:szCs w:val="23"/>
              </w:rPr>
              <w:t xml:space="preserve">ing </w:t>
            </w:r>
            <w:r w:rsidRPr="008F578B">
              <w:rPr>
                <w:rFonts w:ascii="Arial" w:hAnsi="Arial" w:cs="Arial"/>
                <w:sz w:val="23"/>
                <w:szCs w:val="23"/>
              </w:rPr>
              <w:t>Learning Agreements if necessary,</w:t>
            </w:r>
          </w:p>
          <w:p w14:paraId="627EB68B" w14:textId="77777777" w:rsidR="00CF0354" w:rsidRPr="008F578B" w:rsidRDefault="000F1178" w:rsidP="000F1178">
            <w:pPr>
              <w:pStyle w:val="NoSpacing"/>
              <w:numPr>
                <w:ilvl w:val="0"/>
                <w:numId w:val="4"/>
              </w:numPr>
              <w:rPr>
                <w:rFonts w:ascii="Arial" w:hAnsi="Arial" w:cs="Arial"/>
                <w:sz w:val="23"/>
                <w:szCs w:val="23"/>
              </w:rPr>
            </w:pPr>
            <w:r>
              <w:rPr>
                <w:rFonts w:ascii="Arial" w:hAnsi="Arial" w:cs="Arial"/>
                <w:sz w:val="23"/>
                <w:szCs w:val="23"/>
              </w:rPr>
              <w:t>organising and implementing Academic Inductions</w:t>
            </w:r>
          </w:p>
          <w:p w14:paraId="322DE74F" w14:textId="77777777" w:rsidR="00CF0354" w:rsidRDefault="00CF0354" w:rsidP="00732A90">
            <w:pPr>
              <w:pStyle w:val="NoSpacing"/>
              <w:rPr>
                <w:rFonts w:ascii="Arial" w:hAnsi="Arial" w:cs="Arial"/>
                <w:sz w:val="23"/>
                <w:szCs w:val="23"/>
              </w:rPr>
            </w:pPr>
          </w:p>
          <w:p w14:paraId="260FA25C" w14:textId="77777777" w:rsidR="00CF0354" w:rsidRPr="008F578B" w:rsidRDefault="00CF0354" w:rsidP="00732A90">
            <w:pPr>
              <w:pStyle w:val="NoSpacing"/>
              <w:rPr>
                <w:rFonts w:ascii="Arial" w:hAnsi="Arial" w:cs="Arial"/>
                <w:sz w:val="23"/>
                <w:szCs w:val="23"/>
              </w:rPr>
            </w:pPr>
          </w:p>
        </w:tc>
      </w:tr>
    </w:tbl>
    <w:p w14:paraId="2EE83247" w14:textId="77777777" w:rsidR="00CF0354" w:rsidRPr="008F578B" w:rsidRDefault="00CF0354" w:rsidP="00CF0354">
      <w:pPr>
        <w:pStyle w:val="NoSpacing"/>
        <w:rPr>
          <w:rFonts w:ascii="Arial" w:hAnsi="Arial" w:cs="Arial"/>
          <w:sz w:val="23"/>
          <w:szCs w:val="23"/>
        </w:rPr>
      </w:pPr>
    </w:p>
    <w:p w14:paraId="1CDD97C0" w14:textId="77777777" w:rsidR="00BD5486" w:rsidRDefault="00BD5486"/>
    <w:sectPr w:rsidR="00BD5486" w:rsidSect="00CF03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3AEF9" w14:textId="77777777" w:rsidR="00A42684" w:rsidRDefault="00A42684" w:rsidP="00CF0354">
      <w:pPr>
        <w:spacing w:after="0" w:line="240" w:lineRule="auto"/>
      </w:pPr>
      <w:r>
        <w:separator/>
      </w:r>
    </w:p>
  </w:endnote>
  <w:endnote w:type="continuationSeparator" w:id="0">
    <w:p w14:paraId="28B321B3" w14:textId="77777777" w:rsidR="00A42684" w:rsidRDefault="00A42684" w:rsidP="00CF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B29D4" w14:textId="77777777" w:rsidR="00A42684" w:rsidRDefault="00A42684" w:rsidP="00CF0354">
      <w:pPr>
        <w:spacing w:after="0" w:line="240" w:lineRule="auto"/>
      </w:pPr>
      <w:r>
        <w:separator/>
      </w:r>
    </w:p>
  </w:footnote>
  <w:footnote w:type="continuationSeparator" w:id="0">
    <w:p w14:paraId="01AF1F47" w14:textId="77777777" w:rsidR="00A42684" w:rsidRDefault="00A42684" w:rsidP="00CF0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B37E9"/>
    <w:multiLevelType w:val="hybridMultilevel"/>
    <w:tmpl w:val="5380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93010"/>
    <w:multiLevelType w:val="hybridMultilevel"/>
    <w:tmpl w:val="0AB0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720DC"/>
    <w:multiLevelType w:val="hybridMultilevel"/>
    <w:tmpl w:val="910A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F2D57"/>
    <w:multiLevelType w:val="hybridMultilevel"/>
    <w:tmpl w:val="3938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54"/>
    <w:rsid w:val="00070462"/>
    <w:rsid w:val="000E6B9B"/>
    <w:rsid w:val="000F1178"/>
    <w:rsid w:val="00115694"/>
    <w:rsid w:val="001D755E"/>
    <w:rsid w:val="005F5DA1"/>
    <w:rsid w:val="00A42684"/>
    <w:rsid w:val="00B52FF3"/>
    <w:rsid w:val="00BD3ADF"/>
    <w:rsid w:val="00BD5486"/>
    <w:rsid w:val="00C959C8"/>
    <w:rsid w:val="00CF0354"/>
    <w:rsid w:val="00DE20AA"/>
    <w:rsid w:val="00E3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571A"/>
  <w15:chartTrackingRefBased/>
  <w15:docId w15:val="{9BC01354-F7B8-454A-9645-C636A771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54"/>
  </w:style>
  <w:style w:type="paragraph" w:styleId="Heading1">
    <w:name w:val="heading 1"/>
    <w:basedOn w:val="Normal"/>
    <w:next w:val="Normal"/>
    <w:link w:val="Heading1Char"/>
    <w:uiPriority w:val="9"/>
    <w:qFormat/>
    <w:rsid w:val="00CF03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03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354"/>
    <w:rPr>
      <w:color w:val="0563C1" w:themeColor="hyperlink"/>
      <w:u w:val="single"/>
    </w:rPr>
  </w:style>
  <w:style w:type="paragraph" w:styleId="Header">
    <w:name w:val="header"/>
    <w:basedOn w:val="Normal"/>
    <w:link w:val="HeaderChar"/>
    <w:uiPriority w:val="99"/>
    <w:unhideWhenUsed/>
    <w:rsid w:val="00CF0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354"/>
  </w:style>
  <w:style w:type="paragraph" w:styleId="NoSpacing">
    <w:name w:val="No Spacing"/>
    <w:uiPriority w:val="1"/>
    <w:qFormat/>
    <w:rsid w:val="00CF0354"/>
    <w:pPr>
      <w:spacing w:after="0" w:line="240" w:lineRule="auto"/>
    </w:pPr>
  </w:style>
  <w:style w:type="paragraph" w:styleId="Footer">
    <w:name w:val="footer"/>
    <w:basedOn w:val="Normal"/>
    <w:link w:val="FooterChar"/>
    <w:uiPriority w:val="99"/>
    <w:unhideWhenUsed/>
    <w:rsid w:val="00CF0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354"/>
  </w:style>
  <w:style w:type="character" w:customStyle="1" w:styleId="Heading2Char">
    <w:name w:val="Heading 2 Char"/>
    <w:basedOn w:val="DefaultParagraphFont"/>
    <w:link w:val="Heading2"/>
    <w:uiPriority w:val="9"/>
    <w:rsid w:val="00CF035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F035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F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F1178"/>
    <w:pPr>
      <w:outlineLvl w:val="9"/>
    </w:pPr>
    <w:rPr>
      <w:lang w:val="en-US"/>
    </w:rPr>
  </w:style>
  <w:style w:type="paragraph" w:styleId="TOC1">
    <w:name w:val="toc 1"/>
    <w:basedOn w:val="Normal"/>
    <w:next w:val="Normal"/>
    <w:autoRedefine/>
    <w:uiPriority w:val="39"/>
    <w:unhideWhenUsed/>
    <w:rsid w:val="000F1178"/>
    <w:pPr>
      <w:spacing w:after="100"/>
    </w:pPr>
  </w:style>
  <w:style w:type="paragraph" w:styleId="TOC2">
    <w:name w:val="toc 2"/>
    <w:basedOn w:val="Normal"/>
    <w:next w:val="Normal"/>
    <w:autoRedefine/>
    <w:uiPriority w:val="39"/>
    <w:unhideWhenUsed/>
    <w:rsid w:val="000F117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itingstudents@napier.ac.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ugadmissions@napier.ac.uk" TargetMode="External"/><Relationship Id="rId4" Type="http://schemas.openxmlformats.org/officeDocument/2006/relationships/settings" Target="settings.xml"/><Relationship Id="rId9" Type="http://schemas.openxmlformats.org/officeDocument/2006/relationships/hyperlink" Target="mailto:visitingstudents@napier.ac.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E8C623-F835-4D33-8E59-9EDF3F85AE13}"/>
</file>

<file path=customXml/itemProps2.xml><?xml version="1.0" encoding="utf-8"?>
<ds:datastoreItem xmlns:ds="http://schemas.openxmlformats.org/officeDocument/2006/customXml" ds:itemID="{A2236C79-C0A1-4CE2-876D-FE54C4FA0825}"/>
</file>

<file path=customXml/itemProps3.xml><?xml version="1.0" encoding="utf-8"?>
<ds:datastoreItem xmlns:ds="http://schemas.openxmlformats.org/officeDocument/2006/customXml" ds:itemID="{89D24131-6573-4C70-9253-DD773D9CCB0C}"/>
</file>

<file path=customXml/itemProps4.xml><?xml version="1.0" encoding="utf-8"?>
<ds:datastoreItem xmlns:ds="http://schemas.openxmlformats.org/officeDocument/2006/customXml" ds:itemID="{E0B44944-01A9-4A56-ABF4-7F8FBCBB1B2B}"/>
</file>

<file path=docProps/app.xml><?xml version="1.0" encoding="utf-8"?>
<Properties xmlns="http://schemas.openxmlformats.org/officeDocument/2006/extended-properties" xmlns:vt="http://schemas.openxmlformats.org/officeDocument/2006/docPropsVTypes">
  <Template>Normal.dotm</Template>
  <TotalTime>14</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Student Policy</dc:title>
  <dc:subject/>
  <dc:creator>McClure, Louise</dc:creator>
  <cp:keywords/>
  <dc:description/>
  <cp:lastModifiedBy>Staniszewski, Slawek</cp:lastModifiedBy>
  <cp:revision>7</cp:revision>
  <dcterms:created xsi:type="dcterms:W3CDTF">2019-03-12T14:04:00Z</dcterms:created>
  <dcterms:modified xsi:type="dcterms:W3CDTF">2021-02-23T11:10:00Z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