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169F" w14:textId="77777777" w:rsidR="009F1CB9" w:rsidRDefault="00D4202B" w:rsidP="00155D14">
      <w:pPr>
        <w:spacing w:line="360" w:lineRule="auto"/>
        <w:jc w:val="right"/>
        <w:rPr>
          <w:b/>
        </w:rPr>
      </w:pPr>
      <w:r w:rsidRPr="00D4202B">
        <w:rPr>
          <w:b/>
        </w:rPr>
        <w:tab/>
      </w:r>
      <w:r w:rsidRPr="00D4202B">
        <w:rPr>
          <w:b/>
        </w:rPr>
        <w:tab/>
      </w:r>
      <w:r w:rsidRPr="00D4202B">
        <w:rPr>
          <w:b/>
        </w:rPr>
        <w:tab/>
      </w:r>
      <w:r w:rsidRPr="00D4202B">
        <w:rPr>
          <w:b/>
        </w:rPr>
        <w:tab/>
      </w:r>
      <w:r w:rsidRPr="00D4202B">
        <w:rPr>
          <w:b/>
        </w:rPr>
        <w:tab/>
        <w:t xml:space="preserve">         </w:t>
      </w:r>
    </w:p>
    <w:p w14:paraId="12DEB259" w14:textId="250422B3" w:rsidR="00797884" w:rsidRDefault="00EE7E77" w:rsidP="00155D14">
      <w:pPr>
        <w:spacing w:line="360" w:lineRule="auto"/>
        <w:jc w:val="right"/>
        <w:rPr>
          <w:b/>
        </w:rPr>
      </w:pPr>
      <w:proofErr w:type="gramStart"/>
      <w:r>
        <w:rPr>
          <w:b/>
        </w:rPr>
        <w:t>QS(</w:t>
      </w:r>
      <w:proofErr w:type="gramEnd"/>
      <w:r>
        <w:rPr>
          <w:b/>
        </w:rPr>
        <w:t>2</w:t>
      </w:r>
      <w:r w:rsidR="007B22B0">
        <w:rPr>
          <w:b/>
        </w:rPr>
        <w:t>4</w:t>
      </w:r>
      <w:r>
        <w:rPr>
          <w:b/>
        </w:rPr>
        <w:t>/2</w:t>
      </w:r>
      <w:r w:rsidR="007B22B0">
        <w:rPr>
          <w:b/>
        </w:rPr>
        <w:t>5</w:t>
      </w:r>
      <w:r>
        <w:rPr>
          <w:b/>
        </w:rPr>
        <w:t>)</w:t>
      </w:r>
      <w:r w:rsidR="00AE1DAF">
        <w:rPr>
          <w:b/>
        </w:rPr>
        <w:t>08</w:t>
      </w:r>
    </w:p>
    <w:p w14:paraId="046CB8FB" w14:textId="77777777" w:rsidR="00797884" w:rsidRDefault="00797884" w:rsidP="00155D14">
      <w:pPr>
        <w:spacing w:line="360" w:lineRule="auto"/>
        <w:jc w:val="right"/>
        <w:rPr>
          <w:b/>
        </w:rPr>
      </w:pPr>
    </w:p>
    <w:p w14:paraId="5A0134F2" w14:textId="77777777" w:rsidR="00D3472C" w:rsidRDefault="00D3472C" w:rsidP="00155D14">
      <w:pPr>
        <w:spacing w:line="360" w:lineRule="auto"/>
        <w:jc w:val="right"/>
        <w:rPr>
          <w:b/>
        </w:rPr>
      </w:pPr>
    </w:p>
    <w:p w14:paraId="7B5917DB" w14:textId="77777777" w:rsidR="00797884" w:rsidRDefault="00D4202B" w:rsidP="00155D14">
      <w:pPr>
        <w:spacing w:line="360" w:lineRule="auto"/>
        <w:jc w:val="center"/>
        <w:rPr>
          <w:b/>
        </w:rPr>
      </w:pPr>
      <w:r w:rsidRPr="00D4202B">
        <w:rPr>
          <w:b/>
        </w:rPr>
        <w:t>EDINBURGH NAPIER UNIVERSITY</w:t>
      </w:r>
    </w:p>
    <w:p w14:paraId="23F514A3" w14:textId="7F399D6D" w:rsidR="00797884" w:rsidRDefault="00EE7E77" w:rsidP="00155D14">
      <w:pPr>
        <w:spacing w:line="360" w:lineRule="auto"/>
        <w:jc w:val="center"/>
        <w:rPr>
          <w:b/>
        </w:rPr>
      </w:pPr>
      <w:r>
        <w:rPr>
          <w:b/>
        </w:rPr>
        <w:t>QUALITY &amp; STANDARDS</w:t>
      </w:r>
      <w:r w:rsidR="00D4202B" w:rsidRPr="00D4202B">
        <w:rPr>
          <w:b/>
        </w:rPr>
        <w:t xml:space="preserve"> COMMITTEE</w:t>
      </w:r>
    </w:p>
    <w:p w14:paraId="0C25703C" w14:textId="77777777" w:rsidR="00797884" w:rsidRDefault="00797884" w:rsidP="00155D14">
      <w:pPr>
        <w:spacing w:line="360" w:lineRule="auto"/>
        <w:jc w:val="center"/>
        <w:rPr>
          <w:b/>
        </w:rPr>
      </w:pPr>
    </w:p>
    <w:p w14:paraId="134F580F" w14:textId="34045C8B" w:rsidR="00797884" w:rsidRDefault="00C73898" w:rsidP="00155D14">
      <w:pPr>
        <w:spacing w:line="360" w:lineRule="auto"/>
        <w:jc w:val="center"/>
        <w:rPr>
          <w:b/>
        </w:rPr>
      </w:pPr>
      <w:r>
        <w:rPr>
          <w:b/>
        </w:rPr>
        <w:t>ILR Schedule 2024/25 onwards</w:t>
      </w:r>
    </w:p>
    <w:p w14:paraId="0F5DBA49" w14:textId="77777777" w:rsidR="00D3472C" w:rsidRPr="00D4202B" w:rsidRDefault="00D3472C" w:rsidP="00155D14">
      <w:pPr>
        <w:spacing w:line="360" w:lineRule="auto"/>
      </w:pPr>
    </w:p>
    <w:p w14:paraId="2B664C0D" w14:textId="77777777" w:rsidR="00D4202B" w:rsidRPr="00D4202B" w:rsidRDefault="00D4202B" w:rsidP="00155D14">
      <w:pPr>
        <w:spacing w:line="360" w:lineRule="auto"/>
        <w:rPr>
          <w:b/>
        </w:rPr>
      </w:pPr>
      <w:r w:rsidRPr="00D4202B">
        <w:rPr>
          <w:b/>
        </w:rPr>
        <w:t>Purpose</w:t>
      </w:r>
    </w:p>
    <w:p w14:paraId="0E806BF0" w14:textId="77777777" w:rsidR="00D4202B" w:rsidRPr="00D4202B" w:rsidRDefault="00D4202B" w:rsidP="00155D14">
      <w:pPr>
        <w:spacing w:line="360" w:lineRule="auto"/>
      </w:pPr>
    </w:p>
    <w:p w14:paraId="3BA99304" w14:textId="43F31795" w:rsidR="00D4202B" w:rsidRPr="00C73898" w:rsidRDefault="00C73898" w:rsidP="00155D14">
      <w:pPr>
        <w:pStyle w:val="ListParagraph"/>
        <w:numPr>
          <w:ilvl w:val="0"/>
          <w:numId w:val="50"/>
        </w:numPr>
        <w:spacing w:line="360" w:lineRule="auto"/>
        <w:rPr>
          <w:b/>
        </w:rPr>
      </w:pPr>
      <w:r>
        <w:t xml:space="preserve">This paper presents a simplified version of the ILR Schedule for reviews of taught provision as currently agreed by the University. It is presented for information. </w:t>
      </w:r>
    </w:p>
    <w:p w14:paraId="28812EB2" w14:textId="77777777" w:rsidR="00C73898" w:rsidRPr="00C73898" w:rsidRDefault="00C73898" w:rsidP="00155D14">
      <w:pPr>
        <w:pStyle w:val="ListParagraph"/>
        <w:spacing w:line="360" w:lineRule="auto"/>
        <w:rPr>
          <w:b/>
        </w:rPr>
      </w:pPr>
    </w:p>
    <w:p w14:paraId="7379DFAF" w14:textId="77777777" w:rsidR="00D4202B" w:rsidRPr="00D4202B" w:rsidRDefault="00D4202B" w:rsidP="00155D14">
      <w:pPr>
        <w:spacing w:line="360" w:lineRule="auto"/>
        <w:rPr>
          <w:b/>
        </w:rPr>
      </w:pPr>
      <w:r w:rsidRPr="00D4202B">
        <w:rPr>
          <w:b/>
        </w:rPr>
        <w:t>Background</w:t>
      </w:r>
    </w:p>
    <w:p w14:paraId="2587379C" w14:textId="77777777" w:rsidR="00D4202B" w:rsidRPr="00D4202B" w:rsidRDefault="00D4202B" w:rsidP="00155D14">
      <w:pPr>
        <w:spacing w:line="360" w:lineRule="auto"/>
      </w:pPr>
    </w:p>
    <w:p w14:paraId="332E2CAF" w14:textId="5BD4B8FD" w:rsidR="00C73898" w:rsidRDefault="00C73898" w:rsidP="00155D14">
      <w:pPr>
        <w:pStyle w:val="ListParagraph"/>
        <w:numPr>
          <w:ilvl w:val="0"/>
          <w:numId w:val="50"/>
        </w:numPr>
        <w:spacing w:line="360" w:lineRule="auto"/>
      </w:pPr>
      <w:r>
        <w:t xml:space="preserve">Quality &amp; Standards Committee receives as a standing item, the University’s </w:t>
      </w:r>
      <w:proofErr w:type="gramStart"/>
      <w:r>
        <w:t>six year</w:t>
      </w:r>
      <w:proofErr w:type="gramEnd"/>
      <w:r>
        <w:t xml:space="preserve"> ILR cycle which covers the periodic review of all taught provision and incorporates an integrated approach to professional services review. The Institution-led review approach for the oversight of research degree provision and the student experience associated with this is owned by the University’s Doctoral College. During any academic session work is underway to undertake the reviews scheduled within the academic session; prepare for the reviews taking place the following academic session and conduct follow-up activity to monitor progress following ILRs conducted in the previous academic session(s). </w:t>
      </w:r>
    </w:p>
    <w:p w14:paraId="27666568" w14:textId="77777777" w:rsidR="0079712A" w:rsidRPr="00D4202B" w:rsidRDefault="0079712A" w:rsidP="00155D14">
      <w:pPr>
        <w:spacing w:line="360" w:lineRule="auto"/>
      </w:pPr>
    </w:p>
    <w:p w14:paraId="1E4D1948" w14:textId="77777777" w:rsidR="00D4202B" w:rsidRPr="00D4202B" w:rsidRDefault="00D4202B" w:rsidP="00155D14">
      <w:pPr>
        <w:spacing w:line="360" w:lineRule="auto"/>
        <w:rPr>
          <w:b/>
        </w:rPr>
      </w:pPr>
      <w:r w:rsidRPr="00D4202B">
        <w:rPr>
          <w:b/>
        </w:rPr>
        <w:t xml:space="preserve">Alignment to Strategic Objectives/External Policy Driver </w:t>
      </w:r>
    </w:p>
    <w:p w14:paraId="0ECF921C" w14:textId="77777777" w:rsidR="00D4202B" w:rsidRPr="00D4202B" w:rsidRDefault="00D4202B" w:rsidP="00155D14">
      <w:pPr>
        <w:spacing w:line="360" w:lineRule="auto"/>
      </w:pPr>
    </w:p>
    <w:p w14:paraId="430162D6" w14:textId="7C47245A" w:rsidR="00D4202B" w:rsidRDefault="00C73898" w:rsidP="00155D14">
      <w:pPr>
        <w:pStyle w:val="ListParagraph"/>
        <w:numPr>
          <w:ilvl w:val="0"/>
          <w:numId w:val="50"/>
        </w:numPr>
        <w:spacing w:line="360" w:lineRule="auto"/>
      </w:pPr>
      <w:r>
        <w:t xml:space="preserve">The Scottish Funding Council expects </w:t>
      </w:r>
      <w:r w:rsidRPr="00C73898">
        <w:t xml:space="preserve">colleges and universities to operate systems of annual monitoring across all their provision and periodic review </w:t>
      </w:r>
      <w:r w:rsidRPr="00C73898">
        <w:lastRenderedPageBreak/>
        <w:t>(Institution-Led Quality Review (ILQR)) across all their provision and support services</w:t>
      </w:r>
      <w:r>
        <w:t>. These processes also align with the Sector Agreed Principles set out in the UK Quality Code (particularly Principle 5: M</w:t>
      </w:r>
      <w:r w:rsidRPr="00C73898">
        <w:t>onitoring, evaluating and enhancing provision</w:t>
      </w:r>
      <w:r>
        <w:t xml:space="preserve">. </w:t>
      </w:r>
    </w:p>
    <w:p w14:paraId="78B0C252" w14:textId="77777777" w:rsidR="00C73898" w:rsidRPr="00D4202B" w:rsidRDefault="00C73898" w:rsidP="00155D14">
      <w:pPr>
        <w:pStyle w:val="ListParagraph"/>
        <w:spacing w:line="360" w:lineRule="auto"/>
      </w:pPr>
    </w:p>
    <w:p w14:paraId="27397759" w14:textId="77777777" w:rsidR="00D4202B" w:rsidRPr="00D4202B" w:rsidRDefault="00D4202B" w:rsidP="00155D14">
      <w:pPr>
        <w:spacing w:line="360" w:lineRule="auto"/>
        <w:rPr>
          <w:b/>
        </w:rPr>
      </w:pPr>
      <w:r w:rsidRPr="00D4202B">
        <w:rPr>
          <w:b/>
        </w:rPr>
        <w:t>Summary of Key Issues and Options</w:t>
      </w:r>
    </w:p>
    <w:p w14:paraId="62A44F5F" w14:textId="77777777" w:rsidR="00D4202B" w:rsidRPr="00D4202B" w:rsidRDefault="00D4202B" w:rsidP="00155D14">
      <w:pPr>
        <w:spacing w:line="360" w:lineRule="auto"/>
      </w:pPr>
    </w:p>
    <w:p w14:paraId="7D559A1F" w14:textId="10CA61D9" w:rsidR="00A6478B" w:rsidRDefault="00C73898" w:rsidP="00155D14">
      <w:pPr>
        <w:pStyle w:val="ListParagraph"/>
        <w:numPr>
          <w:ilvl w:val="0"/>
          <w:numId w:val="50"/>
        </w:numPr>
        <w:spacing w:line="360" w:lineRule="auto"/>
      </w:pPr>
      <w:r>
        <w:t>There has been increased demand for greater institutional visibility of the ILR cycle to better support planning and support for provision preparing for ILR.</w:t>
      </w:r>
      <w:r w:rsidR="00A6478B">
        <w:t xml:space="preserve"> It is proposed that the simplified version of the ILR schedule is published on the DLTE webpages and signposted from the Quality Framework. </w:t>
      </w:r>
    </w:p>
    <w:p w14:paraId="5FC65270" w14:textId="77777777" w:rsidR="00A6478B" w:rsidRDefault="00A6478B" w:rsidP="00155D14">
      <w:pPr>
        <w:pStyle w:val="ListParagraph"/>
        <w:spacing w:line="360" w:lineRule="auto"/>
      </w:pPr>
    </w:p>
    <w:p w14:paraId="2A5BB239" w14:textId="1BBADCB1" w:rsidR="00A6478B" w:rsidRDefault="00A6478B" w:rsidP="00155D14">
      <w:pPr>
        <w:pStyle w:val="ListParagraph"/>
        <w:numPr>
          <w:ilvl w:val="0"/>
          <w:numId w:val="50"/>
        </w:numPr>
        <w:spacing w:line="360" w:lineRule="auto"/>
      </w:pPr>
      <w:r>
        <w:t xml:space="preserve">The simplified version does not include the ILR follow-up activity or </w:t>
      </w:r>
      <w:proofErr w:type="gramStart"/>
      <w:r>
        <w:t>evidence-informed</w:t>
      </w:r>
      <w:proofErr w:type="gramEnd"/>
      <w:r>
        <w:t xml:space="preserve"> Enhance dialogues which have previously been included within the ILR schedule presented to the Committee. The intention that this will continue to be overseen by the Quality &amp; Standards team within DLTE and reported annually to Quality &amp; Standards Committee as part of the annual report on ILR Activity. </w:t>
      </w:r>
    </w:p>
    <w:p w14:paraId="77375BBD" w14:textId="77777777" w:rsidR="00A6478B" w:rsidRDefault="00A6478B" w:rsidP="00155D14">
      <w:pPr>
        <w:pStyle w:val="ListParagraph"/>
        <w:spacing w:line="360" w:lineRule="auto"/>
      </w:pPr>
    </w:p>
    <w:p w14:paraId="2D2ECB3B" w14:textId="3F67F744" w:rsidR="00A6478B" w:rsidRDefault="00A6478B" w:rsidP="00155D14">
      <w:pPr>
        <w:pStyle w:val="ListParagraph"/>
        <w:numPr>
          <w:ilvl w:val="0"/>
          <w:numId w:val="50"/>
        </w:numPr>
        <w:spacing w:line="360" w:lineRule="auto"/>
      </w:pPr>
      <w:r>
        <w:t>The schedule includes an indication that reviews due to take place following 2026/27 may be subject to change as work continues to ensure that our processes align with revised SFC Guidance published as part of the Tertiary Quality Enhancement Framework (</w:t>
      </w:r>
      <w:hyperlink r:id="rId11" w:history="1">
        <w:r w:rsidRPr="00A6478B">
          <w:rPr>
            <w:rStyle w:val="Hyperlink"/>
          </w:rPr>
          <w:t>SFC Guidance on Quality for Colleges and Universities AY 2024-25 to AY 2030-31</w:t>
        </w:r>
      </w:hyperlink>
      <w:r>
        <w:t xml:space="preserve">). This timeframe acknowledges that reviews scheduled for 2025/26 academic year will already under preparation. </w:t>
      </w:r>
    </w:p>
    <w:p w14:paraId="06D2140D" w14:textId="77777777" w:rsidR="00A6478B" w:rsidRDefault="00A6478B" w:rsidP="00155D14">
      <w:pPr>
        <w:pStyle w:val="ListParagraph"/>
        <w:spacing w:line="360" w:lineRule="auto"/>
      </w:pPr>
    </w:p>
    <w:p w14:paraId="08C7F18C" w14:textId="77777777" w:rsidR="00D4202B" w:rsidRPr="00D4202B" w:rsidRDefault="00D4202B" w:rsidP="00155D14">
      <w:pPr>
        <w:spacing w:line="360" w:lineRule="auto"/>
        <w:rPr>
          <w:b/>
        </w:rPr>
      </w:pPr>
      <w:r w:rsidRPr="00D4202B">
        <w:rPr>
          <w:b/>
        </w:rPr>
        <w:t xml:space="preserve">Equality Considerations </w:t>
      </w:r>
    </w:p>
    <w:p w14:paraId="798A4419" w14:textId="77777777" w:rsidR="00D4202B" w:rsidRPr="00D4202B" w:rsidRDefault="00D4202B" w:rsidP="00155D14">
      <w:pPr>
        <w:spacing w:line="360" w:lineRule="auto"/>
        <w:rPr>
          <w:b/>
        </w:rPr>
      </w:pPr>
    </w:p>
    <w:p w14:paraId="2A8406AE" w14:textId="5C7788CA" w:rsidR="00D4202B" w:rsidRDefault="00A6478B" w:rsidP="00155D14">
      <w:pPr>
        <w:pStyle w:val="ListParagraph"/>
        <w:numPr>
          <w:ilvl w:val="0"/>
          <w:numId w:val="50"/>
        </w:numPr>
        <w:spacing w:line="360" w:lineRule="auto"/>
      </w:pPr>
      <w:r>
        <w:t xml:space="preserve">Prior to publication of the schedule, accessibility checks will be conducted to ensure that the document meets accessibility requirements. </w:t>
      </w:r>
    </w:p>
    <w:p w14:paraId="3161E9F7" w14:textId="77777777" w:rsidR="00A6478B" w:rsidRPr="00D4202B" w:rsidRDefault="00A6478B" w:rsidP="00155D14">
      <w:pPr>
        <w:pStyle w:val="ListParagraph"/>
        <w:spacing w:line="360" w:lineRule="auto"/>
      </w:pPr>
    </w:p>
    <w:p w14:paraId="26011BE0" w14:textId="77777777" w:rsidR="00D4202B" w:rsidRPr="00D4202B" w:rsidRDefault="00D4202B" w:rsidP="00155D14">
      <w:pPr>
        <w:spacing w:line="360" w:lineRule="auto"/>
        <w:rPr>
          <w:b/>
        </w:rPr>
      </w:pPr>
      <w:r w:rsidRPr="00D4202B">
        <w:rPr>
          <w:b/>
        </w:rPr>
        <w:t>Communication Issues</w:t>
      </w:r>
    </w:p>
    <w:p w14:paraId="139731FA" w14:textId="77777777" w:rsidR="00D4202B" w:rsidRPr="00D4202B" w:rsidRDefault="00D4202B" w:rsidP="00155D14">
      <w:pPr>
        <w:spacing w:line="360" w:lineRule="auto"/>
      </w:pPr>
    </w:p>
    <w:p w14:paraId="2A64EFE1" w14:textId="3980DE81" w:rsidR="00797884" w:rsidRDefault="00A6478B" w:rsidP="00155D14">
      <w:pPr>
        <w:pStyle w:val="ListParagraph"/>
        <w:numPr>
          <w:ilvl w:val="0"/>
          <w:numId w:val="50"/>
        </w:numPr>
        <w:spacing w:line="360" w:lineRule="auto"/>
      </w:pPr>
      <w:r>
        <w:t xml:space="preserve">There are no communication restrictions on this paper. </w:t>
      </w:r>
    </w:p>
    <w:p w14:paraId="63596CF6" w14:textId="77777777" w:rsidR="00D4202B" w:rsidRPr="00D4202B" w:rsidRDefault="00D4202B" w:rsidP="00155D14">
      <w:pPr>
        <w:spacing w:line="360" w:lineRule="auto"/>
      </w:pPr>
    </w:p>
    <w:p w14:paraId="78B604D0" w14:textId="77777777" w:rsidR="009F1CB9" w:rsidRDefault="009F1CB9" w:rsidP="00155D14">
      <w:pPr>
        <w:spacing w:line="360" w:lineRule="auto"/>
        <w:rPr>
          <w:b/>
        </w:rPr>
      </w:pPr>
      <w:r w:rsidRPr="009F1CB9">
        <w:rPr>
          <w:b/>
        </w:rPr>
        <w:lastRenderedPageBreak/>
        <w:t>Risk Appetite</w:t>
      </w:r>
    </w:p>
    <w:p w14:paraId="08CF3A16" w14:textId="77777777" w:rsidR="00A6478B" w:rsidRPr="009F1CB9" w:rsidRDefault="00A6478B" w:rsidP="00155D14">
      <w:pPr>
        <w:spacing w:line="360" w:lineRule="auto"/>
        <w:rPr>
          <w:b/>
        </w:rPr>
      </w:pPr>
    </w:p>
    <w:p w14:paraId="296CD6DF" w14:textId="0F01F4FA" w:rsidR="009F1CB9" w:rsidRPr="00A6478B" w:rsidRDefault="00A6478B" w:rsidP="00155D14">
      <w:pPr>
        <w:pStyle w:val="ListParagraph"/>
        <w:numPr>
          <w:ilvl w:val="0"/>
          <w:numId w:val="50"/>
        </w:numPr>
        <w:spacing w:line="360" w:lineRule="auto"/>
        <w:rPr>
          <w:b/>
        </w:rPr>
      </w:pPr>
      <w:r>
        <w:t xml:space="preserve">There are no risk appetite considerations associated with this paper. </w:t>
      </w:r>
    </w:p>
    <w:p w14:paraId="35EC17C1" w14:textId="77777777" w:rsidR="00A6478B" w:rsidRPr="00A6478B" w:rsidRDefault="00A6478B" w:rsidP="00155D14">
      <w:pPr>
        <w:pStyle w:val="ListParagraph"/>
        <w:spacing w:line="360" w:lineRule="auto"/>
        <w:rPr>
          <w:b/>
        </w:rPr>
      </w:pPr>
    </w:p>
    <w:p w14:paraId="4F7BE33B" w14:textId="77777777" w:rsidR="00D4202B" w:rsidRPr="00D4202B" w:rsidRDefault="00D4202B" w:rsidP="00155D14">
      <w:pPr>
        <w:spacing w:line="360" w:lineRule="auto"/>
        <w:rPr>
          <w:b/>
        </w:rPr>
      </w:pPr>
      <w:r w:rsidRPr="00D4202B">
        <w:rPr>
          <w:b/>
        </w:rPr>
        <w:t xml:space="preserve">Responsibility for Actions </w:t>
      </w:r>
    </w:p>
    <w:p w14:paraId="5EC92D71" w14:textId="77777777" w:rsidR="00D4202B" w:rsidRPr="00D4202B" w:rsidRDefault="00D4202B" w:rsidP="00155D14">
      <w:pPr>
        <w:spacing w:line="360" w:lineRule="auto"/>
      </w:pPr>
    </w:p>
    <w:p w14:paraId="66E12E2D" w14:textId="3C9427A7" w:rsidR="00797884" w:rsidRDefault="00A6478B" w:rsidP="00155D14">
      <w:pPr>
        <w:pStyle w:val="ListParagraph"/>
        <w:numPr>
          <w:ilvl w:val="0"/>
          <w:numId w:val="50"/>
        </w:numPr>
        <w:spacing w:line="360" w:lineRule="auto"/>
      </w:pPr>
      <w:r>
        <w:t xml:space="preserve">Oversight of the ILR process management rests with the Quality &amp; Standards Team in DLTE. </w:t>
      </w:r>
    </w:p>
    <w:p w14:paraId="67B5644A" w14:textId="77777777" w:rsidR="00D4202B" w:rsidRPr="00D4202B" w:rsidRDefault="00D4202B" w:rsidP="00155D14">
      <w:pPr>
        <w:spacing w:line="360" w:lineRule="auto"/>
      </w:pPr>
    </w:p>
    <w:p w14:paraId="34D552F6" w14:textId="77777777" w:rsidR="00D4202B" w:rsidRPr="00D4202B" w:rsidRDefault="00D4202B" w:rsidP="00155D14">
      <w:pPr>
        <w:spacing w:line="360" w:lineRule="auto"/>
        <w:rPr>
          <w:b/>
        </w:rPr>
      </w:pPr>
      <w:r w:rsidRPr="00D4202B">
        <w:rPr>
          <w:b/>
        </w:rPr>
        <w:t xml:space="preserve">Monitoring/Evaluation &amp; Reporting Back of Actions </w:t>
      </w:r>
    </w:p>
    <w:p w14:paraId="76DC664E" w14:textId="77777777" w:rsidR="00D4202B" w:rsidRPr="00D4202B" w:rsidRDefault="00D4202B" w:rsidP="00155D14">
      <w:pPr>
        <w:spacing w:line="360" w:lineRule="auto"/>
      </w:pPr>
    </w:p>
    <w:p w14:paraId="6E368158" w14:textId="314EEB5D" w:rsidR="00D4202B" w:rsidRDefault="00A6478B" w:rsidP="00155D14">
      <w:pPr>
        <w:pStyle w:val="ListParagraph"/>
        <w:numPr>
          <w:ilvl w:val="0"/>
          <w:numId w:val="50"/>
        </w:numPr>
        <w:spacing w:line="360" w:lineRule="auto"/>
      </w:pPr>
      <w:r>
        <w:t xml:space="preserve">Work will be conducted during 2024/25 academic session to review the ILR process and organisation to ensure efficiency and compliance with SFC Guidance. Further papers may be received prior to the meeting of Quality &amp; Standards Committee in May 2025. </w:t>
      </w:r>
    </w:p>
    <w:p w14:paraId="426FF6C7" w14:textId="77777777" w:rsidR="00EE7E77" w:rsidRPr="00D4202B" w:rsidRDefault="00EE7E77" w:rsidP="00155D14">
      <w:pPr>
        <w:spacing w:line="360" w:lineRule="auto"/>
      </w:pPr>
    </w:p>
    <w:p w14:paraId="3C0D0C33" w14:textId="77777777" w:rsidR="00D4202B" w:rsidRPr="00D4202B" w:rsidRDefault="00D4202B" w:rsidP="00155D14">
      <w:pPr>
        <w:spacing w:line="360" w:lineRule="auto"/>
        <w:rPr>
          <w:b/>
        </w:rPr>
      </w:pPr>
      <w:r w:rsidRPr="00D4202B">
        <w:rPr>
          <w:b/>
        </w:rPr>
        <w:t>Recommendation</w:t>
      </w:r>
    </w:p>
    <w:p w14:paraId="5B99C47C" w14:textId="77777777" w:rsidR="00D4202B" w:rsidRPr="00D4202B" w:rsidRDefault="00D4202B" w:rsidP="00155D14">
      <w:pPr>
        <w:spacing w:line="360" w:lineRule="auto"/>
      </w:pPr>
    </w:p>
    <w:p w14:paraId="118C8349" w14:textId="77777777" w:rsidR="00470ABC" w:rsidRDefault="00470ABC" w:rsidP="00155D14">
      <w:pPr>
        <w:pStyle w:val="ListParagraph"/>
        <w:numPr>
          <w:ilvl w:val="0"/>
          <w:numId w:val="50"/>
        </w:numPr>
        <w:spacing w:line="360" w:lineRule="auto"/>
      </w:pPr>
      <w:r>
        <w:t xml:space="preserve">The Committee is asked to </w:t>
      </w:r>
    </w:p>
    <w:p w14:paraId="0B15BFB2" w14:textId="3EBBF3B0" w:rsidR="00D4202B" w:rsidRDefault="00470ABC" w:rsidP="00155D14">
      <w:pPr>
        <w:pStyle w:val="ListParagraph"/>
        <w:numPr>
          <w:ilvl w:val="0"/>
          <w:numId w:val="58"/>
        </w:numPr>
        <w:spacing w:line="360" w:lineRule="auto"/>
      </w:pPr>
      <w:r w:rsidRPr="00470ABC">
        <w:rPr>
          <w:b/>
          <w:bCs/>
        </w:rPr>
        <w:t xml:space="preserve">note </w:t>
      </w:r>
      <w:r>
        <w:t xml:space="preserve">the simplified ILR </w:t>
      </w:r>
      <w:proofErr w:type="gramStart"/>
      <w:r>
        <w:t>schedule;</w:t>
      </w:r>
      <w:proofErr w:type="gramEnd"/>
    </w:p>
    <w:p w14:paraId="19218344" w14:textId="6D9CCE0A" w:rsidR="00470ABC" w:rsidRDefault="00470ABC" w:rsidP="00155D14">
      <w:pPr>
        <w:pStyle w:val="ListParagraph"/>
        <w:numPr>
          <w:ilvl w:val="0"/>
          <w:numId w:val="58"/>
        </w:numPr>
        <w:spacing w:line="360" w:lineRule="auto"/>
      </w:pPr>
      <w:r w:rsidRPr="00470ABC">
        <w:rPr>
          <w:b/>
          <w:bCs/>
        </w:rPr>
        <w:t>note</w:t>
      </w:r>
      <w:r>
        <w:t xml:space="preserve"> that information in the schedule beyond 2026/27 is indicative pending amendments which may be required to fully incorporate SFC </w:t>
      </w:r>
      <w:proofErr w:type="gramStart"/>
      <w:r>
        <w:t>guidance;</w:t>
      </w:r>
      <w:proofErr w:type="gramEnd"/>
    </w:p>
    <w:p w14:paraId="1CC6A12F" w14:textId="7F59BBC0" w:rsidR="00470ABC" w:rsidRPr="00D4202B" w:rsidRDefault="00470ABC" w:rsidP="00155D14">
      <w:pPr>
        <w:pStyle w:val="ListParagraph"/>
        <w:numPr>
          <w:ilvl w:val="0"/>
          <w:numId w:val="58"/>
        </w:numPr>
        <w:spacing w:line="360" w:lineRule="auto"/>
      </w:pPr>
      <w:r w:rsidRPr="00470ABC">
        <w:rPr>
          <w:b/>
          <w:bCs/>
        </w:rPr>
        <w:t>approve</w:t>
      </w:r>
      <w:r>
        <w:t xml:space="preserve"> the request for the schedule to be published. </w:t>
      </w:r>
    </w:p>
    <w:p w14:paraId="5C67D56C" w14:textId="77777777" w:rsidR="00D4202B" w:rsidRPr="00D4202B" w:rsidRDefault="00D4202B" w:rsidP="00155D14">
      <w:pPr>
        <w:spacing w:line="360" w:lineRule="auto"/>
      </w:pPr>
    </w:p>
    <w:p w14:paraId="6D6F6E59" w14:textId="77777777" w:rsidR="00470ABC" w:rsidRDefault="00470ABC" w:rsidP="00155D14">
      <w:pPr>
        <w:spacing w:line="360" w:lineRule="auto"/>
        <w:jc w:val="right"/>
        <w:rPr>
          <w:b/>
        </w:rPr>
      </w:pPr>
    </w:p>
    <w:p w14:paraId="5D83AB7C" w14:textId="77777777" w:rsidR="0065330C" w:rsidRDefault="0065330C" w:rsidP="00155D14">
      <w:pPr>
        <w:spacing w:line="360" w:lineRule="auto"/>
        <w:jc w:val="right"/>
        <w:rPr>
          <w:b/>
        </w:rPr>
      </w:pPr>
    </w:p>
    <w:p w14:paraId="1E9D1BEE" w14:textId="475D4810" w:rsidR="00470ABC" w:rsidRDefault="00470ABC" w:rsidP="00155D14">
      <w:pPr>
        <w:spacing w:line="360" w:lineRule="auto"/>
        <w:jc w:val="right"/>
        <w:rPr>
          <w:b/>
        </w:rPr>
      </w:pPr>
      <w:r>
        <w:rPr>
          <w:b/>
        </w:rPr>
        <w:t>Katrina Swanton</w:t>
      </w:r>
    </w:p>
    <w:p w14:paraId="512D3D51" w14:textId="2499CEC3" w:rsidR="00470ABC" w:rsidRDefault="00470ABC" w:rsidP="00155D14">
      <w:pPr>
        <w:spacing w:line="360" w:lineRule="auto"/>
        <w:jc w:val="right"/>
        <w:rPr>
          <w:b/>
        </w:rPr>
      </w:pPr>
      <w:r>
        <w:rPr>
          <w:b/>
        </w:rPr>
        <w:t>Head of Quality &amp; Enhancement</w:t>
      </w:r>
    </w:p>
    <w:p w14:paraId="58633C1F" w14:textId="77777777" w:rsidR="00470ABC" w:rsidRDefault="00470ABC" w:rsidP="00155D14">
      <w:pPr>
        <w:spacing w:line="360" w:lineRule="auto"/>
        <w:jc w:val="right"/>
        <w:rPr>
          <w:b/>
        </w:rPr>
      </w:pPr>
    </w:p>
    <w:p w14:paraId="1D8BC124" w14:textId="77777777" w:rsidR="00412414" w:rsidRDefault="00412414" w:rsidP="00155D14">
      <w:pPr>
        <w:spacing w:line="360" w:lineRule="auto"/>
        <w:jc w:val="right"/>
        <w:rPr>
          <w:b/>
        </w:rPr>
      </w:pPr>
    </w:p>
    <w:p w14:paraId="7063BA8D" w14:textId="77777777" w:rsidR="00470ABC" w:rsidRDefault="00470ABC" w:rsidP="00155D14">
      <w:pPr>
        <w:spacing w:line="360" w:lineRule="auto"/>
        <w:jc w:val="right"/>
        <w:rPr>
          <w:b/>
        </w:rPr>
        <w:sectPr w:rsidR="00470ABC" w:rsidSect="00412414">
          <w:headerReference w:type="default" r:id="rId12"/>
          <w:footerReference w:type="default" r:id="rId13"/>
          <w:headerReference w:type="first" r:id="rId14"/>
          <w:pgSz w:w="11906" w:h="16838" w:code="9"/>
          <w:pgMar w:top="1134" w:right="1361" w:bottom="1276" w:left="1361" w:header="567" w:footer="567" w:gutter="0"/>
          <w:cols w:space="720"/>
          <w:titlePg/>
          <w:docGrid w:linePitch="326"/>
        </w:sectPr>
      </w:pPr>
      <w:r>
        <w:rPr>
          <w:b/>
        </w:rPr>
        <w:t>September 2024</w:t>
      </w:r>
    </w:p>
    <w:p w14:paraId="62D3EB0B" w14:textId="77777777" w:rsidR="00470ABC" w:rsidRPr="003E6B88" w:rsidRDefault="00470ABC" w:rsidP="00155D14">
      <w:pPr>
        <w:spacing w:line="360" w:lineRule="auto"/>
      </w:pPr>
      <w:r w:rsidRPr="001006BE">
        <w:rPr>
          <w:b/>
          <w:bCs/>
          <w:sz w:val="28"/>
          <w:szCs w:val="28"/>
        </w:rPr>
        <w:lastRenderedPageBreak/>
        <w:t>INSTITUTION-LED REVIEW –</w:t>
      </w:r>
      <w:r>
        <w:rPr>
          <w:b/>
          <w:bCs/>
          <w:sz w:val="28"/>
          <w:szCs w:val="28"/>
        </w:rPr>
        <w:t xml:space="preserve"> SIX YEAR</w:t>
      </w:r>
      <w:r w:rsidRPr="001006BE">
        <w:rPr>
          <w:b/>
          <w:bCs/>
          <w:sz w:val="28"/>
          <w:szCs w:val="28"/>
        </w:rPr>
        <w:t xml:space="preserve"> SCHEDULE</w:t>
      </w:r>
      <w:r>
        <w:rPr>
          <w:b/>
          <w:bCs/>
          <w:sz w:val="28"/>
          <w:szCs w:val="28"/>
        </w:rPr>
        <w:t xml:space="preserve"> 2024/2025 -2029/2030</w:t>
      </w:r>
    </w:p>
    <w:p w14:paraId="76ECF8C2" w14:textId="77777777" w:rsidR="00470ABC" w:rsidRPr="000D2C6D" w:rsidRDefault="00470ABC" w:rsidP="00155D14">
      <w:pPr>
        <w:spacing w:line="360" w:lineRule="auto"/>
        <w:rPr>
          <w:b/>
          <w:bCs/>
          <w:sz w:val="28"/>
          <w:szCs w:val="28"/>
        </w:rPr>
      </w:pPr>
    </w:p>
    <w:tbl>
      <w:tblPr>
        <w:tblStyle w:val="TableGrid"/>
        <w:tblW w:w="0" w:type="auto"/>
        <w:tblLook w:val="04A0" w:firstRow="1" w:lastRow="0" w:firstColumn="1" w:lastColumn="0" w:noHBand="0" w:noVBand="1"/>
      </w:tblPr>
      <w:tblGrid>
        <w:gridCol w:w="2324"/>
        <w:gridCol w:w="2324"/>
        <w:gridCol w:w="2951"/>
        <w:gridCol w:w="2325"/>
      </w:tblGrid>
      <w:tr w:rsidR="00470ABC" w14:paraId="11289F12" w14:textId="77777777" w:rsidTr="1285F6B4">
        <w:tc>
          <w:tcPr>
            <w:tcW w:w="9468" w:type="dxa"/>
            <w:gridSpan w:val="4"/>
          </w:tcPr>
          <w:p w14:paraId="7C101CAA" w14:textId="77777777" w:rsidR="00470ABC" w:rsidRDefault="00470ABC" w:rsidP="00155D14">
            <w:pPr>
              <w:spacing w:line="360" w:lineRule="auto"/>
              <w:rPr>
                <w:b/>
                <w:bCs/>
              </w:rPr>
            </w:pPr>
            <w:r>
              <w:rPr>
                <w:b/>
                <w:bCs/>
              </w:rPr>
              <w:t>Academic Year 2024/2025</w:t>
            </w:r>
          </w:p>
        </w:tc>
      </w:tr>
      <w:tr w:rsidR="00470ABC" w14:paraId="5EF30DB9" w14:textId="77777777" w:rsidTr="1285F6B4">
        <w:tc>
          <w:tcPr>
            <w:tcW w:w="2324" w:type="dxa"/>
          </w:tcPr>
          <w:p w14:paraId="5E6B2C03" w14:textId="77777777" w:rsidR="00470ABC" w:rsidRDefault="00470ABC" w:rsidP="00155D14">
            <w:pPr>
              <w:spacing w:line="360" w:lineRule="auto"/>
              <w:rPr>
                <w:b/>
                <w:bCs/>
              </w:rPr>
            </w:pPr>
            <w:r>
              <w:rPr>
                <w:b/>
                <w:bCs/>
              </w:rPr>
              <w:t>Indicative Date</w:t>
            </w:r>
          </w:p>
        </w:tc>
        <w:tc>
          <w:tcPr>
            <w:tcW w:w="2324" w:type="dxa"/>
          </w:tcPr>
          <w:p w14:paraId="50844AF4" w14:textId="77777777" w:rsidR="00470ABC" w:rsidRDefault="00470ABC" w:rsidP="00155D14">
            <w:pPr>
              <w:spacing w:line="360" w:lineRule="auto"/>
              <w:rPr>
                <w:b/>
                <w:bCs/>
              </w:rPr>
            </w:pPr>
            <w:r>
              <w:rPr>
                <w:b/>
                <w:bCs/>
              </w:rPr>
              <w:t>School</w:t>
            </w:r>
          </w:p>
        </w:tc>
        <w:tc>
          <w:tcPr>
            <w:tcW w:w="2495" w:type="dxa"/>
          </w:tcPr>
          <w:p w14:paraId="7E3C40A3" w14:textId="77777777" w:rsidR="00470ABC" w:rsidRDefault="00470ABC" w:rsidP="00155D14">
            <w:pPr>
              <w:spacing w:line="360" w:lineRule="auto"/>
              <w:rPr>
                <w:b/>
                <w:bCs/>
              </w:rPr>
            </w:pPr>
            <w:r>
              <w:rPr>
                <w:b/>
                <w:bCs/>
              </w:rPr>
              <w:t>ILR Event</w:t>
            </w:r>
          </w:p>
        </w:tc>
        <w:tc>
          <w:tcPr>
            <w:tcW w:w="2325" w:type="dxa"/>
          </w:tcPr>
          <w:p w14:paraId="6888B0C9" w14:textId="77777777" w:rsidR="00470ABC" w:rsidRDefault="00470ABC" w:rsidP="00155D14">
            <w:pPr>
              <w:spacing w:line="360" w:lineRule="auto"/>
              <w:rPr>
                <w:b/>
                <w:bCs/>
              </w:rPr>
            </w:pPr>
            <w:r>
              <w:rPr>
                <w:b/>
                <w:bCs/>
              </w:rPr>
              <w:t xml:space="preserve">Estimated provisions in scope </w:t>
            </w:r>
          </w:p>
        </w:tc>
      </w:tr>
      <w:tr w:rsidR="00470ABC" w14:paraId="6D4FAEA5" w14:textId="77777777" w:rsidTr="1285F6B4">
        <w:tc>
          <w:tcPr>
            <w:tcW w:w="2324" w:type="dxa"/>
          </w:tcPr>
          <w:p w14:paraId="2D6251F8" w14:textId="77777777" w:rsidR="00470ABC" w:rsidRPr="00F04F30" w:rsidRDefault="00470ABC" w:rsidP="00155D14">
            <w:pPr>
              <w:spacing w:line="360" w:lineRule="auto"/>
            </w:pPr>
            <w:r>
              <w:t>31/10/24</w:t>
            </w:r>
          </w:p>
        </w:tc>
        <w:tc>
          <w:tcPr>
            <w:tcW w:w="2324" w:type="dxa"/>
          </w:tcPr>
          <w:p w14:paraId="2FEF4FD1" w14:textId="77777777" w:rsidR="00470ABC" w:rsidRPr="00F04F30" w:rsidRDefault="00470ABC" w:rsidP="00155D14">
            <w:pPr>
              <w:spacing w:line="360" w:lineRule="auto"/>
            </w:pPr>
            <w:r>
              <w:t>Business School</w:t>
            </w:r>
          </w:p>
        </w:tc>
        <w:tc>
          <w:tcPr>
            <w:tcW w:w="2495" w:type="dxa"/>
          </w:tcPr>
          <w:p w14:paraId="0AD5CBA9" w14:textId="77777777" w:rsidR="00470ABC" w:rsidRPr="00F04F30" w:rsidRDefault="00470ABC" w:rsidP="00155D14">
            <w:pPr>
              <w:spacing w:line="360" w:lineRule="auto"/>
            </w:pPr>
            <w:r>
              <w:t>Law Programmes ILR</w:t>
            </w:r>
          </w:p>
        </w:tc>
        <w:tc>
          <w:tcPr>
            <w:tcW w:w="2325" w:type="dxa"/>
          </w:tcPr>
          <w:p w14:paraId="46F2D7DA" w14:textId="77777777" w:rsidR="00470ABC" w:rsidRPr="00F04F30" w:rsidRDefault="00470ABC" w:rsidP="00155D14">
            <w:pPr>
              <w:spacing w:line="360" w:lineRule="auto"/>
            </w:pPr>
            <w:r>
              <w:t>2</w:t>
            </w:r>
          </w:p>
        </w:tc>
      </w:tr>
      <w:tr w:rsidR="00470ABC" w14:paraId="41E9004C" w14:textId="77777777" w:rsidTr="1285F6B4">
        <w:tc>
          <w:tcPr>
            <w:tcW w:w="2324" w:type="dxa"/>
          </w:tcPr>
          <w:p w14:paraId="24EBD1BA" w14:textId="77777777" w:rsidR="00470ABC" w:rsidRPr="00F04F30" w:rsidRDefault="00470ABC" w:rsidP="00155D14">
            <w:pPr>
              <w:spacing w:line="360" w:lineRule="auto"/>
            </w:pPr>
            <w:r>
              <w:t>19/11/24</w:t>
            </w:r>
          </w:p>
        </w:tc>
        <w:tc>
          <w:tcPr>
            <w:tcW w:w="2324" w:type="dxa"/>
          </w:tcPr>
          <w:p w14:paraId="05D981B3" w14:textId="77777777" w:rsidR="00470ABC" w:rsidRPr="00F04F30" w:rsidRDefault="00470ABC" w:rsidP="00155D14">
            <w:pPr>
              <w:spacing w:line="360" w:lineRule="auto"/>
            </w:pPr>
            <w:r>
              <w:t>SCEBE</w:t>
            </w:r>
          </w:p>
        </w:tc>
        <w:tc>
          <w:tcPr>
            <w:tcW w:w="2495" w:type="dxa"/>
          </w:tcPr>
          <w:p w14:paraId="04515B31" w14:textId="77777777" w:rsidR="00470ABC" w:rsidRPr="00F04F30" w:rsidRDefault="00470ABC" w:rsidP="00155D14">
            <w:pPr>
              <w:spacing w:line="360" w:lineRule="auto"/>
            </w:pPr>
            <w:r>
              <w:t>Civil &amp; Transport Engineering ILR</w:t>
            </w:r>
          </w:p>
        </w:tc>
        <w:tc>
          <w:tcPr>
            <w:tcW w:w="2325" w:type="dxa"/>
          </w:tcPr>
          <w:p w14:paraId="40240BE4" w14:textId="77777777" w:rsidR="00470ABC" w:rsidRPr="00F04F30" w:rsidRDefault="00470ABC" w:rsidP="00155D14">
            <w:pPr>
              <w:spacing w:line="360" w:lineRule="auto"/>
            </w:pPr>
            <w:r>
              <w:t>7</w:t>
            </w:r>
          </w:p>
        </w:tc>
      </w:tr>
      <w:tr w:rsidR="00470ABC" w14:paraId="30062B86" w14:textId="77777777" w:rsidTr="1285F6B4">
        <w:tc>
          <w:tcPr>
            <w:tcW w:w="2324" w:type="dxa"/>
          </w:tcPr>
          <w:p w14:paraId="22BD2E9D" w14:textId="77777777" w:rsidR="00470ABC" w:rsidRPr="00F04F30" w:rsidRDefault="00470ABC" w:rsidP="00155D14">
            <w:pPr>
              <w:spacing w:line="360" w:lineRule="auto"/>
            </w:pPr>
            <w:r>
              <w:t>26/11/24</w:t>
            </w:r>
          </w:p>
        </w:tc>
        <w:tc>
          <w:tcPr>
            <w:tcW w:w="2324" w:type="dxa"/>
          </w:tcPr>
          <w:p w14:paraId="4EB2100E" w14:textId="77777777" w:rsidR="00470ABC" w:rsidRPr="00F04F30" w:rsidRDefault="00470ABC" w:rsidP="00155D14">
            <w:pPr>
              <w:spacing w:line="360" w:lineRule="auto"/>
            </w:pPr>
            <w:r>
              <w:t>SCEBE</w:t>
            </w:r>
          </w:p>
        </w:tc>
        <w:tc>
          <w:tcPr>
            <w:tcW w:w="2495" w:type="dxa"/>
          </w:tcPr>
          <w:p w14:paraId="201ECCD1" w14:textId="77777777" w:rsidR="00470ABC" w:rsidRPr="00F04F30" w:rsidRDefault="00470ABC" w:rsidP="00155D14">
            <w:pPr>
              <w:spacing w:line="360" w:lineRule="auto"/>
            </w:pPr>
            <w:r>
              <w:rPr>
                <w:sz w:val="20"/>
                <w:szCs w:val="20"/>
              </w:rPr>
              <w:t>Architectural Tech and Surveying</w:t>
            </w:r>
          </w:p>
        </w:tc>
        <w:tc>
          <w:tcPr>
            <w:tcW w:w="2325" w:type="dxa"/>
          </w:tcPr>
          <w:p w14:paraId="58A43EB3" w14:textId="77777777" w:rsidR="00470ABC" w:rsidRPr="00F04F30" w:rsidRDefault="00470ABC" w:rsidP="00155D14">
            <w:pPr>
              <w:spacing w:line="360" w:lineRule="auto"/>
            </w:pPr>
            <w:r>
              <w:t>11</w:t>
            </w:r>
          </w:p>
        </w:tc>
      </w:tr>
      <w:tr w:rsidR="00470ABC" w14:paraId="0878E197" w14:textId="77777777" w:rsidTr="1285F6B4">
        <w:tc>
          <w:tcPr>
            <w:tcW w:w="2324" w:type="dxa"/>
          </w:tcPr>
          <w:p w14:paraId="77C08CFE" w14:textId="77777777" w:rsidR="00470ABC" w:rsidRPr="00F04F30" w:rsidRDefault="00470ABC" w:rsidP="00155D14">
            <w:pPr>
              <w:spacing w:line="360" w:lineRule="auto"/>
            </w:pPr>
            <w:r>
              <w:t>w/c 3 or 11/3/25</w:t>
            </w:r>
          </w:p>
        </w:tc>
        <w:tc>
          <w:tcPr>
            <w:tcW w:w="2324" w:type="dxa"/>
          </w:tcPr>
          <w:p w14:paraId="30EDD9E5" w14:textId="77777777" w:rsidR="00470ABC" w:rsidRPr="00F04F30" w:rsidRDefault="00470ABC" w:rsidP="00155D14">
            <w:pPr>
              <w:spacing w:line="360" w:lineRule="auto"/>
            </w:pPr>
            <w:r>
              <w:t>SAS</w:t>
            </w:r>
          </w:p>
        </w:tc>
        <w:tc>
          <w:tcPr>
            <w:tcW w:w="2495" w:type="dxa"/>
          </w:tcPr>
          <w:p w14:paraId="2FCCF624" w14:textId="77777777" w:rsidR="00470ABC" w:rsidRPr="00F04F30" w:rsidRDefault="00470ABC" w:rsidP="00155D14">
            <w:pPr>
              <w:spacing w:line="360" w:lineRule="auto"/>
            </w:pPr>
            <w:r>
              <w:t>Initial Teacher Education &amp; Career Guidance</w:t>
            </w:r>
          </w:p>
        </w:tc>
        <w:tc>
          <w:tcPr>
            <w:tcW w:w="2325" w:type="dxa"/>
          </w:tcPr>
          <w:p w14:paraId="650B95A6" w14:textId="77777777" w:rsidR="00470ABC" w:rsidRPr="00F04F30" w:rsidRDefault="00470ABC" w:rsidP="00155D14">
            <w:pPr>
              <w:spacing w:line="360" w:lineRule="auto"/>
            </w:pPr>
            <w:r>
              <w:t>5</w:t>
            </w:r>
          </w:p>
        </w:tc>
      </w:tr>
      <w:tr w:rsidR="07C2133C" w14:paraId="198D5856" w14:textId="77777777" w:rsidTr="1285F6B4">
        <w:trPr>
          <w:trHeight w:val="300"/>
        </w:trPr>
        <w:tc>
          <w:tcPr>
            <w:tcW w:w="2324" w:type="dxa"/>
          </w:tcPr>
          <w:p w14:paraId="58E77190" w14:textId="5333AD10" w:rsidR="2634B96D" w:rsidRDefault="2634B96D" w:rsidP="00155D14">
            <w:pPr>
              <w:spacing w:line="360" w:lineRule="auto"/>
            </w:pPr>
            <w:r>
              <w:t>April 25</w:t>
            </w:r>
          </w:p>
        </w:tc>
        <w:tc>
          <w:tcPr>
            <w:tcW w:w="2324" w:type="dxa"/>
          </w:tcPr>
          <w:p w14:paraId="7D559211" w14:textId="694D0CAF" w:rsidR="2634B96D" w:rsidRDefault="2634B96D" w:rsidP="00155D14">
            <w:pPr>
              <w:spacing w:line="360" w:lineRule="auto"/>
            </w:pPr>
            <w:r>
              <w:t>SCEBE</w:t>
            </w:r>
          </w:p>
        </w:tc>
        <w:tc>
          <w:tcPr>
            <w:tcW w:w="2951" w:type="dxa"/>
          </w:tcPr>
          <w:p w14:paraId="2422F12A" w14:textId="16C234BF" w:rsidR="2634B96D" w:rsidRDefault="2634B96D" w:rsidP="00155D14">
            <w:pPr>
              <w:spacing w:line="360" w:lineRule="auto"/>
            </w:pPr>
            <w:r>
              <w:t>Computing Science</w:t>
            </w:r>
          </w:p>
        </w:tc>
        <w:tc>
          <w:tcPr>
            <w:tcW w:w="2325" w:type="dxa"/>
          </w:tcPr>
          <w:p w14:paraId="3011CEC4" w14:textId="5C465C0C" w:rsidR="2634B96D" w:rsidRDefault="2634B96D" w:rsidP="00155D14">
            <w:pPr>
              <w:spacing w:line="360" w:lineRule="auto"/>
            </w:pPr>
            <w:r>
              <w:t>9</w:t>
            </w:r>
          </w:p>
          <w:p w14:paraId="66CB7AA9" w14:textId="6A50DEDF" w:rsidR="07C2133C" w:rsidRDefault="07C2133C" w:rsidP="00155D14">
            <w:pPr>
              <w:spacing w:line="360" w:lineRule="auto"/>
            </w:pPr>
          </w:p>
        </w:tc>
      </w:tr>
      <w:tr w:rsidR="00470ABC" w14:paraId="20B43BF5" w14:textId="77777777" w:rsidTr="1285F6B4">
        <w:tc>
          <w:tcPr>
            <w:tcW w:w="2324" w:type="dxa"/>
          </w:tcPr>
          <w:p w14:paraId="207320FE" w14:textId="53C46BE3" w:rsidR="00470ABC" w:rsidRPr="00F04F30" w:rsidRDefault="161C4A24" w:rsidP="00155D14">
            <w:pPr>
              <w:spacing w:line="360" w:lineRule="auto"/>
            </w:pPr>
            <w:r>
              <w:t>27/5/25</w:t>
            </w:r>
          </w:p>
        </w:tc>
        <w:tc>
          <w:tcPr>
            <w:tcW w:w="2324" w:type="dxa"/>
          </w:tcPr>
          <w:p w14:paraId="7BC58085" w14:textId="77777777" w:rsidR="00470ABC" w:rsidRPr="00F04F30" w:rsidRDefault="00470ABC" w:rsidP="00155D14">
            <w:pPr>
              <w:spacing w:line="360" w:lineRule="auto"/>
            </w:pPr>
            <w:r>
              <w:t>Business School</w:t>
            </w:r>
          </w:p>
        </w:tc>
        <w:tc>
          <w:tcPr>
            <w:tcW w:w="2495" w:type="dxa"/>
          </w:tcPr>
          <w:p w14:paraId="62E05CC2" w14:textId="354F42A0" w:rsidR="00470ABC" w:rsidRPr="00F04F30" w:rsidRDefault="00D6526A" w:rsidP="00155D14">
            <w:pPr>
              <w:spacing w:line="360" w:lineRule="auto"/>
            </w:pPr>
            <w:r>
              <w:t>Postgraduate Business</w:t>
            </w:r>
            <w:r w:rsidR="00470ABC">
              <w:t xml:space="preserve"> Programmes</w:t>
            </w:r>
          </w:p>
        </w:tc>
        <w:tc>
          <w:tcPr>
            <w:tcW w:w="2325" w:type="dxa"/>
          </w:tcPr>
          <w:p w14:paraId="545374CA" w14:textId="77777777" w:rsidR="00470ABC" w:rsidRPr="00F04F30" w:rsidRDefault="00470ABC" w:rsidP="00155D14">
            <w:pPr>
              <w:spacing w:line="360" w:lineRule="auto"/>
            </w:pPr>
            <w:r>
              <w:t>13</w:t>
            </w:r>
          </w:p>
        </w:tc>
      </w:tr>
      <w:tr w:rsidR="00470ABC" w14:paraId="409AB2DA" w14:textId="77777777" w:rsidTr="1285F6B4">
        <w:tc>
          <w:tcPr>
            <w:tcW w:w="2324" w:type="dxa"/>
          </w:tcPr>
          <w:p w14:paraId="3D6CDFED" w14:textId="0E1F51F9" w:rsidR="00470ABC" w:rsidRPr="00F04F30" w:rsidRDefault="3B5740EE" w:rsidP="00155D14">
            <w:pPr>
              <w:spacing w:line="360" w:lineRule="auto"/>
            </w:pPr>
            <w:r>
              <w:t>6/5/25</w:t>
            </w:r>
          </w:p>
        </w:tc>
        <w:tc>
          <w:tcPr>
            <w:tcW w:w="2324" w:type="dxa"/>
          </w:tcPr>
          <w:p w14:paraId="14D74A3D" w14:textId="77777777" w:rsidR="00470ABC" w:rsidRPr="00F04F30" w:rsidRDefault="00470ABC" w:rsidP="00155D14">
            <w:pPr>
              <w:spacing w:line="360" w:lineRule="auto"/>
            </w:pPr>
            <w:r>
              <w:t>Business School</w:t>
            </w:r>
          </w:p>
        </w:tc>
        <w:tc>
          <w:tcPr>
            <w:tcW w:w="2495" w:type="dxa"/>
          </w:tcPr>
          <w:p w14:paraId="2247B00C" w14:textId="5DB39A54" w:rsidR="00470ABC" w:rsidRPr="00F04F30" w:rsidRDefault="00D6526A" w:rsidP="00155D14">
            <w:pPr>
              <w:spacing w:line="360" w:lineRule="auto"/>
            </w:pPr>
            <w:r>
              <w:t>MBA</w:t>
            </w:r>
            <w:r w:rsidR="00470ABC">
              <w:t xml:space="preserve"> Programmes</w:t>
            </w:r>
          </w:p>
        </w:tc>
        <w:tc>
          <w:tcPr>
            <w:tcW w:w="2325" w:type="dxa"/>
          </w:tcPr>
          <w:p w14:paraId="33398471" w14:textId="77777777" w:rsidR="00470ABC" w:rsidRPr="00F04F30" w:rsidRDefault="00470ABC" w:rsidP="00155D14">
            <w:pPr>
              <w:spacing w:line="360" w:lineRule="auto"/>
            </w:pPr>
            <w:r>
              <w:t>17</w:t>
            </w:r>
          </w:p>
        </w:tc>
      </w:tr>
      <w:tr w:rsidR="00470ABC" w14:paraId="30CAFE5D" w14:textId="77777777" w:rsidTr="1285F6B4">
        <w:tc>
          <w:tcPr>
            <w:tcW w:w="2324" w:type="dxa"/>
          </w:tcPr>
          <w:p w14:paraId="09CC19D5" w14:textId="77777777" w:rsidR="00470ABC" w:rsidRDefault="00470ABC" w:rsidP="00155D14">
            <w:pPr>
              <w:spacing w:line="360" w:lineRule="auto"/>
            </w:pPr>
            <w:r>
              <w:t>Tbc May 25</w:t>
            </w:r>
          </w:p>
        </w:tc>
        <w:tc>
          <w:tcPr>
            <w:tcW w:w="2324" w:type="dxa"/>
          </w:tcPr>
          <w:p w14:paraId="7607C28A" w14:textId="77777777" w:rsidR="00470ABC" w:rsidRDefault="00470ABC" w:rsidP="00155D14">
            <w:pPr>
              <w:spacing w:line="360" w:lineRule="auto"/>
            </w:pPr>
            <w:r>
              <w:t>SACI</w:t>
            </w:r>
          </w:p>
        </w:tc>
        <w:tc>
          <w:tcPr>
            <w:tcW w:w="2495" w:type="dxa"/>
          </w:tcPr>
          <w:p w14:paraId="22BF10E2" w14:textId="77777777" w:rsidR="00470ABC" w:rsidRDefault="00470ABC" w:rsidP="00155D14">
            <w:pPr>
              <w:spacing w:line="360" w:lineRule="auto"/>
            </w:pPr>
            <w:r>
              <w:t xml:space="preserve">Mass Communications Programmes </w:t>
            </w:r>
          </w:p>
        </w:tc>
        <w:tc>
          <w:tcPr>
            <w:tcW w:w="2325" w:type="dxa"/>
          </w:tcPr>
          <w:p w14:paraId="16F7858C" w14:textId="77777777" w:rsidR="00470ABC" w:rsidRDefault="00470ABC" w:rsidP="00155D14">
            <w:pPr>
              <w:spacing w:line="360" w:lineRule="auto"/>
            </w:pPr>
            <w:r>
              <w:t>3</w:t>
            </w:r>
          </w:p>
        </w:tc>
      </w:tr>
      <w:tr w:rsidR="00470ABC" w14:paraId="521019D6" w14:textId="77777777" w:rsidTr="1285F6B4">
        <w:tc>
          <w:tcPr>
            <w:tcW w:w="2324" w:type="dxa"/>
          </w:tcPr>
          <w:p w14:paraId="768CF998" w14:textId="77777777" w:rsidR="00470ABC" w:rsidRDefault="00470ABC" w:rsidP="00155D14">
            <w:pPr>
              <w:spacing w:line="360" w:lineRule="auto"/>
            </w:pPr>
            <w:r>
              <w:lastRenderedPageBreak/>
              <w:t>Tbc June 25</w:t>
            </w:r>
          </w:p>
        </w:tc>
        <w:tc>
          <w:tcPr>
            <w:tcW w:w="2324" w:type="dxa"/>
          </w:tcPr>
          <w:p w14:paraId="195024D2" w14:textId="77777777" w:rsidR="00470ABC" w:rsidRDefault="00470ABC" w:rsidP="00155D14">
            <w:pPr>
              <w:spacing w:line="360" w:lineRule="auto"/>
            </w:pPr>
            <w:r>
              <w:t>SACI</w:t>
            </w:r>
          </w:p>
        </w:tc>
        <w:tc>
          <w:tcPr>
            <w:tcW w:w="2495" w:type="dxa"/>
          </w:tcPr>
          <w:p w14:paraId="32A155A5" w14:textId="77777777" w:rsidR="00470ABC" w:rsidRPr="00470ABC" w:rsidRDefault="00470ABC" w:rsidP="00155D14">
            <w:pPr>
              <w:spacing w:line="360" w:lineRule="auto"/>
            </w:pPr>
            <w:r w:rsidRPr="00470ABC">
              <w:t>Postgraduate Design/Graphics/Creative Advertising programmes Photography programmes  </w:t>
            </w:r>
          </w:p>
        </w:tc>
        <w:tc>
          <w:tcPr>
            <w:tcW w:w="2325" w:type="dxa"/>
          </w:tcPr>
          <w:p w14:paraId="725F6E1C" w14:textId="77777777" w:rsidR="00470ABC" w:rsidRDefault="00470ABC" w:rsidP="00155D14">
            <w:pPr>
              <w:spacing w:line="360" w:lineRule="auto"/>
            </w:pPr>
            <w:r>
              <w:t>15</w:t>
            </w:r>
          </w:p>
        </w:tc>
      </w:tr>
    </w:tbl>
    <w:p w14:paraId="4EBC15B6" w14:textId="77777777" w:rsidR="00470ABC" w:rsidRDefault="00470ABC" w:rsidP="00155D14">
      <w:pPr>
        <w:spacing w:line="360" w:lineRule="auto"/>
        <w:rPr>
          <w:b/>
          <w:bCs/>
        </w:rPr>
      </w:pPr>
    </w:p>
    <w:tbl>
      <w:tblPr>
        <w:tblStyle w:val="TableGrid"/>
        <w:tblW w:w="0" w:type="auto"/>
        <w:tblLook w:val="04A0" w:firstRow="1" w:lastRow="0" w:firstColumn="1" w:lastColumn="0" w:noHBand="0" w:noVBand="1"/>
      </w:tblPr>
      <w:tblGrid>
        <w:gridCol w:w="2324"/>
        <w:gridCol w:w="2324"/>
        <w:gridCol w:w="2495"/>
        <w:gridCol w:w="2325"/>
      </w:tblGrid>
      <w:tr w:rsidR="00470ABC" w14:paraId="459AA807" w14:textId="77777777">
        <w:tc>
          <w:tcPr>
            <w:tcW w:w="9468" w:type="dxa"/>
            <w:gridSpan w:val="4"/>
          </w:tcPr>
          <w:p w14:paraId="2099C155" w14:textId="77777777" w:rsidR="00470ABC" w:rsidRDefault="00470ABC" w:rsidP="00155D14">
            <w:pPr>
              <w:spacing w:line="360" w:lineRule="auto"/>
              <w:rPr>
                <w:b/>
                <w:bCs/>
              </w:rPr>
            </w:pPr>
            <w:r>
              <w:rPr>
                <w:b/>
                <w:bCs/>
              </w:rPr>
              <w:t>Academic Year 2025/2026</w:t>
            </w:r>
          </w:p>
        </w:tc>
      </w:tr>
      <w:tr w:rsidR="00470ABC" w14:paraId="2A4EB0F2" w14:textId="77777777">
        <w:tc>
          <w:tcPr>
            <w:tcW w:w="2324" w:type="dxa"/>
          </w:tcPr>
          <w:p w14:paraId="592CFFB0" w14:textId="77777777" w:rsidR="00470ABC" w:rsidRDefault="00470ABC" w:rsidP="00155D14">
            <w:pPr>
              <w:spacing w:line="360" w:lineRule="auto"/>
              <w:rPr>
                <w:b/>
                <w:bCs/>
              </w:rPr>
            </w:pPr>
            <w:r>
              <w:rPr>
                <w:b/>
                <w:bCs/>
              </w:rPr>
              <w:t>Indicative Date</w:t>
            </w:r>
          </w:p>
        </w:tc>
        <w:tc>
          <w:tcPr>
            <w:tcW w:w="2324" w:type="dxa"/>
          </w:tcPr>
          <w:p w14:paraId="2E59F967" w14:textId="77777777" w:rsidR="00470ABC" w:rsidRDefault="00470ABC" w:rsidP="00155D14">
            <w:pPr>
              <w:spacing w:line="360" w:lineRule="auto"/>
              <w:rPr>
                <w:b/>
                <w:bCs/>
              </w:rPr>
            </w:pPr>
            <w:r>
              <w:rPr>
                <w:b/>
                <w:bCs/>
              </w:rPr>
              <w:t>School</w:t>
            </w:r>
          </w:p>
        </w:tc>
        <w:tc>
          <w:tcPr>
            <w:tcW w:w="2495" w:type="dxa"/>
          </w:tcPr>
          <w:p w14:paraId="4CC19E90" w14:textId="77777777" w:rsidR="00470ABC" w:rsidRDefault="00470ABC" w:rsidP="00155D14">
            <w:pPr>
              <w:spacing w:line="360" w:lineRule="auto"/>
              <w:rPr>
                <w:b/>
                <w:bCs/>
              </w:rPr>
            </w:pPr>
            <w:r>
              <w:rPr>
                <w:b/>
                <w:bCs/>
              </w:rPr>
              <w:t>ILR Event</w:t>
            </w:r>
          </w:p>
        </w:tc>
        <w:tc>
          <w:tcPr>
            <w:tcW w:w="2325" w:type="dxa"/>
          </w:tcPr>
          <w:p w14:paraId="3AECD25B" w14:textId="77777777" w:rsidR="00470ABC" w:rsidRDefault="00470ABC" w:rsidP="00155D14">
            <w:pPr>
              <w:spacing w:line="360" w:lineRule="auto"/>
              <w:rPr>
                <w:b/>
                <w:bCs/>
              </w:rPr>
            </w:pPr>
            <w:r>
              <w:rPr>
                <w:b/>
                <w:bCs/>
              </w:rPr>
              <w:t xml:space="preserve">Estimated provisions in scope </w:t>
            </w:r>
          </w:p>
        </w:tc>
      </w:tr>
      <w:tr w:rsidR="00470ABC" w14:paraId="1BA46C5A" w14:textId="77777777">
        <w:tc>
          <w:tcPr>
            <w:tcW w:w="2324" w:type="dxa"/>
          </w:tcPr>
          <w:p w14:paraId="27E6FD1F" w14:textId="77777777" w:rsidR="00470ABC" w:rsidRPr="00F04F30" w:rsidRDefault="00470ABC" w:rsidP="00155D14">
            <w:pPr>
              <w:spacing w:line="360" w:lineRule="auto"/>
            </w:pPr>
            <w:r>
              <w:t>TBC</w:t>
            </w:r>
          </w:p>
        </w:tc>
        <w:tc>
          <w:tcPr>
            <w:tcW w:w="2324" w:type="dxa"/>
          </w:tcPr>
          <w:p w14:paraId="6389537E" w14:textId="77777777" w:rsidR="00470ABC" w:rsidRPr="00F04F30" w:rsidRDefault="00470ABC" w:rsidP="00155D14">
            <w:pPr>
              <w:spacing w:line="360" w:lineRule="auto"/>
            </w:pPr>
            <w:r>
              <w:t>SHSC</w:t>
            </w:r>
          </w:p>
        </w:tc>
        <w:tc>
          <w:tcPr>
            <w:tcW w:w="2495" w:type="dxa"/>
          </w:tcPr>
          <w:p w14:paraId="265502AF" w14:textId="77777777" w:rsidR="00470ABC" w:rsidRPr="00F04F30" w:rsidRDefault="00470ABC" w:rsidP="00155D14">
            <w:pPr>
              <w:spacing w:line="360" w:lineRule="auto"/>
            </w:pPr>
            <w:r>
              <w:t>Postgraduate Nursing and Midwifery (</w:t>
            </w:r>
            <w:proofErr w:type="gramStart"/>
            <w:r>
              <w:t>non—pre-</w:t>
            </w:r>
            <w:proofErr w:type="gramEnd"/>
            <w:r>
              <w:t>reg) provision and CPD</w:t>
            </w:r>
          </w:p>
        </w:tc>
        <w:tc>
          <w:tcPr>
            <w:tcW w:w="2325" w:type="dxa"/>
          </w:tcPr>
          <w:p w14:paraId="2654BB5B" w14:textId="77777777" w:rsidR="00470ABC" w:rsidRPr="00F04F30" w:rsidRDefault="00470ABC" w:rsidP="00155D14">
            <w:pPr>
              <w:spacing w:line="360" w:lineRule="auto"/>
            </w:pPr>
            <w:r>
              <w:t>10</w:t>
            </w:r>
          </w:p>
        </w:tc>
      </w:tr>
      <w:tr w:rsidR="00470ABC" w14:paraId="228A6961" w14:textId="77777777">
        <w:tc>
          <w:tcPr>
            <w:tcW w:w="2324" w:type="dxa"/>
          </w:tcPr>
          <w:p w14:paraId="0DDD6774" w14:textId="77777777" w:rsidR="00470ABC" w:rsidRPr="00F04F30" w:rsidRDefault="00470ABC" w:rsidP="00155D14">
            <w:pPr>
              <w:spacing w:line="360" w:lineRule="auto"/>
            </w:pPr>
            <w:r>
              <w:t>TBC</w:t>
            </w:r>
          </w:p>
        </w:tc>
        <w:tc>
          <w:tcPr>
            <w:tcW w:w="2324" w:type="dxa"/>
          </w:tcPr>
          <w:p w14:paraId="01D68DCF" w14:textId="77777777" w:rsidR="00470ABC" w:rsidRPr="00F04F30" w:rsidRDefault="00470ABC" w:rsidP="00155D14">
            <w:pPr>
              <w:spacing w:line="360" w:lineRule="auto"/>
            </w:pPr>
            <w:r>
              <w:t>SHSC</w:t>
            </w:r>
          </w:p>
        </w:tc>
        <w:tc>
          <w:tcPr>
            <w:tcW w:w="2495" w:type="dxa"/>
          </w:tcPr>
          <w:p w14:paraId="1F0AE850" w14:textId="77777777" w:rsidR="00470ABC" w:rsidRPr="00F04F30" w:rsidRDefault="00470ABC" w:rsidP="00155D14">
            <w:pPr>
              <w:spacing w:line="360" w:lineRule="auto"/>
            </w:pPr>
            <w:r w:rsidRPr="00E4256C">
              <w:rPr>
                <w:sz w:val="20"/>
                <w:szCs w:val="20"/>
              </w:rPr>
              <w:t>Allied Health programmes </w:t>
            </w:r>
            <w:r>
              <w:rPr>
                <w:sz w:val="20"/>
                <w:szCs w:val="20"/>
              </w:rPr>
              <w:t>and SCS</w:t>
            </w:r>
          </w:p>
        </w:tc>
        <w:tc>
          <w:tcPr>
            <w:tcW w:w="2325" w:type="dxa"/>
          </w:tcPr>
          <w:p w14:paraId="007EFBB1" w14:textId="77777777" w:rsidR="00470ABC" w:rsidRPr="00F04F30" w:rsidRDefault="00470ABC" w:rsidP="00155D14">
            <w:pPr>
              <w:spacing w:line="360" w:lineRule="auto"/>
            </w:pPr>
            <w:r>
              <w:t>5</w:t>
            </w:r>
          </w:p>
        </w:tc>
      </w:tr>
      <w:tr w:rsidR="00470ABC" w14:paraId="382747B9" w14:textId="77777777">
        <w:tc>
          <w:tcPr>
            <w:tcW w:w="2324" w:type="dxa"/>
          </w:tcPr>
          <w:p w14:paraId="32F96AEF" w14:textId="77777777" w:rsidR="00470ABC" w:rsidRPr="00F04F30" w:rsidRDefault="00470ABC" w:rsidP="00155D14">
            <w:pPr>
              <w:spacing w:line="360" w:lineRule="auto"/>
            </w:pPr>
            <w:r>
              <w:t>TBC</w:t>
            </w:r>
          </w:p>
        </w:tc>
        <w:tc>
          <w:tcPr>
            <w:tcW w:w="2324" w:type="dxa"/>
          </w:tcPr>
          <w:p w14:paraId="258816C0" w14:textId="77777777" w:rsidR="00470ABC" w:rsidRPr="00F04F30" w:rsidRDefault="00470ABC" w:rsidP="00155D14">
            <w:pPr>
              <w:spacing w:line="360" w:lineRule="auto"/>
            </w:pPr>
            <w:r>
              <w:t>Business School</w:t>
            </w:r>
          </w:p>
        </w:tc>
        <w:tc>
          <w:tcPr>
            <w:tcW w:w="2495" w:type="dxa"/>
          </w:tcPr>
          <w:p w14:paraId="70DD7D41" w14:textId="77777777" w:rsidR="00470ABC" w:rsidRPr="00F04F30" w:rsidRDefault="00470ABC" w:rsidP="00155D14">
            <w:pPr>
              <w:spacing w:line="360" w:lineRule="auto"/>
            </w:pPr>
            <w:r>
              <w:t>Undergraduate Business Management Programmes</w:t>
            </w:r>
          </w:p>
        </w:tc>
        <w:tc>
          <w:tcPr>
            <w:tcW w:w="2325" w:type="dxa"/>
          </w:tcPr>
          <w:p w14:paraId="7C1B2354" w14:textId="77777777" w:rsidR="00470ABC" w:rsidRPr="00F04F30" w:rsidRDefault="00470ABC" w:rsidP="00155D14">
            <w:pPr>
              <w:spacing w:line="360" w:lineRule="auto"/>
            </w:pPr>
            <w:r>
              <w:t>8</w:t>
            </w:r>
          </w:p>
        </w:tc>
      </w:tr>
      <w:tr w:rsidR="00470ABC" w14:paraId="288DF734" w14:textId="77777777">
        <w:tc>
          <w:tcPr>
            <w:tcW w:w="2324" w:type="dxa"/>
          </w:tcPr>
          <w:p w14:paraId="55F767F0" w14:textId="77777777" w:rsidR="00470ABC" w:rsidRPr="00F04F30" w:rsidRDefault="00470ABC" w:rsidP="00155D14">
            <w:pPr>
              <w:spacing w:line="360" w:lineRule="auto"/>
            </w:pPr>
            <w:r>
              <w:lastRenderedPageBreak/>
              <w:t>TBC</w:t>
            </w:r>
          </w:p>
        </w:tc>
        <w:tc>
          <w:tcPr>
            <w:tcW w:w="2324" w:type="dxa"/>
          </w:tcPr>
          <w:p w14:paraId="0F5B32F7" w14:textId="77777777" w:rsidR="00470ABC" w:rsidRPr="00F04F30" w:rsidRDefault="00470ABC" w:rsidP="00155D14">
            <w:pPr>
              <w:spacing w:line="360" w:lineRule="auto"/>
            </w:pPr>
            <w:r>
              <w:t xml:space="preserve">Business School </w:t>
            </w:r>
          </w:p>
        </w:tc>
        <w:tc>
          <w:tcPr>
            <w:tcW w:w="2495" w:type="dxa"/>
          </w:tcPr>
          <w:p w14:paraId="38BED9DD" w14:textId="77777777" w:rsidR="00470ABC" w:rsidRPr="00F04F30" w:rsidRDefault="00470ABC" w:rsidP="00155D14">
            <w:pPr>
              <w:spacing w:line="360" w:lineRule="auto"/>
            </w:pPr>
            <w:r>
              <w:t>Human Resource Management Programmes</w:t>
            </w:r>
          </w:p>
        </w:tc>
        <w:tc>
          <w:tcPr>
            <w:tcW w:w="2325" w:type="dxa"/>
          </w:tcPr>
          <w:p w14:paraId="0CB8CC9A" w14:textId="77777777" w:rsidR="00470ABC" w:rsidRPr="00F04F30" w:rsidRDefault="00470ABC" w:rsidP="00155D14">
            <w:pPr>
              <w:spacing w:line="360" w:lineRule="auto"/>
            </w:pPr>
            <w:r>
              <w:t>7</w:t>
            </w:r>
          </w:p>
        </w:tc>
      </w:tr>
      <w:tr w:rsidR="00470ABC" w14:paraId="4497CF4A" w14:textId="77777777">
        <w:tc>
          <w:tcPr>
            <w:tcW w:w="2324" w:type="dxa"/>
          </w:tcPr>
          <w:p w14:paraId="695155C3" w14:textId="77777777" w:rsidR="00470ABC" w:rsidRPr="00F04F30" w:rsidRDefault="00470ABC" w:rsidP="00155D14">
            <w:pPr>
              <w:spacing w:line="360" w:lineRule="auto"/>
            </w:pPr>
            <w:r>
              <w:t>TBC</w:t>
            </w:r>
          </w:p>
        </w:tc>
        <w:tc>
          <w:tcPr>
            <w:tcW w:w="2324" w:type="dxa"/>
          </w:tcPr>
          <w:p w14:paraId="70540BCE" w14:textId="77777777" w:rsidR="00470ABC" w:rsidRPr="00F04F30" w:rsidRDefault="00470ABC" w:rsidP="00155D14">
            <w:pPr>
              <w:spacing w:line="360" w:lineRule="auto"/>
            </w:pPr>
            <w:r>
              <w:t>SCEBE</w:t>
            </w:r>
          </w:p>
        </w:tc>
        <w:tc>
          <w:tcPr>
            <w:tcW w:w="2495" w:type="dxa"/>
          </w:tcPr>
          <w:p w14:paraId="6355C23D" w14:textId="77777777" w:rsidR="00470ABC" w:rsidRPr="00F04F30" w:rsidRDefault="00470ABC" w:rsidP="00155D14">
            <w:pPr>
              <w:spacing w:line="360" w:lineRule="auto"/>
            </w:pPr>
            <w:r>
              <w:t>Applied Informatics</w:t>
            </w:r>
          </w:p>
        </w:tc>
        <w:tc>
          <w:tcPr>
            <w:tcW w:w="2325" w:type="dxa"/>
          </w:tcPr>
          <w:p w14:paraId="6C098748" w14:textId="77777777" w:rsidR="00470ABC" w:rsidRPr="00F04F30" w:rsidRDefault="00470ABC" w:rsidP="00155D14">
            <w:pPr>
              <w:spacing w:line="360" w:lineRule="auto"/>
            </w:pPr>
            <w:r>
              <w:t>10</w:t>
            </w:r>
          </w:p>
        </w:tc>
      </w:tr>
    </w:tbl>
    <w:p w14:paraId="0EF826B9" w14:textId="77777777" w:rsidR="00470ABC" w:rsidRDefault="00470ABC" w:rsidP="00155D14">
      <w:pPr>
        <w:spacing w:line="360" w:lineRule="auto"/>
        <w:rPr>
          <w:b/>
          <w:bCs/>
        </w:rPr>
      </w:pPr>
    </w:p>
    <w:p w14:paraId="60F23CB4" w14:textId="77777777" w:rsidR="00470ABC" w:rsidRDefault="00470ABC" w:rsidP="00155D14">
      <w:pPr>
        <w:spacing w:line="360" w:lineRule="auto"/>
        <w:rPr>
          <w:b/>
          <w:bCs/>
        </w:rPr>
      </w:pPr>
      <w:r>
        <w:rPr>
          <w:b/>
          <w:bCs/>
        </w:rPr>
        <w:t xml:space="preserve">NB. Reviews from 2026/27 onwards may be subject to amendment in process/grouping as part of work to ensure full compliance with SFC Guidance on Quality for Colleges and Universities </w:t>
      </w:r>
      <w:hyperlink r:id="rId15" w:history="1">
        <w:r w:rsidRPr="00A80944">
          <w:rPr>
            <w:rStyle w:val="Hyperlink"/>
            <w:b/>
            <w:bCs/>
          </w:rPr>
          <w:t>SFC Guidance on Quality for Colleges and Universities 2024-25 to 2030-31 - Scottish Funding Council</w:t>
        </w:r>
      </w:hyperlink>
    </w:p>
    <w:tbl>
      <w:tblPr>
        <w:tblStyle w:val="TableGrid"/>
        <w:tblW w:w="0" w:type="auto"/>
        <w:tblLook w:val="04A0" w:firstRow="1" w:lastRow="0" w:firstColumn="1" w:lastColumn="0" w:noHBand="0" w:noVBand="1"/>
      </w:tblPr>
      <w:tblGrid>
        <w:gridCol w:w="2324"/>
        <w:gridCol w:w="2324"/>
        <w:gridCol w:w="2495"/>
        <w:gridCol w:w="2325"/>
      </w:tblGrid>
      <w:tr w:rsidR="00470ABC" w14:paraId="1E55FE54" w14:textId="77777777" w:rsidTr="54A14391">
        <w:tc>
          <w:tcPr>
            <w:tcW w:w="9468" w:type="dxa"/>
            <w:gridSpan w:val="4"/>
          </w:tcPr>
          <w:p w14:paraId="480FB9C1" w14:textId="77777777" w:rsidR="00470ABC" w:rsidRDefault="00470ABC" w:rsidP="00155D14">
            <w:pPr>
              <w:spacing w:line="360" w:lineRule="auto"/>
              <w:rPr>
                <w:b/>
                <w:bCs/>
              </w:rPr>
            </w:pPr>
            <w:r>
              <w:rPr>
                <w:b/>
                <w:bCs/>
              </w:rPr>
              <w:t>Academic Year 2026/2027</w:t>
            </w:r>
          </w:p>
        </w:tc>
      </w:tr>
      <w:tr w:rsidR="00470ABC" w14:paraId="57123BAF" w14:textId="77777777" w:rsidTr="54A14391">
        <w:tc>
          <w:tcPr>
            <w:tcW w:w="2324" w:type="dxa"/>
          </w:tcPr>
          <w:p w14:paraId="640A8E7E" w14:textId="77777777" w:rsidR="00470ABC" w:rsidRDefault="00470ABC" w:rsidP="00155D14">
            <w:pPr>
              <w:spacing w:line="360" w:lineRule="auto"/>
              <w:rPr>
                <w:b/>
                <w:bCs/>
              </w:rPr>
            </w:pPr>
            <w:r>
              <w:rPr>
                <w:b/>
                <w:bCs/>
              </w:rPr>
              <w:t>Indicative Date</w:t>
            </w:r>
          </w:p>
        </w:tc>
        <w:tc>
          <w:tcPr>
            <w:tcW w:w="2324" w:type="dxa"/>
          </w:tcPr>
          <w:p w14:paraId="04095789" w14:textId="77777777" w:rsidR="00470ABC" w:rsidRDefault="00470ABC" w:rsidP="00155D14">
            <w:pPr>
              <w:spacing w:line="360" w:lineRule="auto"/>
              <w:rPr>
                <w:b/>
                <w:bCs/>
              </w:rPr>
            </w:pPr>
            <w:r>
              <w:rPr>
                <w:b/>
                <w:bCs/>
              </w:rPr>
              <w:t>School</w:t>
            </w:r>
          </w:p>
        </w:tc>
        <w:tc>
          <w:tcPr>
            <w:tcW w:w="2495" w:type="dxa"/>
          </w:tcPr>
          <w:p w14:paraId="756FDB7D" w14:textId="77777777" w:rsidR="00470ABC" w:rsidRDefault="00470ABC" w:rsidP="00155D14">
            <w:pPr>
              <w:spacing w:line="360" w:lineRule="auto"/>
              <w:rPr>
                <w:b/>
                <w:bCs/>
              </w:rPr>
            </w:pPr>
            <w:r>
              <w:rPr>
                <w:b/>
                <w:bCs/>
              </w:rPr>
              <w:t>ILR Event</w:t>
            </w:r>
          </w:p>
        </w:tc>
        <w:tc>
          <w:tcPr>
            <w:tcW w:w="2325" w:type="dxa"/>
          </w:tcPr>
          <w:p w14:paraId="5F443781" w14:textId="77777777" w:rsidR="00470ABC" w:rsidRDefault="00470ABC" w:rsidP="00155D14">
            <w:pPr>
              <w:spacing w:line="360" w:lineRule="auto"/>
              <w:rPr>
                <w:b/>
                <w:bCs/>
              </w:rPr>
            </w:pPr>
            <w:r>
              <w:rPr>
                <w:b/>
                <w:bCs/>
              </w:rPr>
              <w:t xml:space="preserve">Estimated provisions in scope </w:t>
            </w:r>
          </w:p>
        </w:tc>
      </w:tr>
      <w:tr w:rsidR="00470ABC" w14:paraId="2A49E415" w14:textId="77777777" w:rsidTr="54A14391">
        <w:tc>
          <w:tcPr>
            <w:tcW w:w="2324" w:type="dxa"/>
          </w:tcPr>
          <w:p w14:paraId="71889106" w14:textId="77777777" w:rsidR="00470ABC" w:rsidRPr="00F04F30" w:rsidRDefault="00470ABC" w:rsidP="00155D14">
            <w:pPr>
              <w:spacing w:line="360" w:lineRule="auto"/>
            </w:pPr>
            <w:r>
              <w:t>TBC</w:t>
            </w:r>
          </w:p>
        </w:tc>
        <w:tc>
          <w:tcPr>
            <w:tcW w:w="2324" w:type="dxa"/>
          </w:tcPr>
          <w:p w14:paraId="1F3074F7" w14:textId="77777777" w:rsidR="00470ABC" w:rsidRPr="00F04F30" w:rsidRDefault="00470ABC" w:rsidP="00155D14">
            <w:pPr>
              <w:spacing w:line="360" w:lineRule="auto"/>
            </w:pPr>
            <w:r>
              <w:t xml:space="preserve">SHSC </w:t>
            </w:r>
          </w:p>
        </w:tc>
        <w:tc>
          <w:tcPr>
            <w:tcW w:w="2495" w:type="dxa"/>
          </w:tcPr>
          <w:p w14:paraId="2103DCDB" w14:textId="3D5412E8" w:rsidR="00470ABC" w:rsidRPr="00F04F30" w:rsidRDefault="00470ABC" w:rsidP="00155D14">
            <w:pPr>
              <w:spacing w:line="360" w:lineRule="auto"/>
            </w:pPr>
            <w:r>
              <w:t>Pre-registration Nursing &amp; Midwifery Programmes (UG and PG)</w:t>
            </w:r>
            <w:r w:rsidR="2D164D3A">
              <w:t xml:space="preserve"> and post-registration top-ups (potentially split into 2 events)</w:t>
            </w:r>
          </w:p>
        </w:tc>
        <w:tc>
          <w:tcPr>
            <w:tcW w:w="2325" w:type="dxa"/>
          </w:tcPr>
          <w:p w14:paraId="2C3C8F15" w14:textId="77777777" w:rsidR="00470ABC" w:rsidRPr="00F04F30" w:rsidRDefault="00470ABC" w:rsidP="00155D14">
            <w:pPr>
              <w:spacing w:line="360" w:lineRule="auto"/>
            </w:pPr>
            <w:r>
              <w:t>13</w:t>
            </w:r>
          </w:p>
        </w:tc>
      </w:tr>
      <w:tr w:rsidR="00470ABC" w14:paraId="3905C9F4" w14:textId="77777777" w:rsidTr="54A14391">
        <w:tc>
          <w:tcPr>
            <w:tcW w:w="2324" w:type="dxa"/>
          </w:tcPr>
          <w:p w14:paraId="6FBFD018" w14:textId="77777777" w:rsidR="00470ABC" w:rsidRPr="00F04F30" w:rsidRDefault="00470ABC" w:rsidP="00155D14">
            <w:pPr>
              <w:spacing w:line="360" w:lineRule="auto"/>
            </w:pPr>
            <w:r>
              <w:t>TBC</w:t>
            </w:r>
          </w:p>
        </w:tc>
        <w:tc>
          <w:tcPr>
            <w:tcW w:w="2324" w:type="dxa"/>
          </w:tcPr>
          <w:p w14:paraId="2C9F1A16" w14:textId="77777777" w:rsidR="00470ABC" w:rsidRPr="00F04F30" w:rsidRDefault="00470ABC" w:rsidP="00155D14">
            <w:pPr>
              <w:spacing w:line="360" w:lineRule="auto"/>
            </w:pPr>
            <w:r>
              <w:t xml:space="preserve">SCEBE </w:t>
            </w:r>
          </w:p>
        </w:tc>
        <w:tc>
          <w:tcPr>
            <w:tcW w:w="2495" w:type="dxa"/>
          </w:tcPr>
          <w:p w14:paraId="6EB89116" w14:textId="77777777" w:rsidR="00470ABC" w:rsidRPr="00F04F30" w:rsidRDefault="00470ABC" w:rsidP="00155D14">
            <w:pPr>
              <w:spacing w:line="360" w:lineRule="auto"/>
            </w:pPr>
            <w:r>
              <w:t>Cybersecurity Programmes</w:t>
            </w:r>
          </w:p>
        </w:tc>
        <w:tc>
          <w:tcPr>
            <w:tcW w:w="2325" w:type="dxa"/>
          </w:tcPr>
          <w:p w14:paraId="39A2E3B1" w14:textId="77777777" w:rsidR="00470ABC" w:rsidRPr="00F04F30" w:rsidRDefault="00470ABC" w:rsidP="00155D14">
            <w:pPr>
              <w:spacing w:line="360" w:lineRule="auto"/>
            </w:pPr>
            <w:r>
              <w:t>5</w:t>
            </w:r>
          </w:p>
        </w:tc>
      </w:tr>
      <w:tr w:rsidR="00470ABC" w14:paraId="09EC91CE" w14:textId="77777777" w:rsidTr="54A14391">
        <w:tc>
          <w:tcPr>
            <w:tcW w:w="2324" w:type="dxa"/>
          </w:tcPr>
          <w:p w14:paraId="2E216883" w14:textId="77777777" w:rsidR="00470ABC" w:rsidRPr="00F04F30" w:rsidRDefault="00470ABC" w:rsidP="00155D14">
            <w:pPr>
              <w:spacing w:line="360" w:lineRule="auto"/>
            </w:pPr>
            <w:r>
              <w:lastRenderedPageBreak/>
              <w:t>TBC</w:t>
            </w:r>
          </w:p>
        </w:tc>
        <w:tc>
          <w:tcPr>
            <w:tcW w:w="2324" w:type="dxa"/>
          </w:tcPr>
          <w:p w14:paraId="52B33F62" w14:textId="77777777" w:rsidR="00470ABC" w:rsidRPr="00F04F30" w:rsidRDefault="00470ABC" w:rsidP="00155D14">
            <w:pPr>
              <w:spacing w:line="360" w:lineRule="auto"/>
            </w:pPr>
            <w:r>
              <w:t>SAS</w:t>
            </w:r>
          </w:p>
        </w:tc>
        <w:tc>
          <w:tcPr>
            <w:tcW w:w="2495" w:type="dxa"/>
          </w:tcPr>
          <w:p w14:paraId="41936B9E" w14:textId="77777777" w:rsidR="00470ABC" w:rsidRPr="00F04F30" w:rsidRDefault="00470ABC" w:rsidP="00155D14">
            <w:pPr>
              <w:spacing w:line="360" w:lineRule="auto"/>
            </w:pPr>
            <w:r>
              <w:t>DLTE Provision</w:t>
            </w:r>
            <w:r>
              <w:rPr>
                <w:rStyle w:val="FootnoteReference"/>
              </w:rPr>
              <w:footnoteReference w:id="2"/>
            </w:r>
          </w:p>
        </w:tc>
        <w:tc>
          <w:tcPr>
            <w:tcW w:w="2325" w:type="dxa"/>
          </w:tcPr>
          <w:p w14:paraId="4F945E25" w14:textId="77777777" w:rsidR="00470ABC" w:rsidRPr="00F04F30" w:rsidRDefault="00470ABC" w:rsidP="00155D14">
            <w:pPr>
              <w:spacing w:line="360" w:lineRule="auto"/>
            </w:pPr>
            <w:r>
              <w:t>2</w:t>
            </w:r>
          </w:p>
        </w:tc>
      </w:tr>
    </w:tbl>
    <w:p w14:paraId="53A22F93" w14:textId="77777777" w:rsidR="00470ABC" w:rsidRDefault="00470ABC" w:rsidP="00155D14">
      <w:pPr>
        <w:spacing w:line="360" w:lineRule="auto"/>
        <w:rPr>
          <w:b/>
          <w:bCs/>
        </w:rPr>
      </w:pPr>
    </w:p>
    <w:tbl>
      <w:tblPr>
        <w:tblStyle w:val="TableGrid"/>
        <w:tblW w:w="0" w:type="auto"/>
        <w:tblLook w:val="04A0" w:firstRow="1" w:lastRow="0" w:firstColumn="1" w:lastColumn="0" w:noHBand="0" w:noVBand="1"/>
      </w:tblPr>
      <w:tblGrid>
        <w:gridCol w:w="2324"/>
        <w:gridCol w:w="2324"/>
        <w:gridCol w:w="2495"/>
        <w:gridCol w:w="2325"/>
      </w:tblGrid>
      <w:tr w:rsidR="00470ABC" w14:paraId="1FE375A6" w14:textId="77777777">
        <w:tc>
          <w:tcPr>
            <w:tcW w:w="9468" w:type="dxa"/>
            <w:gridSpan w:val="4"/>
          </w:tcPr>
          <w:p w14:paraId="10080CE5" w14:textId="77777777" w:rsidR="00470ABC" w:rsidRDefault="00470ABC" w:rsidP="00155D14">
            <w:pPr>
              <w:spacing w:line="360" w:lineRule="auto"/>
              <w:rPr>
                <w:b/>
                <w:bCs/>
              </w:rPr>
            </w:pPr>
            <w:r>
              <w:rPr>
                <w:b/>
                <w:bCs/>
              </w:rPr>
              <w:t>Academic Year 2027/2028</w:t>
            </w:r>
          </w:p>
        </w:tc>
      </w:tr>
      <w:tr w:rsidR="00470ABC" w14:paraId="1B339F03" w14:textId="77777777">
        <w:tc>
          <w:tcPr>
            <w:tcW w:w="2324" w:type="dxa"/>
          </w:tcPr>
          <w:p w14:paraId="74252D94" w14:textId="77777777" w:rsidR="00470ABC" w:rsidRDefault="00470ABC" w:rsidP="00155D14">
            <w:pPr>
              <w:spacing w:line="360" w:lineRule="auto"/>
              <w:rPr>
                <w:b/>
                <w:bCs/>
              </w:rPr>
            </w:pPr>
            <w:r>
              <w:rPr>
                <w:b/>
                <w:bCs/>
              </w:rPr>
              <w:t>Indicative Date</w:t>
            </w:r>
          </w:p>
        </w:tc>
        <w:tc>
          <w:tcPr>
            <w:tcW w:w="2324" w:type="dxa"/>
          </w:tcPr>
          <w:p w14:paraId="51528385" w14:textId="77777777" w:rsidR="00470ABC" w:rsidRDefault="00470ABC" w:rsidP="00155D14">
            <w:pPr>
              <w:spacing w:line="360" w:lineRule="auto"/>
              <w:rPr>
                <w:b/>
                <w:bCs/>
              </w:rPr>
            </w:pPr>
            <w:r>
              <w:rPr>
                <w:b/>
                <w:bCs/>
              </w:rPr>
              <w:t>School</w:t>
            </w:r>
          </w:p>
        </w:tc>
        <w:tc>
          <w:tcPr>
            <w:tcW w:w="2495" w:type="dxa"/>
          </w:tcPr>
          <w:p w14:paraId="658C6FCA" w14:textId="77777777" w:rsidR="00470ABC" w:rsidRDefault="00470ABC" w:rsidP="00155D14">
            <w:pPr>
              <w:spacing w:line="360" w:lineRule="auto"/>
              <w:rPr>
                <w:b/>
                <w:bCs/>
              </w:rPr>
            </w:pPr>
            <w:r>
              <w:rPr>
                <w:b/>
                <w:bCs/>
              </w:rPr>
              <w:t>ILR Event</w:t>
            </w:r>
          </w:p>
        </w:tc>
        <w:tc>
          <w:tcPr>
            <w:tcW w:w="2325" w:type="dxa"/>
          </w:tcPr>
          <w:p w14:paraId="57A9767E" w14:textId="77777777" w:rsidR="00470ABC" w:rsidRDefault="00470ABC" w:rsidP="00155D14">
            <w:pPr>
              <w:spacing w:line="360" w:lineRule="auto"/>
              <w:rPr>
                <w:b/>
                <w:bCs/>
              </w:rPr>
            </w:pPr>
            <w:r>
              <w:rPr>
                <w:b/>
                <w:bCs/>
              </w:rPr>
              <w:t xml:space="preserve">Estimated provisions in scope </w:t>
            </w:r>
          </w:p>
        </w:tc>
      </w:tr>
      <w:tr w:rsidR="00470ABC" w14:paraId="1369489E" w14:textId="77777777">
        <w:tc>
          <w:tcPr>
            <w:tcW w:w="2324" w:type="dxa"/>
          </w:tcPr>
          <w:p w14:paraId="2667E466" w14:textId="77777777" w:rsidR="00470ABC" w:rsidRPr="00F04F30" w:rsidRDefault="00470ABC" w:rsidP="00155D14">
            <w:pPr>
              <w:spacing w:line="360" w:lineRule="auto"/>
            </w:pPr>
            <w:r>
              <w:t>TBC</w:t>
            </w:r>
          </w:p>
        </w:tc>
        <w:tc>
          <w:tcPr>
            <w:tcW w:w="2324" w:type="dxa"/>
          </w:tcPr>
          <w:p w14:paraId="7AB1DA45" w14:textId="77777777" w:rsidR="00470ABC" w:rsidRPr="00F04F30" w:rsidRDefault="00470ABC" w:rsidP="00155D14">
            <w:pPr>
              <w:spacing w:line="360" w:lineRule="auto"/>
            </w:pPr>
            <w:r>
              <w:t>SHSC</w:t>
            </w:r>
          </w:p>
        </w:tc>
        <w:tc>
          <w:tcPr>
            <w:tcW w:w="2495" w:type="dxa"/>
          </w:tcPr>
          <w:p w14:paraId="140F7245" w14:textId="77777777" w:rsidR="00470ABC" w:rsidRPr="00F04F30" w:rsidRDefault="00470ABC" w:rsidP="00155D14">
            <w:pPr>
              <w:spacing w:line="360" w:lineRule="auto"/>
            </w:pPr>
            <w:r>
              <w:t>Postgraduate Provision in Public Health, Research Methods</w:t>
            </w:r>
          </w:p>
        </w:tc>
        <w:tc>
          <w:tcPr>
            <w:tcW w:w="2325" w:type="dxa"/>
          </w:tcPr>
          <w:p w14:paraId="2F9F7571" w14:textId="77777777" w:rsidR="00470ABC" w:rsidRPr="00F04F30" w:rsidRDefault="00470ABC" w:rsidP="00155D14">
            <w:pPr>
              <w:spacing w:line="360" w:lineRule="auto"/>
            </w:pPr>
            <w:r>
              <w:t>4</w:t>
            </w:r>
          </w:p>
        </w:tc>
      </w:tr>
      <w:tr w:rsidR="00470ABC" w14:paraId="76465BAC" w14:textId="77777777">
        <w:tc>
          <w:tcPr>
            <w:tcW w:w="2324" w:type="dxa"/>
          </w:tcPr>
          <w:p w14:paraId="4913A3B3" w14:textId="77777777" w:rsidR="00470ABC" w:rsidRPr="00F04F30" w:rsidRDefault="00470ABC" w:rsidP="00155D14">
            <w:pPr>
              <w:spacing w:line="360" w:lineRule="auto"/>
            </w:pPr>
            <w:r>
              <w:t>TBC</w:t>
            </w:r>
          </w:p>
        </w:tc>
        <w:tc>
          <w:tcPr>
            <w:tcW w:w="2324" w:type="dxa"/>
          </w:tcPr>
          <w:p w14:paraId="117BDCC0" w14:textId="77777777" w:rsidR="00470ABC" w:rsidRPr="00F04F30" w:rsidRDefault="00470ABC" w:rsidP="00155D14">
            <w:pPr>
              <w:spacing w:line="360" w:lineRule="auto"/>
            </w:pPr>
            <w:r>
              <w:t>SAS</w:t>
            </w:r>
          </w:p>
        </w:tc>
        <w:tc>
          <w:tcPr>
            <w:tcW w:w="2495" w:type="dxa"/>
          </w:tcPr>
          <w:p w14:paraId="57D0799B" w14:textId="77777777" w:rsidR="00470ABC" w:rsidRPr="00F04F30" w:rsidRDefault="00470ABC" w:rsidP="00155D14">
            <w:pPr>
              <w:spacing w:line="360" w:lineRule="auto"/>
            </w:pPr>
            <w:r>
              <w:t>Biological Sciences Provision UG &amp; PG (may be separate events)</w:t>
            </w:r>
          </w:p>
        </w:tc>
        <w:tc>
          <w:tcPr>
            <w:tcW w:w="2325" w:type="dxa"/>
          </w:tcPr>
          <w:p w14:paraId="73D61090" w14:textId="77777777" w:rsidR="00470ABC" w:rsidRPr="00F04F30" w:rsidRDefault="00470ABC" w:rsidP="00155D14">
            <w:pPr>
              <w:spacing w:line="360" w:lineRule="auto"/>
            </w:pPr>
            <w:r>
              <w:t>12 + 8</w:t>
            </w:r>
          </w:p>
        </w:tc>
      </w:tr>
      <w:tr w:rsidR="00470ABC" w14:paraId="0EDA43D3" w14:textId="77777777">
        <w:tc>
          <w:tcPr>
            <w:tcW w:w="2324" w:type="dxa"/>
          </w:tcPr>
          <w:p w14:paraId="0437BCF7" w14:textId="77777777" w:rsidR="00470ABC" w:rsidRPr="00F04F30" w:rsidRDefault="00470ABC" w:rsidP="00155D14">
            <w:pPr>
              <w:spacing w:line="360" w:lineRule="auto"/>
            </w:pPr>
            <w:r>
              <w:t>TBC</w:t>
            </w:r>
          </w:p>
        </w:tc>
        <w:tc>
          <w:tcPr>
            <w:tcW w:w="2324" w:type="dxa"/>
          </w:tcPr>
          <w:p w14:paraId="6958FD5C" w14:textId="77777777" w:rsidR="00470ABC" w:rsidRPr="00F04F30" w:rsidRDefault="00470ABC" w:rsidP="00155D14">
            <w:pPr>
              <w:spacing w:line="360" w:lineRule="auto"/>
            </w:pPr>
            <w:r>
              <w:t>SAS</w:t>
            </w:r>
          </w:p>
        </w:tc>
        <w:tc>
          <w:tcPr>
            <w:tcW w:w="2495" w:type="dxa"/>
          </w:tcPr>
          <w:p w14:paraId="15FCA404" w14:textId="77777777" w:rsidR="00470ABC" w:rsidRPr="00F04F30" w:rsidRDefault="00470ABC" w:rsidP="00155D14">
            <w:pPr>
              <w:spacing w:line="360" w:lineRule="auto"/>
            </w:pPr>
            <w:r>
              <w:t>Sports &amp; Exercise Sciences UG &amp; PG (may be separate events)</w:t>
            </w:r>
          </w:p>
        </w:tc>
        <w:tc>
          <w:tcPr>
            <w:tcW w:w="2325" w:type="dxa"/>
          </w:tcPr>
          <w:p w14:paraId="182CEF05" w14:textId="77777777" w:rsidR="00470ABC" w:rsidRPr="00F04F30" w:rsidRDefault="00470ABC" w:rsidP="00155D14">
            <w:pPr>
              <w:spacing w:line="360" w:lineRule="auto"/>
            </w:pPr>
            <w:r>
              <w:t xml:space="preserve">8 +9 </w:t>
            </w:r>
          </w:p>
        </w:tc>
      </w:tr>
      <w:tr w:rsidR="00470ABC" w14:paraId="65D97C86" w14:textId="77777777">
        <w:tc>
          <w:tcPr>
            <w:tcW w:w="2324" w:type="dxa"/>
          </w:tcPr>
          <w:p w14:paraId="6668A12F" w14:textId="77777777" w:rsidR="00470ABC" w:rsidRPr="00F04F30" w:rsidRDefault="00470ABC" w:rsidP="00155D14">
            <w:pPr>
              <w:spacing w:line="360" w:lineRule="auto"/>
            </w:pPr>
            <w:r>
              <w:lastRenderedPageBreak/>
              <w:t>TBC</w:t>
            </w:r>
          </w:p>
        </w:tc>
        <w:tc>
          <w:tcPr>
            <w:tcW w:w="2324" w:type="dxa"/>
          </w:tcPr>
          <w:p w14:paraId="56FC765E" w14:textId="77777777" w:rsidR="00470ABC" w:rsidRPr="00F04F30" w:rsidRDefault="00470ABC" w:rsidP="00155D14">
            <w:pPr>
              <w:spacing w:line="360" w:lineRule="auto"/>
            </w:pPr>
            <w:r>
              <w:t xml:space="preserve">SACI </w:t>
            </w:r>
          </w:p>
        </w:tc>
        <w:tc>
          <w:tcPr>
            <w:tcW w:w="2495" w:type="dxa"/>
          </w:tcPr>
          <w:p w14:paraId="2E55DC60" w14:textId="77777777" w:rsidR="00470ABC" w:rsidRPr="00F04F30" w:rsidRDefault="00470ABC" w:rsidP="00155D14">
            <w:pPr>
              <w:spacing w:line="360" w:lineRule="auto"/>
            </w:pPr>
            <w:r>
              <w:t xml:space="preserve">Design Programmes UG and PG (may be separate events) </w:t>
            </w:r>
          </w:p>
        </w:tc>
        <w:tc>
          <w:tcPr>
            <w:tcW w:w="2325" w:type="dxa"/>
          </w:tcPr>
          <w:p w14:paraId="2EF41BC1" w14:textId="77777777" w:rsidR="00470ABC" w:rsidRPr="00F04F30" w:rsidRDefault="00470ABC" w:rsidP="00155D14">
            <w:pPr>
              <w:spacing w:line="360" w:lineRule="auto"/>
            </w:pPr>
            <w:r>
              <w:t>3 + 15</w:t>
            </w:r>
          </w:p>
        </w:tc>
      </w:tr>
      <w:tr w:rsidR="00470ABC" w14:paraId="70CCD765" w14:textId="77777777">
        <w:tc>
          <w:tcPr>
            <w:tcW w:w="2324" w:type="dxa"/>
          </w:tcPr>
          <w:p w14:paraId="638B1079" w14:textId="77777777" w:rsidR="00470ABC" w:rsidRPr="00F04F30" w:rsidRDefault="00470ABC" w:rsidP="00155D14">
            <w:pPr>
              <w:spacing w:line="360" w:lineRule="auto"/>
            </w:pPr>
            <w:r>
              <w:t>TBC</w:t>
            </w:r>
          </w:p>
        </w:tc>
        <w:tc>
          <w:tcPr>
            <w:tcW w:w="2324" w:type="dxa"/>
          </w:tcPr>
          <w:p w14:paraId="6903CC18" w14:textId="77777777" w:rsidR="00470ABC" w:rsidRPr="00F04F30" w:rsidRDefault="00470ABC" w:rsidP="00155D14">
            <w:pPr>
              <w:spacing w:line="360" w:lineRule="auto"/>
            </w:pPr>
            <w:r>
              <w:t xml:space="preserve">SACI </w:t>
            </w:r>
          </w:p>
        </w:tc>
        <w:tc>
          <w:tcPr>
            <w:tcW w:w="2495" w:type="dxa"/>
          </w:tcPr>
          <w:p w14:paraId="51B9A243" w14:textId="77777777" w:rsidR="00470ABC" w:rsidRPr="00F04F30" w:rsidRDefault="00470ABC" w:rsidP="00155D14">
            <w:pPr>
              <w:spacing w:line="360" w:lineRule="auto"/>
            </w:pPr>
            <w:r>
              <w:t>Music UG + PG</w:t>
            </w:r>
          </w:p>
        </w:tc>
        <w:tc>
          <w:tcPr>
            <w:tcW w:w="2325" w:type="dxa"/>
          </w:tcPr>
          <w:p w14:paraId="5992D39B" w14:textId="77777777" w:rsidR="00470ABC" w:rsidRPr="00F04F30" w:rsidRDefault="00470ABC" w:rsidP="00155D14">
            <w:pPr>
              <w:spacing w:line="360" w:lineRule="auto"/>
            </w:pPr>
            <w:r>
              <w:t>2</w:t>
            </w:r>
          </w:p>
        </w:tc>
      </w:tr>
      <w:tr w:rsidR="00470ABC" w14:paraId="0E546102" w14:textId="77777777">
        <w:tc>
          <w:tcPr>
            <w:tcW w:w="2324" w:type="dxa"/>
          </w:tcPr>
          <w:p w14:paraId="7D7021B8" w14:textId="77777777" w:rsidR="00470ABC" w:rsidRDefault="00470ABC" w:rsidP="00155D14">
            <w:pPr>
              <w:spacing w:line="360" w:lineRule="auto"/>
            </w:pPr>
            <w:r>
              <w:t>TBC</w:t>
            </w:r>
          </w:p>
        </w:tc>
        <w:tc>
          <w:tcPr>
            <w:tcW w:w="2324" w:type="dxa"/>
          </w:tcPr>
          <w:p w14:paraId="51CA7C90" w14:textId="77777777" w:rsidR="00470ABC" w:rsidRDefault="00470ABC" w:rsidP="00155D14">
            <w:pPr>
              <w:spacing w:line="360" w:lineRule="auto"/>
            </w:pPr>
            <w:r>
              <w:t xml:space="preserve">Business School </w:t>
            </w:r>
          </w:p>
        </w:tc>
        <w:tc>
          <w:tcPr>
            <w:tcW w:w="2495" w:type="dxa"/>
          </w:tcPr>
          <w:p w14:paraId="60198FBB" w14:textId="77777777" w:rsidR="00470ABC" w:rsidRDefault="00470ABC" w:rsidP="00155D14">
            <w:pPr>
              <w:spacing w:line="360" w:lineRule="auto"/>
            </w:pPr>
            <w:r>
              <w:t>Accounting &amp; Finance UG + PG</w:t>
            </w:r>
          </w:p>
        </w:tc>
        <w:tc>
          <w:tcPr>
            <w:tcW w:w="2325" w:type="dxa"/>
          </w:tcPr>
          <w:p w14:paraId="4FABD698" w14:textId="77777777" w:rsidR="00470ABC" w:rsidRDefault="00470ABC" w:rsidP="00155D14">
            <w:pPr>
              <w:spacing w:line="360" w:lineRule="auto"/>
            </w:pPr>
            <w:r>
              <w:t>10</w:t>
            </w:r>
          </w:p>
        </w:tc>
      </w:tr>
      <w:tr w:rsidR="00470ABC" w14:paraId="5CDBC588" w14:textId="77777777">
        <w:tc>
          <w:tcPr>
            <w:tcW w:w="2324" w:type="dxa"/>
          </w:tcPr>
          <w:p w14:paraId="561A50C2" w14:textId="77777777" w:rsidR="00470ABC" w:rsidRDefault="00470ABC" w:rsidP="00155D14">
            <w:pPr>
              <w:spacing w:line="360" w:lineRule="auto"/>
            </w:pPr>
            <w:r>
              <w:t>TBC</w:t>
            </w:r>
          </w:p>
        </w:tc>
        <w:tc>
          <w:tcPr>
            <w:tcW w:w="2324" w:type="dxa"/>
          </w:tcPr>
          <w:p w14:paraId="4A9903CF" w14:textId="77777777" w:rsidR="00470ABC" w:rsidRDefault="00470ABC" w:rsidP="00155D14">
            <w:pPr>
              <w:spacing w:line="360" w:lineRule="auto"/>
            </w:pPr>
            <w:r>
              <w:t xml:space="preserve">Business School </w:t>
            </w:r>
          </w:p>
        </w:tc>
        <w:tc>
          <w:tcPr>
            <w:tcW w:w="2495" w:type="dxa"/>
          </w:tcPr>
          <w:p w14:paraId="6B33F42A" w14:textId="77777777" w:rsidR="00470ABC" w:rsidRDefault="00470ABC" w:rsidP="00155D14">
            <w:pPr>
              <w:spacing w:line="360" w:lineRule="auto"/>
            </w:pPr>
            <w:r>
              <w:t>Marketing UG + PG</w:t>
            </w:r>
          </w:p>
        </w:tc>
        <w:tc>
          <w:tcPr>
            <w:tcW w:w="2325" w:type="dxa"/>
          </w:tcPr>
          <w:p w14:paraId="432AD28A" w14:textId="77777777" w:rsidR="00470ABC" w:rsidRDefault="00470ABC" w:rsidP="00155D14">
            <w:pPr>
              <w:spacing w:line="360" w:lineRule="auto"/>
            </w:pPr>
            <w:r>
              <w:t>17</w:t>
            </w:r>
          </w:p>
        </w:tc>
      </w:tr>
    </w:tbl>
    <w:p w14:paraId="7635E498" w14:textId="77777777" w:rsidR="00470ABC" w:rsidRDefault="00470ABC" w:rsidP="00155D14">
      <w:pPr>
        <w:spacing w:line="360" w:lineRule="auto"/>
        <w:rPr>
          <w:b/>
          <w:bCs/>
        </w:rPr>
      </w:pPr>
    </w:p>
    <w:p w14:paraId="0C8F9488" w14:textId="77777777" w:rsidR="00470ABC" w:rsidRDefault="00470ABC" w:rsidP="00155D14">
      <w:pPr>
        <w:spacing w:line="360" w:lineRule="auto"/>
        <w:rPr>
          <w:b/>
          <w:bCs/>
        </w:rPr>
      </w:pPr>
    </w:p>
    <w:tbl>
      <w:tblPr>
        <w:tblStyle w:val="TableGrid"/>
        <w:tblW w:w="0" w:type="auto"/>
        <w:tblLook w:val="04A0" w:firstRow="1" w:lastRow="0" w:firstColumn="1" w:lastColumn="0" w:noHBand="0" w:noVBand="1"/>
      </w:tblPr>
      <w:tblGrid>
        <w:gridCol w:w="2324"/>
        <w:gridCol w:w="2324"/>
        <w:gridCol w:w="2495"/>
        <w:gridCol w:w="2325"/>
      </w:tblGrid>
      <w:tr w:rsidR="00470ABC" w14:paraId="289D229A" w14:textId="77777777">
        <w:tc>
          <w:tcPr>
            <w:tcW w:w="9468" w:type="dxa"/>
            <w:gridSpan w:val="4"/>
          </w:tcPr>
          <w:p w14:paraId="7B41DBE0" w14:textId="77777777" w:rsidR="00470ABC" w:rsidRDefault="00470ABC" w:rsidP="00155D14">
            <w:pPr>
              <w:spacing w:line="360" w:lineRule="auto"/>
              <w:rPr>
                <w:b/>
                <w:bCs/>
              </w:rPr>
            </w:pPr>
            <w:r>
              <w:rPr>
                <w:b/>
                <w:bCs/>
              </w:rPr>
              <w:t>Academic Year 2028/2029</w:t>
            </w:r>
          </w:p>
        </w:tc>
      </w:tr>
      <w:tr w:rsidR="00470ABC" w14:paraId="43628B3B" w14:textId="77777777">
        <w:tc>
          <w:tcPr>
            <w:tcW w:w="2324" w:type="dxa"/>
          </w:tcPr>
          <w:p w14:paraId="2F453C19" w14:textId="77777777" w:rsidR="00470ABC" w:rsidRDefault="00470ABC" w:rsidP="00155D14">
            <w:pPr>
              <w:spacing w:line="360" w:lineRule="auto"/>
              <w:rPr>
                <w:b/>
                <w:bCs/>
              </w:rPr>
            </w:pPr>
            <w:r>
              <w:rPr>
                <w:b/>
                <w:bCs/>
              </w:rPr>
              <w:t>Indicative Date</w:t>
            </w:r>
          </w:p>
        </w:tc>
        <w:tc>
          <w:tcPr>
            <w:tcW w:w="2324" w:type="dxa"/>
          </w:tcPr>
          <w:p w14:paraId="0E1F4FDF" w14:textId="77777777" w:rsidR="00470ABC" w:rsidRDefault="00470ABC" w:rsidP="00155D14">
            <w:pPr>
              <w:spacing w:line="360" w:lineRule="auto"/>
              <w:rPr>
                <w:b/>
                <w:bCs/>
              </w:rPr>
            </w:pPr>
            <w:r>
              <w:rPr>
                <w:b/>
                <w:bCs/>
              </w:rPr>
              <w:t>School</w:t>
            </w:r>
          </w:p>
        </w:tc>
        <w:tc>
          <w:tcPr>
            <w:tcW w:w="2495" w:type="dxa"/>
          </w:tcPr>
          <w:p w14:paraId="6247C7BF" w14:textId="77777777" w:rsidR="00470ABC" w:rsidRDefault="00470ABC" w:rsidP="00155D14">
            <w:pPr>
              <w:spacing w:line="360" w:lineRule="auto"/>
              <w:rPr>
                <w:b/>
                <w:bCs/>
              </w:rPr>
            </w:pPr>
            <w:r>
              <w:rPr>
                <w:b/>
                <w:bCs/>
              </w:rPr>
              <w:t>ILR Event</w:t>
            </w:r>
          </w:p>
        </w:tc>
        <w:tc>
          <w:tcPr>
            <w:tcW w:w="2325" w:type="dxa"/>
          </w:tcPr>
          <w:p w14:paraId="76C6CAE4" w14:textId="77777777" w:rsidR="00470ABC" w:rsidRDefault="00470ABC" w:rsidP="00155D14">
            <w:pPr>
              <w:spacing w:line="360" w:lineRule="auto"/>
              <w:rPr>
                <w:b/>
                <w:bCs/>
              </w:rPr>
            </w:pPr>
            <w:r>
              <w:rPr>
                <w:b/>
                <w:bCs/>
              </w:rPr>
              <w:t xml:space="preserve">Estimated provisions in scope </w:t>
            </w:r>
          </w:p>
        </w:tc>
      </w:tr>
      <w:tr w:rsidR="00470ABC" w14:paraId="3FA4F707" w14:textId="77777777">
        <w:tc>
          <w:tcPr>
            <w:tcW w:w="2324" w:type="dxa"/>
          </w:tcPr>
          <w:p w14:paraId="368440C2" w14:textId="77777777" w:rsidR="00470ABC" w:rsidRPr="00F04F30" w:rsidRDefault="00470ABC" w:rsidP="00155D14">
            <w:pPr>
              <w:spacing w:line="360" w:lineRule="auto"/>
            </w:pPr>
            <w:r>
              <w:t>TBC</w:t>
            </w:r>
          </w:p>
        </w:tc>
        <w:tc>
          <w:tcPr>
            <w:tcW w:w="2324" w:type="dxa"/>
          </w:tcPr>
          <w:p w14:paraId="0AB522A7" w14:textId="77777777" w:rsidR="00470ABC" w:rsidRPr="00F04F30" w:rsidRDefault="00470ABC" w:rsidP="00155D14">
            <w:pPr>
              <w:spacing w:line="360" w:lineRule="auto"/>
            </w:pPr>
            <w:r>
              <w:t>SAS</w:t>
            </w:r>
          </w:p>
        </w:tc>
        <w:tc>
          <w:tcPr>
            <w:tcW w:w="2495" w:type="dxa"/>
          </w:tcPr>
          <w:p w14:paraId="61FF21C7" w14:textId="77777777" w:rsidR="00470ABC" w:rsidRPr="00F04F30" w:rsidRDefault="00470ABC" w:rsidP="00155D14">
            <w:pPr>
              <w:spacing w:line="360" w:lineRule="auto"/>
            </w:pPr>
            <w:r>
              <w:t xml:space="preserve">Social Sciences, including Criminology and Policing </w:t>
            </w:r>
          </w:p>
        </w:tc>
        <w:tc>
          <w:tcPr>
            <w:tcW w:w="2325" w:type="dxa"/>
          </w:tcPr>
          <w:p w14:paraId="13BFC994" w14:textId="77777777" w:rsidR="00470ABC" w:rsidRPr="00F04F30" w:rsidRDefault="00470ABC" w:rsidP="00155D14">
            <w:pPr>
              <w:spacing w:line="360" w:lineRule="auto"/>
            </w:pPr>
            <w:r>
              <w:t>4</w:t>
            </w:r>
          </w:p>
        </w:tc>
      </w:tr>
      <w:tr w:rsidR="00470ABC" w14:paraId="77B92F85" w14:textId="77777777">
        <w:tc>
          <w:tcPr>
            <w:tcW w:w="2324" w:type="dxa"/>
          </w:tcPr>
          <w:p w14:paraId="36A58D3A" w14:textId="77777777" w:rsidR="00470ABC" w:rsidRPr="00F04F30" w:rsidRDefault="00470ABC" w:rsidP="00155D14">
            <w:pPr>
              <w:spacing w:line="360" w:lineRule="auto"/>
            </w:pPr>
            <w:r>
              <w:t>TBC</w:t>
            </w:r>
          </w:p>
        </w:tc>
        <w:tc>
          <w:tcPr>
            <w:tcW w:w="2324" w:type="dxa"/>
          </w:tcPr>
          <w:p w14:paraId="0827C111" w14:textId="77777777" w:rsidR="00470ABC" w:rsidRPr="00F04F30" w:rsidRDefault="00470ABC" w:rsidP="00155D14">
            <w:pPr>
              <w:spacing w:line="360" w:lineRule="auto"/>
            </w:pPr>
            <w:r>
              <w:t>SACI</w:t>
            </w:r>
          </w:p>
        </w:tc>
        <w:tc>
          <w:tcPr>
            <w:tcW w:w="2495" w:type="dxa"/>
          </w:tcPr>
          <w:p w14:paraId="7826583A" w14:textId="77777777" w:rsidR="00470ABC" w:rsidRPr="007F4C4D" w:rsidRDefault="00470ABC" w:rsidP="00155D14">
            <w:pPr>
              <w:spacing w:line="360" w:lineRule="auto"/>
              <w:rPr>
                <w:rFonts w:cstheme="minorHAnsi"/>
              </w:rPr>
            </w:pPr>
            <w:r w:rsidRPr="007F4C4D">
              <w:rPr>
                <w:rFonts w:cstheme="minorHAnsi"/>
              </w:rPr>
              <w:t>Acting/English; Directing/Playwriting; Creative Writing programmes</w:t>
            </w:r>
            <w:r>
              <w:rPr>
                <w:rFonts w:cstheme="minorHAnsi"/>
              </w:rPr>
              <w:t xml:space="preserve"> – tbc </w:t>
            </w:r>
            <w:r>
              <w:rPr>
                <w:rFonts w:cstheme="minorHAnsi"/>
              </w:rPr>
              <w:lastRenderedPageBreak/>
              <w:t xml:space="preserve">(crosses over subject groups) </w:t>
            </w:r>
          </w:p>
        </w:tc>
        <w:tc>
          <w:tcPr>
            <w:tcW w:w="2325" w:type="dxa"/>
          </w:tcPr>
          <w:p w14:paraId="7213ABF8" w14:textId="77777777" w:rsidR="00470ABC" w:rsidRPr="00F04F30" w:rsidRDefault="00470ABC" w:rsidP="00155D14">
            <w:pPr>
              <w:spacing w:line="360" w:lineRule="auto"/>
            </w:pPr>
            <w:r>
              <w:lastRenderedPageBreak/>
              <w:t>9</w:t>
            </w:r>
          </w:p>
        </w:tc>
      </w:tr>
      <w:tr w:rsidR="00470ABC" w14:paraId="23E3E01F" w14:textId="77777777">
        <w:tc>
          <w:tcPr>
            <w:tcW w:w="2324" w:type="dxa"/>
          </w:tcPr>
          <w:p w14:paraId="1660E6D9" w14:textId="77777777" w:rsidR="00470ABC" w:rsidRPr="00F04F30" w:rsidRDefault="00470ABC" w:rsidP="00155D14">
            <w:pPr>
              <w:spacing w:line="360" w:lineRule="auto"/>
            </w:pPr>
            <w:r>
              <w:t>TBC</w:t>
            </w:r>
          </w:p>
        </w:tc>
        <w:tc>
          <w:tcPr>
            <w:tcW w:w="2324" w:type="dxa"/>
          </w:tcPr>
          <w:p w14:paraId="1E84CB1B" w14:textId="77777777" w:rsidR="00470ABC" w:rsidRPr="00F04F30" w:rsidRDefault="00470ABC" w:rsidP="00155D14">
            <w:pPr>
              <w:spacing w:line="360" w:lineRule="auto"/>
            </w:pPr>
            <w:r>
              <w:t>Business School</w:t>
            </w:r>
          </w:p>
        </w:tc>
        <w:tc>
          <w:tcPr>
            <w:tcW w:w="2495" w:type="dxa"/>
          </w:tcPr>
          <w:p w14:paraId="67708E18" w14:textId="77777777" w:rsidR="00470ABC" w:rsidRPr="00F04F30" w:rsidRDefault="00470ABC" w:rsidP="00155D14">
            <w:pPr>
              <w:spacing w:line="360" w:lineRule="auto"/>
            </w:pPr>
            <w:r>
              <w:t xml:space="preserve">Tourism, Hospitality &amp; Events Management </w:t>
            </w:r>
          </w:p>
        </w:tc>
        <w:tc>
          <w:tcPr>
            <w:tcW w:w="2325" w:type="dxa"/>
          </w:tcPr>
          <w:p w14:paraId="64080CE7" w14:textId="77777777" w:rsidR="00470ABC" w:rsidRPr="00F04F30" w:rsidRDefault="00470ABC" w:rsidP="00155D14">
            <w:pPr>
              <w:spacing w:line="360" w:lineRule="auto"/>
            </w:pPr>
            <w:r>
              <w:t>14</w:t>
            </w:r>
          </w:p>
        </w:tc>
      </w:tr>
      <w:tr w:rsidR="00470ABC" w14:paraId="1D1B6AF4" w14:textId="77777777">
        <w:tc>
          <w:tcPr>
            <w:tcW w:w="2324" w:type="dxa"/>
          </w:tcPr>
          <w:p w14:paraId="7819D5CE" w14:textId="77777777" w:rsidR="00470ABC" w:rsidRPr="00F04F30" w:rsidRDefault="00470ABC" w:rsidP="00155D14">
            <w:pPr>
              <w:spacing w:line="360" w:lineRule="auto"/>
            </w:pPr>
            <w:r>
              <w:t>TBC</w:t>
            </w:r>
          </w:p>
        </w:tc>
        <w:tc>
          <w:tcPr>
            <w:tcW w:w="2324" w:type="dxa"/>
          </w:tcPr>
          <w:p w14:paraId="122C4A28" w14:textId="77777777" w:rsidR="00470ABC" w:rsidRPr="00F04F30" w:rsidRDefault="00470ABC" w:rsidP="00155D14">
            <w:pPr>
              <w:spacing w:line="360" w:lineRule="auto"/>
            </w:pPr>
            <w:r>
              <w:t>SCEBE</w:t>
            </w:r>
          </w:p>
        </w:tc>
        <w:tc>
          <w:tcPr>
            <w:tcW w:w="2495" w:type="dxa"/>
          </w:tcPr>
          <w:p w14:paraId="48259FFF" w14:textId="77777777" w:rsidR="00470ABC" w:rsidRPr="00F04F30" w:rsidRDefault="00470ABC" w:rsidP="00155D14">
            <w:pPr>
              <w:spacing w:line="360" w:lineRule="auto"/>
            </w:pPr>
            <w:r>
              <w:t>Engineering &amp; Mathematics Programmes UG + PG</w:t>
            </w:r>
          </w:p>
        </w:tc>
        <w:tc>
          <w:tcPr>
            <w:tcW w:w="2325" w:type="dxa"/>
          </w:tcPr>
          <w:p w14:paraId="6677CDB4" w14:textId="77777777" w:rsidR="00470ABC" w:rsidRPr="00F04F30" w:rsidRDefault="00470ABC" w:rsidP="00155D14">
            <w:pPr>
              <w:spacing w:line="360" w:lineRule="auto"/>
            </w:pPr>
            <w:r>
              <w:t xml:space="preserve">7 + 5 </w:t>
            </w:r>
          </w:p>
        </w:tc>
      </w:tr>
      <w:tr w:rsidR="00470ABC" w14:paraId="1A83C303" w14:textId="77777777">
        <w:tc>
          <w:tcPr>
            <w:tcW w:w="2324" w:type="dxa"/>
          </w:tcPr>
          <w:p w14:paraId="3FE2D015" w14:textId="77777777" w:rsidR="00470ABC" w:rsidRPr="00F04F30" w:rsidRDefault="00470ABC" w:rsidP="00155D14">
            <w:pPr>
              <w:spacing w:line="360" w:lineRule="auto"/>
            </w:pPr>
            <w:r>
              <w:t>TBC</w:t>
            </w:r>
          </w:p>
        </w:tc>
        <w:tc>
          <w:tcPr>
            <w:tcW w:w="2324" w:type="dxa"/>
          </w:tcPr>
          <w:p w14:paraId="7B558D5E" w14:textId="77777777" w:rsidR="00470ABC" w:rsidRPr="00F04F30" w:rsidRDefault="00470ABC" w:rsidP="00155D14">
            <w:pPr>
              <w:spacing w:line="360" w:lineRule="auto"/>
            </w:pPr>
            <w:r>
              <w:t xml:space="preserve">ENUIC </w:t>
            </w:r>
          </w:p>
        </w:tc>
        <w:tc>
          <w:tcPr>
            <w:tcW w:w="2495" w:type="dxa"/>
          </w:tcPr>
          <w:p w14:paraId="1C1D43E4" w14:textId="77777777" w:rsidR="00470ABC" w:rsidRPr="00F04F30" w:rsidRDefault="00470ABC" w:rsidP="00155D14">
            <w:pPr>
              <w:spacing w:line="360" w:lineRule="auto"/>
            </w:pPr>
            <w:r>
              <w:t>Pathway Provisions</w:t>
            </w:r>
          </w:p>
        </w:tc>
        <w:tc>
          <w:tcPr>
            <w:tcW w:w="2325" w:type="dxa"/>
          </w:tcPr>
          <w:p w14:paraId="29C2354E" w14:textId="77777777" w:rsidR="00470ABC" w:rsidRPr="00F04F30" w:rsidRDefault="00470ABC" w:rsidP="00155D14">
            <w:pPr>
              <w:spacing w:line="360" w:lineRule="auto"/>
            </w:pPr>
            <w:r>
              <w:t>tbc</w:t>
            </w:r>
          </w:p>
        </w:tc>
      </w:tr>
    </w:tbl>
    <w:p w14:paraId="4BDCFD1E" w14:textId="77777777" w:rsidR="00470ABC" w:rsidRDefault="00470ABC" w:rsidP="00155D14">
      <w:pPr>
        <w:spacing w:line="360" w:lineRule="auto"/>
        <w:rPr>
          <w:b/>
          <w:bCs/>
        </w:rPr>
      </w:pPr>
    </w:p>
    <w:tbl>
      <w:tblPr>
        <w:tblStyle w:val="TableGrid"/>
        <w:tblW w:w="0" w:type="auto"/>
        <w:tblLook w:val="04A0" w:firstRow="1" w:lastRow="0" w:firstColumn="1" w:lastColumn="0" w:noHBand="0" w:noVBand="1"/>
      </w:tblPr>
      <w:tblGrid>
        <w:gridCol w:w="2324"/>
        <w:gridCol w:w="2324"/>
        <w:gridCol w:w="2495"/>
        <w:gridCol w:w="2325"/>
      </w:tblGrid>
      <w:tr w:rsidR="00470ABC" w14:paraId="7C143560" w14:textId="77777777">
        <w:tc>
          <w:tcPr>
            <w:tcW w:w="9468" w:type="dxa"/>
            <w:gridSpan w:val="4"/>
          </w:tcPr>
          <w:p w14:paraId="77E7361F" w14:textId="77777777" w:rsidR="00470ABC" w:rsidRDefault="00470ABC" w:rsidP="00155D14">
            <w:pPr>
              <w:spacing w:line="360" w:lineRule="auto"/>
              <w:rPr>
                <w:b/>
                <w:bCs/>
              </w:rPr>
            </w:pPr>
            <w:r>
              <w:rPr>
                <w:b/>
                <w:bCs/>
              </w:rPr>
              <w:t>Academic Year 2029/2030</w:t>
            </w:r>
          </w:p>
        </w:tc>
      </w:tr>
      <w:tr w:rsidR="00470ABC" w14:paraId="0E5FD356" w14:textId="77777777">
        <w:tc>
          <w:tcPr>
            <w:tcW w:w="2324" w:type="dxa"/>
          </w:tcPr>
          <w:p w14:paraId="2E50964B" w14:textId="77777777" w:rsidR="00470ABC" w:rsidRDefault="00470ABC" w:rsidP="00155D14">
            <w:pPr>
              <w:spacing w:line="360" w:lineRule="auto"/>
              <w:rPr>
                <w:b/>
                <w:bCs/>
              </w:rPr>
            </w:pPr>
            <w:r>
              <w:rPr>
                <w:b/>
                <w:bCs/>
              </w:rPr>
              <w:t>Indicative Date</w:t>
            </w:r>
          </w:p>
        </w:tc>
        <w:tc>
          <w:tcPr>
            <w:tcW w:w="2324" w:type="dxa"/>
          </w:tcPr>
          <w:p w14:paraId="64A27CCE" w14:textId="77777777" w:rsidR="00470ABC" w:rsidRDefault="00470ABC" w:rsidP="00155D14">
            <w:pPr>
              <w:spacing w:line="360" w:lineRule="auto"/>
              <w:rPr>
                <w:b/>
                <w:bCs/>
              </w:rPr>
            </w:pPr>
            <w:r>
              <w:rPr>
                <w:b/>
                <w:bCs/>
              </w:rPr>
              <w:t>School</w:t>
            </w:r>
          </w:p>
        </w:tc>
        <w:tc>
          <w:tcPr>
            <w:tcW w:w="2495" w:type="dxa"/>
          </w:tcPr>
          <w:p w14:paraId="489AE891" w14:textId="77777777" w:rsidR="00470ABC" w:rsidRDefault="00470ABC" w:rsidP="00155D14">
            <w:pPr>
              <w:spacing w:line="360" w:lineRule="auto"/>
              <w:rPr>
                <w:b/>
                <w:bCs/>
              </w:rPr>
            </w:pPr>
            <w:r>
              <w:rPr>
                <w:b/>
                <w:bCs/>
              </w:rPr>
              <w:t>ILR Event</w:t>
            </w:r>
          </w:p>
        </w:tc>
        <w:tc>
          <w:tcPr>
            <w:tcW w:w="2325" w:type="dxa"/>
          </w:tcPr>
          <w:p w14:paraId="79D8D492" w14:textId="77777777" w:rsidR="00470ABC" w:rsidRDefault="00470ABC" w:rsidP="00155D14">
            <w:pPr>
              <w:spacing w:line="360" w:lineRule="auto"/>
              <w:rPr>
                <w:b/>
                <w:bCs/>
              </w:rPr>
            </w:pPr>
            <w:r>
              <w:rPr>
                <w:b/>
                <w:bCs/>
              </w:rPr>
              <w:t xml:space="preserve">Estimated provisions in scope </w:t>
            </w:r>
          </w:p>
        </w:tc>
      </w:tr>
      <w:tr w:rsidR="00470ABC" w14:paraId="0F2840C4" w14:textId="77777777">
        <w:tc>
          <w:tcPr>
            <w:tcW w:w="2324" w:type="dxa"/>
          </w:tcPr>
          <w:p w14:paraId="0D3B4C1C" w14:textId="77777777" w:rsidR="00470ABC" w:rsidRPr="00F04F30" w:rsidRDefault="00470ABC" w:rsidP="00155D14">
            <w:pPr>
              <w:spacing w:line="360" w:lineRule="auto"/>
            </w:pPr>
            <w:r>
              <w:t>TBC</w:t>
            </w:r>
          </w:p>
        </w:tc>
        <w:tc>
          <w:tcPr>
            <w:tcW w:w="2324" w:type="dxa"/>
          </w:tcPr>
          <w:p w14:paraId="36E374B0" w14:textId="77777777" w:rsidR="00470ABC" w:rsidRPr="00F04F30" w:rsidRDefault="00470ABC" w:rsidP="00155D14">
            <w:pPr>
              <w:spacing w:line="360" w:lineRule="auto"/>
            </w:pPr>
            <w:r>
              <w:t>SAS</w:t>
            </w:r>
          </w:p>
        </w:tc>
        <w:tc>
          <w:tcPr>
            <w:tcW w:w="2495" w:type="dxa"/>
          </w:tcPr>
          <w:p w14:paraId="4F004559" w14:textId="77777777" w:rsidR="00470ABC" w:rsidRPr="00F04F30" w:rsidRDefault="00470ABC" w:rsidP="00155D14">
            <w:pPr>
              <w:spacing w:line="360" w:lineRule="auto"/>
            </w:pPr>
            <w:r>
              <w:t xml:space="preserve">Psychology </w:t>
            </w:r>
          </w:p>
        </w:tc>
        <w:tc>
          <w:tcPr>
            <w:tcW w:w="2325" w:type="dxa"/>
          </w:tcPr>
          <w:p w14:paraId="58715720" w14:textId="77777777" w:rsidR="00470ABC" w:rsidRPr="00F04F30" w:rsidRDefault="00470ABC" w:rsidP="00155D14">
            <w:pPr>
              <w:spacing w:line="360" w:lineRule="auto"/>
            </w:pPr>
            <w:r>
              <w:t>5</w:t>
            </w:r>
          </w:p>
        </w:tc>
      </w:tr>
      <w:tr w:rsidR="00470ABC" w14:paraId="1E7212CD" w14:textId="77777777">
        <w:tc>
          <w:tcPr>
            <w:tcW w:w="2324" w:type="dxa"/>
          </w:tcPr>
          <w:p w14:paraId="16496663" w14:textId="77777777" w:rsidR="00470ABC" w:rsidRPr="00F04F30" w:rsidRDefault="00470ABC" w:rsidP="00155D14">
            <w:pPr>
              <w:spacing w:line="360" w:lineRule="auto"/>
            </w:pPr>
            <w:r>
              <w:t>TBC</w:t>
            </w:r>
          </w:p>
        </w:tc>
        <w:tc>
          <w:tcPr>
            <w:tcW w:w="2324" w:type="dxa"/>
          </w:tcPr>
          <w:p w14:paraId="18E9ACDF" w14:textId="77777777" w:rsidR="00470ABC" w:rsidRPr="00F04F30" w:rsidRDefault="00470ABC" w:rsidP="00155D14">
            <w:pPr>
              <w:spacing w:line="360" w:lineRule="auto"/>
            </w:pPr>
            <w:r>
              <w:t>SACI</w:t>
            </w:r>
          </w:p>
        </w:tc>
        <w:tc>
          <w:tcPr>
            <w:tcW w:w="2495" w:type="dxa"/>
          </w:tcPr>
          <w:p w14:paraId="5799B6BC" w14:textId="77777777" w:rsidR="00470ABC" w:rsidRPr="007F4C4D" w:rsidRDefault="00470ABC" w:rsidP="00155D14">
            <w:pPr>
              <w:spacing w:line="360" w:lineRule="auto"/>
              <w:rPr>
                <w:rFonts w:cstheme="minorHAnsi"/>
              </w:rPr>
            </w:pPr>
            <w:r>
              <w:rPr>
                <w:rFonts w:cstheme="minorHAnsi"/>
              </w:rPr>
              <w:t>Film, TV and Screen</w:t>
            </w:r>
          </w:p>
        </w:tc>
        <w:tc>
          <w:tcPr>
            <w:tcW w:w="2325" w:type="dxa"/>
          </w:tcPr>
          <w:p w14:paraId="3F042E54" w14:textId="77777777" w:rsidR="00470ABC" w:rsidRPr="00F04F30" w:rsidRDefault="00470ABC" w:rsidP="00155D14">
            <w:pPr>
              <w:spacing w:line="360" w:lineRule="auto"/>
            </w:pPr>
            <w:r>
              <w:t>7</w:t>
            </w:r>
          </w:p>
        </w:tc>
      </w:tr>
      <w:tr w:rsidR="00470ABC" w14:paraId="3DCEF48A" w14:textId="77777777">
        <w:tc>
          <w:tcPr>
            <w:tcW w:w="2324" w:type="dxa"/>
          </w:tcPr>
          <w:p w14:paraId="1948047D" w14:textId="77777777" w:rsidR="00470ABC" w:rsidRPr="00F04F30" w:rsidRDefault="00470ABC" w:rsidP="00155D14">
            <w:pPr>
              <w:spacing w:line="360" w:lineRule="auto"/>
            </w:pPr>
            <w:r>
              <w:t>TBC</w:t>
            </w:r>
          </w:p>
        </w:tc>
        <w:tc>
          <w:tcPr>
            <w:tcW w:w="2324" w:type="dxa"/>
          </w:tcPr>
          <w:p w14:paraId="7AE0E3DB" w14:textId="77777777" w:rsidR="00470ABC" w:rsidRPr="00F04F30" w:rsidRDefault="00470ABC" w:rsidP="00155D14">
            <w:pPr>
              <w:spacing w:line="360" w:lineRule="auto"/>
            </w:pPr>
            <w:r>
              <w:t>SACI</w:t>
            </w:r>
          </w:p>
        </w:tc>
        <w:tc>
          <w:tcPr>
            <w:tcW w:w="2495" w:type="dxa"/>
          </w:tcPr>
          <w:p w14:paraId="20924E75" w14:textId="77777777" w:rsidR="00470ABC" w:rsidRPr="00F04F30" w:rsidRDefault="00470ABC" w:rsidP="00155D14">
            <w:pPr>
              <w:spacing w:line="360" w:lineRule="auto"/>
            </w:pPr>
            <w:r>
              <w:t>Journalism &amp; Publishing</w:t>
            </w:r>
          </w:p>
        </w:tc>
        <w:tc>
          <w:tcPr>
            <w:tcW w:w="2325" w:type="dxa"/>
          </w:tcPr>
          <w:p w14:paraId="27D8A8C2" w14:textId="77777777" w:rsidR="00470ABC" w:rsidRPr="00F04F30" w:rsidRDefault="00470ABC" w:rsidP="00155D14">
            <w:pPr>
              <w:spacing w:line="360" w:lineRule="auto"/>
            </w:pPr>
            <w:r>
              <w:t>4</w:t>
            </w:r>
          </w:p>
        </w:tc>
      </w:tr>
    </w:tbl>
    <w:p w14:paraId="478838B6" w14:textId="77777777" w:rsidR="00470ABC" w:rsidRDefault="00470ABC" w:rsidP="00155D14">
      <w:pPr>
        <w:spacing w:line="360" w:lineRule="auto"/>
        <w:rPr>
          <w:b/>
          <w:bCs/>
        </w:rPr>
      </w:pPr>
    </w:p>
    <w:p w14:paraId="4FF46B25" w14:textId="77777777" w:rsidR="00470ABC" w:rsidRDefault="00470ABC" w:rsidP="00155D14">
      <w:pPr>
        <w:spacing w:line="360" w:lineRule="auto"/>
        <w:jc w:val="right"/>
      </w:pPr>
    </w:p>
    <w:p w14:paraId="6EBF39CA" w14:textId="77777777" w:rsidR="00470ABC" w:rsidRDefault="00470ABC" w:rsidP="00155D14">
      <w:pPr>
        <w:spacing w:line="360" w:lineRule="auto"/>
      </w:pPr>
    </w:p>
    <w:p w14:paraId="54A1DC56" w14:textId="17747661" w:rsidR="00F623A9" w:rsidRPr="003C25D7" w:rsidRDefault="00F623A9" w:rsidP="00155D14">
      <w:pPr>
        <w:spacing w:line="360" w:lineRule="auto"/>
      </w:pPr>
    </w:p>
    <w:sectPr w:rsidR="00F623A9" w:rsidRPr="003C25D7" w:rsidSect="00470AB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5BE33" w14:textId="77777777" w:rsidR="00754E88" w:rsidRDefault="00754E88">
      <w:r>
        <w:separator/>
      </w:r>
    </w:p>
  </w:endnote>
  <w:endnote w:type="continuationSeparator" w:id="0">
    <w:p w14:paraId="6BE2AC00" w14:textId="77777777" w:rsidR="00754E88" w:rsidRDefault="00754E88">
      <w:r>
        <w:continuationSeparator/>
      </w:r>
    </w:p>
  </w:endnote>
  <w:endnote w:type="continuationNotice" w:id="1">
    <w:p w14:paraId="3C6703CC" w14:textId="77777777" w:rsidR="00754E88" w:rsidRDefault="00754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89606946"/>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46F32B7" w14:textId="490B2C82" w:rsidR="0078794D" w:rsidRPr="0078794D" w:rsidRDefault="00567A7C" w:rsidP="0078794D">
            <w:pPr>
              <w:pStyle w:val="Footer"/>
              <w:jc w:val="center"/>
              <w:rPr>
                <w:sz w:val="22"/>
                <w:szCs w:val="22"/>
              </w:rPr>
            </w:pPr>
            <w:proofErr w:type="gramStart"/>
            <w:r>
              <w:rPr>
                <w:sz w:val="22"/>
                <w:szCs w:val="22"/>
              </w:rPr>
              <w:t>QS(</w:t>
            </w:r>
            <w:proofErr w:type="gramEnd"/>
            <w:r>
              <w:rPr>
                <w:sz w:val="22"/>
                <w:szCs w:val="22"/>
              </w:rPr>
              <w:t>24/25)</w:t>
            </w:r>
            <w:r w:rsidR="00834575">
              <w:rPr>
                <w:sz w:val="22"/>
                <w:szCs w:val="22"/>
              </w:rPr>
              <w:t>08</w:t>
            </w:r>
            <w:r>
              <w:rPr>
                <w:sz w:val="22"/>
                <w:szCs w:val="22"/>
              </w:rPr>
              <w:t xml:space="preserve">      </w:t>
            </w:r>
            <w:r w:rsidR="00834575">
              <w:rPr>
                <w:sz w:val="22"/>
                <w:szCs w:val="22"/>
              </w:rPr>
              <w:t xml:space="preserve">                                                                   </w:t>
            </w:r>
            <w:r>
              <w:rPr>
                <w:sz w:val="22"/>
                <w:szCs w:val="22"/>
              </w:rPr>
              <w:t xml:space="preserve">                                                                                                         </w:t>
            </w:r>
            <w:r w:rsidR="0078794D" w:rsidRPr="0078794D">
              <w:rPr>
                <w:sz w:val="22"/>
                <w:szCs w:val="22"/>
              </w:rPr>
              <w:t xml:space="preserve">Page </w:t>
            </w:r>
            <w:r w:rsidR="0078794D" w:rsidRPr="0078794D">
              <w:rPr>
                <w:b/>
                <w:bCs/>
                <w:sz w:val="22"/>
                <w:szCs w:val="22"/>
              </w:rPr>
              <w:fldChar w:fldCharType="begin"/>
            </w:r>
            <w:r w:rsidR="0078794D" w:rsidRPr="0078794D">
              <w:rPr>
                <w:b/>
                <w:bCs/>
                <w:sz w:val="22"/>
                <w:szCs w:val="22"/>
              </w:rPr>
              <w:instrText xml:space="preserve"> PAGE </w:instrText>
            </w:r>
            <w:r w:rsidR="0078794D" w:rsidRPr="0078794D">
              <w:rPr>
                <w:b/>
                <w:bCs/>
                <w:sz w:val="22"/>
                <w:szCs w:val="22"/>
              </w:rPr>
              <w:fldChar w:fldCharType="separate"/>
            </w:r>
            <w:r w:rsidR="001D25DA">
              <w:rPr>
                <w:b/>
                <w:bCs/>
                <w:noProof/>
                <w:sz w:val="22"/>
                <w:szCs w:val="22"/>
              </w:rPr>
              <w:t>3</w:t>
            </w:r>
            <w:r w:rsidR="0078794D" w:rsidRPr="0078794D">
              <w:rPr>
                <w:b/>
                <w:bCs/>
                <w:sz w:val="22"/>
                <w:szCs w:val="22"/>
              </w:rPr>
              <w:fldChar w:fldCharType="end"/>
            </w:r>
            <w:r w:rsidR="0078794D" w:rsidRPr="0078794D">
              <w:rPr>
                <w:sz w:val="22"/>
                <w:szCs w:val="22"/>
              </w:rPr>
              <w:t xml:space="preserve"> of </w:t>
            </w:r>
            <w:r w:rsidR="0078794D" w:rsidRPr="0078794D">
              <w:rPr>
                <w:b/>
                <w:bCs/>
                <w:sz w:val="22"/>
                <w:szCs w:val="22"/>
              </w:rPr>
              <w:fldChar w:fldCharType="begin"/>
            </w:r>
            <w:r w:rsidR="0078794D" w:rsidRPr="0078794D">
              <w:rPr>
                <w:b/>
                <w:bCs/>
                <w:sz w:val="22"/>
                <w:szCs w:val="22"/>
              </w:rPr>
              <w:instrText xml:space="preserve"> NUMPAGES  </w:instrText>
            </w:r>
            <w:r w:rsidR="0078794D" w:rsidRPr="0078794D">
              <w:rPr>
                <w:b/>
                <w:bCs/>
                <w:sz w:val="22"/>
                <w:szCs w:val="22"/>
              </w:rPr>
              <w:fldChar w:fldCharType="separate"/>
            </w:r>
            <w:r w:rsidR="001D25DA">
              <w:rPr>
                <w:b/>
                <w:bCs/>
                <w:noProof/>
                <w:sz w:val="22"/>
                <w:szCs w:val="22"/>
              </w:rPr>
              <w:t>3</w:t>
            </w:r>
            <w:r w:rsidR="0078794D" w:rsidRPr="0078794D">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FD475" w14:textId="77777777" w:rsidR="00754E88" w:rsidRDefault="00754E88">
      <w:r>
        <w:separator/>
      </w:r>
    </w:p>
  </w:footnote>
  <w:footnote w:type="continuationSeparator" w:id="0">
    <w:p w14:paraId="08B18606" w14:textId="77777777" w:rsidR="00754E88" w:rsidRDefault="00754E88">
      <w:r>
        <w:continuationSeparator/>
      </w:r>
    </w:p>
  </w:footnote>
  <w:footnote w:type="continuationNotice" w:id="1">
    <w:p w14:paraId="4F22E077" w14:textId="77777777" w:rsidR="00754E88" w:rsidRDefault="00754E88"/>
  </w:footnote>
  <w:footnote w:id="2">
    <w:p w14:paraId="3918E1EF" w14:textId="77777777" w:rsidR="00470ABC" w:rsidRDefault="00470ABC" w:rsidP="00470ABC">
      <w:pPr>
        <w:pStyle w:val="FootnoteText"/>
      </w:pPr>
      <w:r>
        <w:rPr>
          <w:rStyle w:val="FootnoteReference"/>
        </w:rPr>
        <w:footnoteRef/>
      </w:r>
      <w:r>
        <w:t xml:space="preserve"> There is an intention to incorporate DLTE provision into the ITE and Careers Guidance Grouping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BCFB" w14:textId="77777777" w:rsidR="00D55221" w:rsidRPr="009B170A" w:rsidRDefault="00D55221" w:rsidP="00D55221">
    <w:pPr>
      <w:pStyle w:val="Header"/>
      <w:tabs>
        <w:tab w:val="clear" w:pos="4153"/>
        <w:tab w:val="clear" w:pos="8306"/>
        <w:tab w:val="left" w:pos="66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6901" w14:textId="77777777" w:rsidR="0079712A" w:rsidRDefault="0079712A" w:rsidP="0079712A">
    <w:pPr>
      <w:pStyle w:val="Header"/>
      <w:jc w:val="right"/>
      <w:rPr>
        <w:b/>
      </w:rPr>
    </w:pPr>
  </w:p>
  <w:p w14:paraId="6002232D" w14:textId="77777777" w:rsidR="0079712A" w:rsidRPr="00F8196B" w:rsidRDefault="0079712A" w:rsidP="0079712A">
    <w:pPr>
      <w:pStyle w:val="Header"/>
      <w:jc w:val="right"/>
      <w:rPr>
        <w:b/>
      </w:rPr>
    </w:pPr>
    <w:r>
      <w:rPr>
        <w:rFonts w:ascii="Arial Narrow" w:hAnsi="Arial Narrow"/>
        <w:b/>
        <w:noProof/>
        <w:sz w:val="28"/>
        <w:szCs w:val="28"/>
      </w:rPr>
      <w:drawing>
        <wp:inline distT="0" distB="0" distL="0" distR="0" wp14:anchorId="4C95E343" wp14:editId="1196A969">
          <wp:extent cx="2322930" cy="703580"/>
          <wp:effectExtent l="0" t="0" r="0" b="0"/>
          <wp:docPr id="1842567586" name="Picture 1842567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67586" name="Picture 184256758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22930" cy="703580"/>
                  </a:xfrm>
                  <a:prstGeom prst="rect">
                    <a:avLst/>
                  </a:prstGeom>
                  <a:noFill/>
                  <a:ln w="9525">
                    <a:noFill/>
                    <a:miter lim="800000"/>
                    <a:headEnd/>
                    <a:tailEnd/>
                  </a:ln>
                </pic:spPr>
              </pic:pic>
            </a:graphicData>
          </a:graphic>
        </wp:inline>
      </w:drawing>
    </w:r>
  </w:p>
  <w:p w14:paraId="4D0C710E" w14:textId="77777777" w:rsidR="0079712A" w:rsidRDefault="00797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AF63A8A"/>
    <w:lvl w:ilvl="0">
      <w:numFmt w:val="bullet"/>
      <w:lvlText w:val="*"/>
      <w:lvlJc w:val="left"/>
    </w:lvl>
  </w:abstractNum>
  <w:abstractNum w:abstractNumId="1" w15:restartNumberingAfterBreak="0">
    <w:nsid w:val="02E673B6"/>
    <w:multiLevelType w:val="hybridMultilevel"/>
    <w:tmpl w:val="9F98F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6740"/>
    <w:multiLevelType w:val="hybridMultilevel"/>
    <w:tmpl w:val="0A7468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90D5D"/>
    <w:multiLevelType w:val="hybridMultilevel"/>
    <w:tmpl w:val="6E5065BE"/>
    <w:lvl w:ilvl="0" w:tplc="B412BE4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04A6F"/>
    <w:multiLevelType w:val="hybridMultilevel"/>
    <w:tmpl w:val="7A5E0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B20C5E"/>
    <w:multiLevelType w:val="hybridMultilevel"/>
    <w:tmpl w:val="408EE0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7F3719"/>
    <w:multiLevelType w:val="hybridMultilevel"/>
    <w:tmpl w:val="D3F60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A4C61"/>
    <w:multiLevelType w:val="hybridMultilevel"/>
    <w:tmpl w:val="D9A07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12B9B"/>
    <w:multiLevelType w:val="hybridMultilevel"/>
    <w:tmpl w:val="4A0E7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86BA5"/>
    <w:multiLevelType w:val="multilevel"/>
    <w:tmpl w:val="AB7E7314"/>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FD1EA8"/>
    <w:multiLevelType w:val="hybridMultilevel"/>
    <w:tmpl w:val="9CBC5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D95723"/>
    <w:multiLevelType w:val="hybridMultilevel"/>
    <w:tmpl w:val="B4E68504"/>
    <w:lvl w:ilvl="0" w:tplc="630078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07015A"/>
    <w:multiLevelType w:val="hybridMultilevel"/>
    <w:tmpl w:val="6A7A4188"/>
    <w:lvl w:ilvl="0" w:tplc="5E22D9E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91CA9"/>
    <w:multiLevelType w:val="hybridMultilevel"/>
    <w:tmpl w:val="5122E2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CD71C8"/>
    <w:multiLevelType w:val="hybridMultilevel"/>
    <w:tmpl w:val="22022E4A"/>
    <w:lvl w:ilvl="0" w:tplc="39863428">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CE7065E"/>
    <w:multiLevelType w:val="hybridMultilevel"/>
    <w:tmpl w:val="DBC21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1ADA"/>
    <w:multiLevelType w:val="hybridMultilevel"/>
    <w:tmpl w:val="92EE3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553CE0"/>
    <w:multiLevelType w:val="hybridMultilevel"/>
    <w:tmpl w:val="28EAFE4E"/>
    <w:lvl w:ilvl="0" w:tplc="E3E2F85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42557"/>
    <w:multiLevelType w:val="hybridMultilevel"/>
    <w:tmpl w:val="56902B6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B95227"/>
    <w:multiLevelType w:val="hybridMultilevel"/>
    <w:tmpl w:val="F1446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3625A"/>
    <w:multiLevelType w:val="hybridMultilevel"/>
    <w:tmpl w:val="B43AC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392DD8"/>
    <w:multiLevelType w:val="hybridMultilevel"/>
    <w:tmpl w:val="2E42F96C"/>
    <w:lvl w:ilvl="0" w:tplc="D6A87F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3B1D3C"/>
    <w:multiLevelType w:val="hybridMultilevel"/>
    <w:tmpl w:val="5E6CE82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585A03"/>
    <w:multiLevelType w:val="hybridMultilevel"/>
    <w:tmpl w:val="CB1C8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0415D"/>
    <w:multiLevelType w:val="hybridMultilevel"/>
    <w:tmpl w:val="A8FEC47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C37F59"/>
    <w:multiLevelType w:val="hybridMultilevel"/>
    <w:tmpl w:val="7C0AF3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B61B82"/>
    <w:multiLevelType w:val="hybridMultilevel"/>
    <w:tmpl w:val="13AAE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2A47D4"/>
    <w:multiLevelType w:val="hybridMultilevel"/>
    <w:tmpl w:val="9320BDB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C4A1908"/>
    <w:multiLevelType w:val="hybridMultilevel"/>
    <w:tmpl w:val="0D305C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D7B08"/>
    <w:multiLevelType w:val="hybridMultilevel"/>
    <w:tmpl w:val="7F288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3D173B"/>
    <w:multiLevelType w:val="hybridMultilevel"/>
    <w:tmpl w:val="E59C2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F12E2D"/>
    <w:multiLevelType w:val="hybridMultilevel"/>
    <w:tmpl w:val="667E709C"/>
    <w:lvl w:ilvl="0" w:tplc="08090005">
      <w:start w:val="1"/>
      <w:numFmt w:val="bullet"/>
      <w:lvlText w:val=""/>
      <w:lvlJc w:val="left"/>
      <w:pPr>
        <w:tabs>
          <w:tab w:val="num" w:pos="360"/>
        </w:tabs>
        <w:ind w:left="360" w:hanging="360"/>
      </w:pPr>
      <w:rPr>
        <w:rFonts w:ascii="Wingdings" w:hAnsi="Wingdings" w:hint="default"/>
      </w:rPr>
    </w:lvl>
    <w:lvl w:ilvl="1" w:tplc="BF70A062" w:tentative="1">
      <w:start w:val="1"/>
      <w:numFmt w:val="bullet"/>
      <w:lvlText w:val="•"/>
      <w:lvlJc w:val="left"/>
      <w:pPr>
        <w:tabs>
          <w:tab w:val="num" w:pos="1080"/>
        </w:tabs>
        <w:ind w:left="1080" w:hanging="360"/>
      </w:pPr>
      <w:rPr>
        <w:rFonts w:ascii="Times New Roman" w:hAnsi="Times New Roman" w:hint="default"/>
      </w:rPr>
    </w:lvl>
    <w:lvl w:ilvl="2" w:tplc="4DB6A0D4" w:tentative="1">
      <w:start w:val="1"/>
      <w:numFmt w:val="bullet"/>
      <w:lvlText w:val="•"/>
      <w:lvlJc w:val="left"/>
      <w:pPr>
        <w:tabs>
          <w:tab w:val="num" w:pos="1800"/>
        </w:tabs>
        <w:ind w:left="1800" w:hanging="360"/>
      </w:pPr>
      <w:rPr>
        <w:rFonts w:ascii="Times New Roman" w:hAnsi="Times New Roman" w:hint="default"/>
      </w:rPr>
    </w:lvl>
    <w:lvl w:ilvl="3" w:tplc="68702FB4" w:tentative="1">
      <w:start w:val="1"/>
      <w:numFmt w:val="bullet"/>
      <w:lvlText w:val="•"/>
      <w:lvlJc w:val="left"/>
      <w:pPr>
        <w:tabs>
          <w:tab w:val="num" w:pos="2520"/>
        </w:tabs>
        <w:ind w:left="2520" w:hanging="360"/>
      </w:pPr>
      <w:rPr>
        <w:rFonts w:ascii="Times New Roman" w:hAnsi="Times New Roman" w:hint="default"/>
      </w:rPr>
    </w:lvl>
    <w:lvl w:ilvl="4" w:tplc="785A851C" w:tentative="1">
      <w:start w:val="1"/>
      <w:numFmt w:val="bullet"/>
      <w:lvlText w:val="•"/>
      <w:lvlJc w:val="left"/>
      <w:pPr>
        <w:tabs>
          <w:tab w:val="num" w:pos="3240"/>
        </w:tabs>
        <w:ind w:left="3240" w:hanging="360"/>
      </w:pPr>
      <w:rPr>
        <w:rFonts w:ascii="Times New Roman" w:hAnsi="Times New Roman" w:hint="default"/>
      </w:rPr>
    </w:lvl>
    <w:lvl w:ilvl="5" w:tplc="EC3C4726" w:tentative="1">
      <w:start w:val="1"/>
      <w:numFmt w:val="bullet"/>
      <w:lvlText w:val="•"/>
      <w:lvlJc w:val="left"/>
      <w:pPr>
        <w:tabs>
          <w:tab w:val="num" w:pos="3960"/>
        </w:tabs>
        <w:ind w:left="3960" w:hanging="360"/>
      </w:pPr>
      <w:rPr>
        <w:rFonts w:ascii="Times New Roman" w:hAnsi="Times New Roman" w:hint="default"/>
      </w:rPr>
    </w:lvl>
    <w:lvl w:ilvl="6" w:tplc="07E2A1F4" w:tentative="1">
      <w:start w:val="1"/>
      <w:numFmt w:val="bullet"/>
      <w:lvlText w:val="•"/>
      <w:lvlJc w:val="left"/>
      <w:pPr>
        <w:tabs>
          <w:tab w:val="num" w:pos="4680"/>
        </w:tabs>
        <w:ind w:left="4680" w:hanging="360"/>
      </w:pPr>
      <w:rPr>
        <w:rFonts w:ascii="Times New Roman" w:hAnsi="Times New Roman" w:hint="default"/>
      </w:rPr>
    </w:lvl>
    <w:lvl w:ilvl="7" w:tplc="7598E346" w:tentative="1">
      <w:start w:val="1"/>
      <w:numFmt w:val="bullet"/>
      <w:lvlText w:val="•"/>
      <w:lvlJc w:val="left"/>
      <w:pPr>
        <w:tabs>
          <w:tab w:val="num" w:pos="5400"/>
        </w:tabs>
        <w:ind w:left="5400" w:hanging="360"/>
      </w:pPr>
      <w:rPr>
        <w:rFonts w:ascii="Times New Roman" w:hAnsi="Times New Roman" w:hint="default"/>
      </w:rPr>
    </w:lvl>
    <w:lvl w:ilvl="8" w:tplc="8BA00E84"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41F2323D"/>
    <w:multiLevelType w:val="hybridMultilevel"/>
    <w:tmpl w:val="F2A07CC2"/>
    <w:lvl w:ilvl="0" w:tplc="08090005">
      <w:start w:val="1"/>
      <w:numFmt w:val="bullet"/>
      <w:lvlText w:val=""/>
      <w:lvlJc w:val="left"/>
      <w:pPr>
        <w:tabs>
          <w:tab w:val="num" w:pos="720"/>
        </w:tabs>
        <w:ind w:left="720" w:hanging="360"/>
      </w:pPr>
      <w:rPr>
        <w:rFonts w:ascii="Wingdings" w:hAnsi="Wingdings" w:hint="default"/>
      </w:rPr>
    </w:lvl>
    <w:lvl w:ilvl="1" w:tplc="2C9EFF52" w:tentative="1">
      <w:start w:val="1"/>
      <w:numFmt w:val="bullet"/>
      <w:lvlText w:val="•"/>
      <w:lvlJc w:val="left"/>
      <w:pPr>
        <w:tabs>
          <w:tab w:val="num" w:pos="1440"/>
        </w:tabs>
        <w:ind w:left="1440" w:hanging="360"/>
      </w:pPr>
      <w:rPr>
        <w:rFonts w:ascii="Times New Roman" w:hAnsi="Times New Roman" w:hint="default"/>
      </w:rPr>
    </w:lvl>
    <w:lvl w:ilvl="2" w:tplc="B2365A48" w:tentative="1">
      <w:start w:val="1"/>
      <w:numFmt w:val="bullet"/>
      <w:lvlText w:val="•"/>
      <w:lvlJc w:val="left"/>
      <w:pPr>
        <w:tabs>
          <w:tab w:val="num" w:pos="2160"/>
        </w:tabs>
        <w:ind w:left="2160" w:hanging="360"/>
      </w:pPr>
      <w:rPr>
        <w:rFonts w:ascii="Times New Roman" w:hAnsi="Times New Roman" w:hint="default"/>
      </w:rPr>
    </w:lvl>
    <w:lvl w:ilvl="3" w:tplc="FFE0C74A" w:tentative="1">
      <w:start w:val="1"/>
      <w:numFmt w:val="bullet"/>
      <w:lvlText w:val="•"/>
      <w:lvlJc w:val="left"/>
      <w:pPr>
        <w:tabs>
          <w:tab w:val="num" w:pos="2880"/>
        </w:tabs>
        <w:ind w:left="2880" w:hanging="360"/>
      </w:pPr>
      <w:rPr>
        <w:rFonts w:ascii="Times New Roman" w:hAnsi="Times New Roman" w:hint="default"/>
      </w:rPr>
    </w:lvl>
    <w:lvl w:ilvl="4" w:tplc="DBFCFC68" w:tentative="1">
      <w:start w:val="1"/>
      <w:numFmt w:val="bullet"/>
      <w:lvlText w:val="•"/>
      <w:lvlJc w:val="left"/>
      <w:pPr>
        <w:tabs>
          <w:tab w:val="num" w:pos="3600"/>
        </w:tabs>
        <w:ind w:left="3600" w:hanging="360"/>
      </w:pPr>
      <w:rPr>
        <w:rFonts w:ascii="Times New Roman" w:hAnsi="Times New Roman" w:hint="default"/>
      </w:rPr>
    </w:lvl>
    <w:lvl w:ilvl="5" w:tplc="D9F4E7A0" w:tentative="1">
      <w:start w:val="1"/>
      <w:numFmt w:val="bullet"/>
      <w:lvlText w:val="•"/>
      <w:lvlJc w:val="left"/>
      <w:pPr>
        <w:tabs>
          <w:tab w:val="num" w:pos="4320"/>
        </w:tabs>
        <w:ind w:left="4320" w:hanging="360"/>
      </w:pPr>
      <w:rPr>
        <w:rFonts w:ascii="Times New Roman" w:hAnsi="Times New Roman" w:hint="default"/>
      </w:rPr>
    </w:lvl>
    <w:lvl w:ilvl="6" w:tplc="7FBA72F6" w:tentative="1">
      <w:start w:val="1"/>
      <w:numFmt w:val="bullet"/>
      <w:lvlText w:val="•"/>
      <w:lvlJc w:val="left"/>
      <w:pPr>
        <w:tabs>
          <w:tab w:val="num" w:pos="5040"/>
        </w:tabs>
        <w:ind w:left="5040" w:hanging="360"/>
      </w:pPr>
      <w:rPr>
        <w:rFonts w:ascii="Times New Roman" w:hAnsi="Times New Roman" w:hint="default"/>
      </w:rPr>
    </w:lvl>
    <w:lvl w:ilvl="7" w:tplc="AB5A191C" w:tentative="1">
      <w:start w:val="1"/>
      <w:numFmt w:val="bullet"/>
      <w:lvlText w:val="•"/>
      <w:lvlJc w:val="left"/>
      <w:pPr>
        <w:tabs>
          <w:tab w:val="num" w:pos="5760"/>
        </w:tabs>
        <w:ind w:left="5760" w:hanging="360"/>
      </w:pPr>
      <w:rPr>
        <w:rFonts w:ascii="Times New Roman" w:hAnsi="Times New Roman" w:hint="default"/>
      </w:rPr>
    </w:lvl>
    <w:lvl w:ilvl="8" w:tplc="BF7C79F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2F32595"/>
    <w:multiLevelType w:val="hybridMultilevel"/>
    <w:tmpl w:val="F8F42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2808D7"/>
    <w:multiLevelType w:val="hybridMultilevel"/>
    <w:tmpl w:val="916C5A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B71826"/>
    <w:multiLevelType w:val="hybridMultilevel"/>
    <w:tmpl w:val="8534B212"/>
    <w:lvl w:ilvl="0" w:tplc="B0DC8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501064C"/>
    <w:multiLevelType w:val="hybridMultilevel"/>
    <w:tmpl w:val="5EC40D6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6D4044F"/>
    <w:multiLevelType w:val="hybridMultilevel"/>
    <w:tmpl w:val="0EDA0E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577150BF"/>
    <w:multiLevelType w:val="hybridMultilevel"/>
    <w:tmpl w:val="FE746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7D02DB"/>
    <w:multiLevelType w:val="hybridMultilevel"/>
    <w:tmpl w:val="6AFE2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92F245D"/>
    <w:multiLevelType w:val="hybridMultilevel"/>
    <w:tmpl w:val="886C02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8478AC"/>
    <w:multiLevelType w:val="hybridMultilevel"/>
    <w:tmpl w:val="3E6C05A8"/>
    <w:lvl w:ilvl="0" w:tplc="08090005">
      <w:start w:val="1"/>
      <w:numFmt w:val="bullet"/>
      <w:lvlText w:val=""/>
      <w:lvlJc w:val="left"/>
      <w:pPr>
        <w:tabs>
          <w:tab w:val="num" w:pos="720"/>
        </w:tabs>
        <w:ind w:left="720" w:hanging="360"/>
      </w:pPr>
      <w:rPr>
        <w:rFonts w:ascii="Wingdings" w:hAnsi="Wingdings" w:hint="default"/>
      </w:rPr>
    </w:lvl>
    <w:lvl w:ilvl="1" w:tplc="7C06829A" w:tentative="1">
      <w:start w:val="1"/>
      <w:numFmt w:val="bullet"/>
      <w:lvlText w:val="•"/>
      <w:lvlJc w:val="left"/>
      <w:pPr>
        <w:tabs>
          <w:tab w:val="num" w:pos="1440"/>
        </w:tabs>
        <w:ind w:left="1440" w:hanging="360"/>
      </w:pPr>
      <w:rPr>
        <w:rFonts w:ascii="Times New Roman" w:hAnsi="Times New Roman" w:hint="default"/>
      </w:rPr>
    </w:lvl>
    <w:lvl w:ilvl="2" w:tplc="CE9842DC" w:tentative="1">
      <w:start w:val="1"/>
      <w:numFmt w:val="bullet"/>
      <w:lvlText w:val="•"/>
      <w:lvlJc w:val="left"/>
      <w:pPr>
        <w:tabs>
          <w:tab w:val="num" w:pos="2160"/>
        </w:tabs>
        <w:ind w:left="2160" w:hanging="360"/>
      </w:pPr>
      <w:rPr>
        <w:rFonts w:ascii="Times New Roman" w:hAnsi="Times New Roman" w:hint="default"/>
      </w:rPr>
    </w:lvl>
    <w:lvl w:ilvl="3" w:tplc="772439C0" w:tentative="1">
      <w:start w:val="1"/>
      <w:numFmt w:val="bullet"/>
      <w:lvlText w:val="•"/>
      <w:lvlJc w:val="left"/>
      <w:pPr>
        <w:tabs>
          <w:tab w:val="num" w:pos="2880"/>
        </w:tabs>
        <w:ind w:left="2880" w:hanging="360"/>
      </w:pPr>
      <w:rPr>
        <w:rFonts w:ascii="Times New Roman" w:hAnsi="Times New Roman" w:hint="default"/>
      </w:rPr>
    </w:lvl>
    <w:lvl w:ilvl="4" w:tplc="CB30968C" w:tentative="1">
      <w:start w:val="1"/>
      <w:numFmt w:val="bullet"/>
      <w:lvlText w:val="•"/>
      <w:lvlJc w:val="left"/>
      <w:pPr>
        <w:tabs>
          <w:tab w:val="num" w:pos="3600"/>
        </w:tabs>
        <w:ind w:left="3600" w:hanging="360"/>
      </w:pPr>
      <w:rPr>
        <w:rFonts w:ascii="Times New Roman" w:hAnsi="Times New Roman" w:hint="default"/>
      </w:rPr>
    </w:lvl>
    <w:lvl w:ilvl="5" w:tplc="DFE6F702" w:tentative="1">
      <w:start w:val="1"/>
      <w:numFmt w:val="bullet"/>
      <w:lvlText w:val="•"/>
      <w:lvlJc w:val="left"/>
      <w:pPr>
        <w:tabs>
          <w:tab w:val="num" w:pos="4320"/>
        </w:tabs>
        <w:ind w:left="4320" w:hanging="360"/>
      </w:pPr>
      <w:rPr>
        <w:rFonts w:ascii="Times New Roman" w:hAnsi="Times New Roman" w:hint="default"/>
      </w:rPr>
    </w:lvl>
    <w:lvl w:ilvl="6" w:tplc="8C1EDECC" w:tentative="1">
      <w:start w:val="1"/>
      <w:numFmt w:val="bullet"/>
      <w:lvlText w:val="•"/>
      <w:lvlJc w:val="left"/>
      <w:pPr>
        <w:tabs>
          <w:tab w:val="num" w:pos="5040"/>
        </w:tabs>
        <w:ind w:left="5040" w:hanging="360"/>
      </w:pPr>
      <w:rPr>
        <w:rFonts w:ascii="Times New Roman" w:hAnsi="Times New Roman" w:hint="default"/>
      </w:rPr>
    </w:lvl>
    <w:lvl w:ilvl="7" w:tplc="B452497C" w:tentative="1">
      <w:start w:val="1"/>
      <w:numFmt w:val="bullet"/>
      <w:lvlText w:val="•"/>
      <w:lvlJc w:val="left"/>
      <w:pPr>
        <w:tabs>
          <w:tab w:val="num" w:pos="5760"/>
        </w:tabs>
        <w:ind w:left="5760" w:hanging="360"/>
      </w:pPr>
      <w:rPr>
        <w:rFonts w:ascii="Times New Roman" w:hAnsi="Times New Roman" w:hint="default"/>
      </w:rPr>
    </w:lvl>
    <w:lvl w:ilvl="8" w:tplc="7FBE2E1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0E7401E"/>
    <w:multiLevelType w:val="hybridMultilevel"/>
    <w:tmpl w:val="FBC09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3" w15:restartNumberingAfterBreak="0">
    <w:nsid w:val="662022E9"/>
    <w:multiLevelType w:val="multilevel"/>
    <w:tmpl w:val="09B82F56"/>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292A02"/>
    <w:multiLevelType w:val="hybridMultilevel"/>
    <w:tmpl w:val="ABA8B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A37396"/>
    <w:multiLevelType w:val="hybridMultilevel"/>
    <w:tmpl w:val="446E8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A840B1"/>
    <w:multiLevelType w:val="hybridMultilevel"/>
    <w:tmpl w:val="EBF6DD3A"/>
    <w:lvl w:ilvl="0" w:tplc="08090005">
      <w:start w:val="1"/>
      <w:numFmt w:val="bullet"/>
      <w:lvlText w:val=""/>
      <w:lvlJc w:val="left"/>
      <w:pPr>
        <w:tabs>
          <w:tab w:val="num" w:pos="360"/>
        </w:tabs>
        <w:ind w:left="360" w:hanging="360"/>
      </w:pPr>
      <w:rPr>
        <w:rFonts w:ascii="Wingdings" w:hAnsi="Wingdings" w:hint="default"/>
      </w:rPr>
    </w:lvl>
    <w:lvl w:ilvl="1" w:tplc="88EEBB36" w:tentative="1">
      <w:start w:val="1"/>
      <w:numFmt w:val="bullet"/>
      <w:lvlText w:val="•"/>
      <w:lvlJc w:val="left"/>
      <w:pPr>
        <w:tabs>
          <w:tab w:val="num" w:pos="1080"/>
        </w:tabs>
        <w:ind w:left="1080" w:hanging="360"/>
      </w:pPr>
      <w:rPr>
        <w:rFonts w:ascii="Times New Roman" w:hAnsi="Times New Roman" w:hint="default"/>
      </w:rPr>
    </w:lvl>
    <w:lvl w:ilvl="2" w:tplc="B2DE8C38" w:tentative="1">
      <w:start w:val="1"/>
      <w:numFmt w:val="bullet"/>
      <w:lvlText w:val="•"/>
      <w:lvlJc w:val="left"/>
      <w:pPr>
        <w:tabs>
          <w:tab w:val="num" w:pos="1800"/>
        </w:tabs>
        <w:ind w:left="1800" w:hanging="360"/>
      </w:pPr>
      <w:rPr>
        <w:rFonts w:ascii="Times New Roman" w:hAnsi="Times New Roman" w:hint="default"/>
      </w:rPr>
    </w:lvl>
    <w:lvl w:ilvl="3" w:tplc="A142CC38" w:tentative="1">
      <w:start w:val="1"/>
      <w:numFmt w:val="bullet"/>
      <w:lvlText w:val="•"/>
      <w:lvlJc w:val="left"/>
      <w:pPr>
        <w:tabs>
          <w:tab w:val="num" w:pos="2520"/>
        </w:tabs>
        <w:ind w:left="2520" w:hanging="360"/>
      </w:pPr>
      <w:rPr>
        <w:rFonts w:ascii="Times New Roman" w:hAnsi="Times New Roman" w:hint="default"/>
      </w:rPr>
    </w:lvl>
    <w:lvl w:ilvl="4" w:tplc="1382A5B0" w:tentative="1">
      <w:start w:val="1"/>
      <w:numFmt w:val="bullet"/>
      <w:lvlText w:val="•"/>
      <w:lvlJc w:val="left"/>
      <w:pPr>
        <w:tabs>
          <w:tab w:val="num" w:pos="3240"/>
        </w:tabs>
        <w:ind w:left="3240" w:hanging="360"/>
      </w:pPr>
      <w:rPr>
        <w:rFonts w:ascii="Times New Roman" w:hAnsi="Times New Roman" w:hint="default"/>
      </w:rPr>
    </w:lvl>
    <w:lvl w:ilvl="5" w:tplc="E7649994" w:tentative="1">
      <w:start w:val="1"/>
      <w:numFmt w:val="bullet"/>
      <w:lvlText w:val="•"/>
      <w:lvlJc w:val="left"/>
      <w:pPr>
        <w:tabs>
          <w:tab w:val="num" w:pos="3960"/>
        </w:tabs>
        <w:ind w:left="3960" w:hanging="360"/>
      </w:pPr>
      <w:rPr>
        <w:rFonts w:ascii="Times New Roman" w:hAnsi="Times New Roman" w:hint="default"/>
      </w:rPr>
    </w:lvl>
    <w:lvl w:ilvl="6" w:tplc="3B98A1A6" w:tentative="1">
      <w:start w:val="1"/>
      <w:numFmt w:val="bullet"/>
      <w:lvlText w:val="•"/>
      <w:lvlJc w:val="left"/>
      <w:pPr>
        <w:tabs>
          <w:tab w:val="num" w:pos="4680"/>
        </w:tabs>
        <w:ind w:left="4680" w:hanging="360"/>
      </w:pPr>
      <w:rPr>
        <w:rFonts w:ascii="Times New Roman" w:hAnsi="Times New Roman" w:hint="default"/>
      </w:rPr>
    </w:lvl>
    <w:lvl w:ilvl="7" w:tplc="EE7A4498" w:tentative="1">
      <w:start w:val="1"/>
      <w:numFmt w:val="bullet"/>
      <w:lvlText w:val="•"/>
      <w:lvlJc w:val="left"/>
      <w:pPr>
        <w:tabs>
          <w:tab w:val="num" w:pos="5400"/>
        </w:tabs>
        <w:ind w:left="5400" w:hanging="360"/>
      </w:pPr>
      <w:rPr>
        <w:rFonts w:ascii="Times New Roman" w:hAnsi="Times New Roman" w:hint="default"/>
      </w:rPr>
    </w:lvl>
    <w:lvl w:ilvl="8" w:tplc="0828390E"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6CE30C0F"/>
    <w:multiLevelType w:val="hybridMultilevel"/>
    <w:tmpl w:val="744CE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A37AF2"/>
    <w:multiLevelType w:val="hybridMultilevel"/>
    <w:tmpl w:val="DE20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5D13B1"/>
    <w:multiLevelType w:val="hybridMultilevel"/>
    <w:tmpl w:val="5150E7F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5F412E"/>
    <w:multiLevelType w:val="multilevel"/>
    <w:tmpl w:val="7BD28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D04444"/>
    <w:multiLevelType w:val="hybridMultilevel"/>
    <w:tmpl w:val="2ACC4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DD7350"/>
    <w:multiLevelType w:val="hybridMultilevel"/>
    <w:tmpl w:val="3C001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ED3B2A"/>
    <w:multiLevelType w:val="hybridMultilevel"/>
    <w:tmpl w:val="F124B1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15:restartNumberingAfterBreak="0">
    <w:nsid w:val="7CF523AF"/>
    <w:multiLevelType w:val="hybridMultilevel"/>
    <w:tmpl w:val="4BF69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FA5181"/>
    <w:multiLevelType w:val="hybridMultilevel"/>
    <w:tmpl w:val="FEF80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FA0519"/>
    <w:multiLevelType w:val="hybridMultilevel"/>
    <w:tmpl w:val="59BA9C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5056736">
    <w:abstractNumId w:val="45"/>
  </w:num>
  <w:num w:numId="2" w16cid:durableId="226115233">
    <w:abstractNumId w:val="47"/>
  </w:num>
  <w:num w:numId="3" w16cid:durableId="1373925068">
    <w:abstractNumId w:val="51"/>
  </w:num>
  <w:num w:numId="4" w16cid:durableId="892543454">
    <w:abstractNumId w:val="6"/>
  </w:num>
  <w:num w:numId="5" w16cid:durableId="534732998">
    <w:abstractNumId w:val="54"/>
  </w:num>
  <w:num w:numId="6" w16cid:durableId="445121902">
    <w:abstractNumId w:val="33"/>
  </w:num>
  <w:num w:numId="7" w16cid:durableId="1107963770">
    <w:abstractNumId w:val="15"/>
  </w:num>
  <w:num w:numId="8" w16cid:durableId="431246079">
    <w:abstractNumId w:val="30"/>
  </w:num>
  <w:num w:numId="9" w16cid:durableId="1880360420">
    <w:abstractNumId w:val="44"/>
  </w:num>
  <w:num w:numId="10" w16cid:durableId="162623755">
    <w:abstractNumId w:val="20"/>
  </w:num>
  <w:num w:numId="11" w16cid:durableId="1382023937">
    <w:abstractNumId w:val="29"/>
  </w:num>
  <w:num w:numId="12" w16cid:durableId="1938444637">
    <w:abstractNumId w:val="53"/>
  </w:num>
  <w:num w:numId="13" w16cid:durableId="255022521">
    <w:abstractNumId w:val="0"/>
    <w:lvlOverride w:ilvl="0">
      <w:lvl w:ilvl="0">
        <w:numFmt w:val="bullet"/>
        <w:lvlText w:val="•"/>
        <w:legacy w:legacy="1" w:legacySpace="0" w:legacyIndent="0"/>
        <w:lvlJc w:val="left"/>
        <w:rPr>
          <w:rFonts w:ascii="Arial" w:hAnsi="Arial" w:cs="Arial" w:hint="default"/>
          <w:sz w:val="14"/>
        </w:rPr>
      </w:lvl>
    </w:lvlOverride>
  </w:num>
  <w:num w:numId="14" w16cid:durableId="642735491">
    <w:abstractNumId w:val="0"/>
    <w:lvlOverride w:ilvl="0">
      <w:lvl w:ilvl="0">
        <w:numFmt w:val="bullet"/>
        <w:lvlText w:val="•"/>
        <w:legacy w:legacy="1" w:legacySpace="0" w:legacyIndent="0"/>
        <w:lvlJc w:val="left"/>
        <w:rPr>
          <w:rFonts w:ascii="Arial" w:hAnsi="Arial" w:cs="Arial" w:hint="default"/>
          <w:sz w:val="16"/>
        </w:rPr>
      </w:lvl>
    </w:lvlOverride>
  </w:num>
  <w:num w:numId="15" w16cid:durableId="174422334">
    <w:abstractNumId w:val="16"/>
  </w:num>
  <w:num w:numId="16" w16cid:durableId="857622924">
    <w:abstractNumId w:val="43"/>
  </w:num>
  <w:num w:numId="17" w16cid:durableId="1488327286">
    <w:abstractNumId w:val="9"/>
  </w:num>
  <w:num w:numId="18" w16cid:durableId="736392386">
    <w:abstractNumId w:val="4"/>
  </w:num>
  <w:num w:numId="19" w16cid:durableId="1234583651">
    <w:abstractNumId w:val="7"/>
  </w:num>
  <w:num w:numId="20" w16cid:durableId="167209719">
    <w:abstractNumId w:val="52"/>
  </w:num>
  <w:num w:numId="21" w16cid:durableId="1704481528">
    <w:abstractNumId w:val="48"/>
  </w:num>
  <w:num w:numId="22" w16cid:durableId="184908939">
    <w:abstractNumId w:val="55"/>
  </w:num>
  <w:num w:numId="23" w16cid:durableId="1661276913">
    <w:abstractNumId w:val="19"/>
  </w:num>
  <w:num w:numId="24" w16cid:durableId="699087251">
    <w:abstractNumId w:val="41"/>
  </w:num>
  <w:num w:numId="25" w16cid:durableId="1806852901">
    <w:abstractNumId w:val="8"/>
  </w:num>
  <w:num w:numId="26" w16cid:durableId="2112235887">
    <w:abstractNumId w:val="26"/>
  </w:num>
  <w:num w:numId="27" w16cid:durableId="1478494588">
    <w:abstractNumId w:val="2"/>
  </w:num>
  <w:num w:numId="28" w16cid:durableId="231163823">
    <w:abstractNumId w:val="38"/>
  </w:num>
  <w:num w:numId="29" w16cid:durableId="604963911">
    <w:abstractNumId w:val="24"/>
  </w:num>
  <w:num w:numId="30" w16cid:durableId="1584071091">
    <w:abstractNumId w:val="46"/>
  </w:num>
  <w:num w:numId="31" w16cid:durableId="1409377099">
    <w:abstractNumId w:val="40"/>
  </w:num>
  <w:num w:numId="32" w16cid:durableId="893152926">
    <w:abstractNumId w:val="56"/>
  </w:num>
  <w:num w:numId="33" w16cid:durableId="2056271097">
    <w:abstractNumId w:val="25"/>
  </w:num>
  <w:num w:numId="34" w16cid:durableId="1390307284">
    <w:abstractNumId w:val="31"/>
  </w:num>
  <w:num w:numId="35" w16cid:durableId="1848475564">
    <w:abstractNumId w:val="32"/>
  </w:num>
  <w:num w:numId="36" w16cid:durableId="1594362938">
    <w:abstractNumId w:val="34"/>
  </w:num>
  <w:num w:numId="37" w16cid:durableId="1321688659">
    <w:abstractNumId w:val="10"/>
  </w:num>
  <w:num w:numId="38" w16cid:durableId="1027099292">
    <w:abstractNumId w:val="5"/>
  </w:num>
  <w:num w:numId="39" w16cid:durableId="458574306">
    <w:abstractNumId w:val="28"/>
  </w:num>
  <w:num w:numId="40" w16cid:durableId="42293709">
    <w:abstractNumId w:val="27"/>
  </w:num>
  <w:num w:numId="41" w16cid:durableId="175730204">
    <w:abstractNumId w:val="14"/>
  </w:num>
  <w:num w:numId="42" w16cid:durableId="628242953">
    <w:abstractNumId w:val="12"/>
  </w:num>
  <w:num w:numId="43" w16cid:durableId="1831209348">
    <w:abstractNumId w:val="49"/>
  </w:num>
  <w:num w:numId="44" w16cid:durableId="1454443462">
    <w:abstractNumId w:val="36"/>
  </w:num>
  <w:num w:numId="45" w16cid:durableId="147668938">
    <w:abstractNumId w:val="22"/>
  </w:num>
  <w:num w:numId="46" w16cid:durableId="52046618">
    <w:abstractNumId w:val="18"/>
  </w:num>
  <w:num w:numId="47" w16cid:durableId="52126232">
    <w:abstractNumId w:val="13"/>
  </w:num>
  <w:num w:numId="48" w16cid:durableId="2083796402">
    <w:abstractNumId w:val="11"/>
  </w:num>
  <w:num w:numId="49" w16cid:durableId="486358460">
    <w:abstractNumId w:val="39"/>
  </w:num>
  <w:num w:numId="50" w16cid:durableId="130683883">
    <w:abstractNumId w:val="3"/>
  </w:num>
  <w:num w:numId="51" w16cid:durableId="1536691531">
    <w:abstractNumId w:val="1"/>
  </w:num>
  <w:num w:numId="52" w16cid:durableId="2098282446">
    <w:abstractNumId w:val="23"/>
  </w:num>
  <w:num w:numId="53" w16cid:durableId="437680523">
    <w:abstractNumId w:val="37"/>
  </w:num>
  <w:num w:numId="54" w16cid:durableId="1251503277">
    <w:abstractNumId w:val="50"/>
  </w:num>
  <w:num w:numId="55" w16cid:durableId="1736272953">
    <w:abstractNumId w:val="42"/>
  </w:num>
  <w:num w:numId="56" w16cid:durableId="153911057">
    <w:abstractNumId w:val="21"/>
  </w:num>
  <w:num w:numId="57" w16cid:durableId="1718042343">
    <w:abstractNumId w:val="17"/>
  </w:num>
  <w:num w:numId="58" w16cid:durableId="62011447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D"/>
    <w:rsid w:val="0000145D"/>
    <w:rsid w:val="00002DF0"/>
    <w:rsid w:val="00004608"/>
    <w:rsid w:val="000057D4"/>
    <w:rsid w:val="00006356"/>
    <w:rsid w:val="0000684A"/>
    <w:rsid w:val="00006F35"/>
    <w:rsid w:val="000123D1"/>
    <w:rsid w:val="0001375D"/>
    <w:rsid w:val="00016ED2"/>
    <w:rsid w:val="000216A6"/>
    <w:rsid w:val="00021CDE"/>
    <w:rsid w:val="00025913"/>
    <w:rsid w:val="0002646B"/>
    <w:rsid w:val="00031703"/>
    <w:rsid w:val="0003179D"/>
    <w:rsid w:val="00031BE6"/>
    <w:rsid w:val="000333C4"/>
    <w:rsid w:val="000375AC"/>
    <w:rsid w:val="00037DFD"/>
    <w:rsid w:val="00043B85"/>
    <w:rsid w:val="00045B95"/>
    <w:rsid w:val="00046EA7"/>
    <w:rsid w:val="000475B3"/>
    <w:rsid w:val="00047BDA"/>
    <w:rsid w:val="000519F8"/>
    <w:rsid w:val="00051B1E"/>
    <w:rsid w:val="00051D73"/>
    <w:rsid w:val="0005290B"/>
    <w:rsid w:val="00052D6A"/>
    <w:rsid w:val="00053B8E"/>
    <w:rsid w:val="000549A3"/>
    <w:rsid w:val="00060C6C"/>
    <w:rsid w:val="000624D9"/>
    <w:rsid w:val="00063E65"/>
    <w:rsid w:val="000652C1"/>
    <w:rsid w:val="00065A7D"/>
    <w:rsid w:val="00065D5E"/>
    <w:rsid w:val="00072433"/>
    <w:rsid w:val="00073F53"/>
    <w:rsid w:val="00081A13"/>
    <w:rsid w:val="0008413C"/>
    <w:rsid w:val="0008445E"/>
    <w:rsid w:val="000900D3"/>
    <w:rsid w:val="000908C4"/>
    <w:rsid w:val="00090DF2"/>
    <w:rsid w:val="000913ED"/>
    <w:rsid w:val="00097403"/>
    <w:rsid w:val="000A1CDB"/>
    <w:rsid w:val="000A261A"/>
    <w:rsid w:val="000A3F5F"/>
    <w:rsid w:val="000A4249"/>
    <w:rsid w:val="000A74B3"/>
    <w:rsid w:val="000B0280"/>
    <w:rsid w:val="000C5330"/>
    <w:rsid w:val="000C7D4D"/>
    <w:rsid w:val="000D2093"/>
    <w:rsid w:val="000D2FF2"/>
    <w:rsid w:val="000D4C29"/>
    <w:rsid w:val="000D51E9"/>
    <w:rsid w:val="000D5258"/>
    <w:rsid w:val="000D6E15"/>
    <w:rsid w:val="000E07C7"/>
    <w:rsid w:val="000E2060"/>
    <w:rsid w:val="000E53F2"/>
    <w:rsid w:val="000E6DC9"/>
    <w:rsid w:val="000E7C54"/>
    <w:rsid w:val="000F0C97"/>
    <w:rsid w:val="000F2DE6"/>
    <w:rsid w:val="000F4692"/>
    <w:rsid w:val="000F56D1"/>
    <w:rsid w:val="000F5EB4"/>
    <w:rsid w:val="000F6214"/>
    <w:rsid w:val="000F67A1"/>
    <w:rsid w:val="000F7B0F"/>
    <w:rsid w:val="000F7F5B"/>
    <w:rsid w:val="00100B8F"/>
    <w:rsid w:val="00101191"/>
    <w:rsid w:val="001011A7"/>
    <w:rsid w:val="001015DA"/>
    <w:rsid w:val="0010228E"/>
    <w:rsid w:val="00103878"/>
    <w:rsid w:val="00106A6A"/>
    <w:rsid w:val="001070BA"/>
    <w:rsid w:val="00113372"/>
    <w:rsid w:val="00113D99"/>
    <w:rsid w:val="001169FA"/>
    <w:rsid w:val="001225E4"/>
    <w:rsid w:val="001242EA"/>
    <w:rsid w:val="00127025"/>
    <w:rsid w:val="00130055"/>
    <w:rsid w:val="00131662"/>
    <w:rsid w:val="0013756F"/>
    <w:rsid w:val="00137E5C"/>
    <w:rsid w:val="001463AF"/>
    <w:rsid w:val="00151828"/>
    <w:rsid w:val="00153839"/>
    <w:rsid w:val="0015459C"/>
    <w:rsid w:val="00154CB1"/>
    <w:rsid w:val="00155B0B"/>
    <w:rsid w:val="00155D14"/>
    <w:rsid w:val="00157B23"/>
    <w:rsid w:val="00160F98"/>
    <w:rsid w:val="00162144"/>
    <w:rsid w:val="001643EC"/>
    <w:rsid w:val="001643F8"/>
    <w:rsid w:val="0016658F"/>
    <w:rsid w:val="0016769D"/>
    <w:rsid w:val="00173DEC"/>
    <w:rsid w:val="00175F2F"/>
    <w:rsid w:val="00176D34"/>
    <w:rsid w:val="00177F89"/>
    <w:rsid w:val="0018175C"/>
    <w:rsid w:val="001818AB"/>
    <w:rsid w:val="00181B44"/>
    <w:rsid w:val="00182041"/>
    <w:rsid w:val="001828F6"/>
    <w:rsid w:val="00183FD7"/>
    <w:rsid w:val="0018559F"/>
    <w:rsid w:val="001859A0"/>
    <w:rsid w:val="00187BFB"/>
    <w:rsid w:val="00191E49"/>
    <w:rsid w:val="00192319"/>
    <w:rsid w:val="00193064"/>
    <w:rsid w:val="001931CC"/>
    <w:rsid w:val="00194DE0"/>
    <w:rsid w:val="00196AF4"/>
    <w:rsid w:val="001A1253"/>
    <w:rsid w:val="001A3895"/>
    <w:rsid w:val="001A3A41"/>
    <w:rsid w:val="001A41DA"/>
    <w:rsid w:val="001A4823"/>
    <w:rsid w:val="001A4CA5"/>
    <w:rsid w:val="001A6E61"/>
    <w:rsid w:val="001A75BF"/>
    <w:rsid w:val="001B181C"/>
    <w:rsid w:val="001B3016"/>
    <w:rsid w:val="001B3474"/>
    <w:rsid w:val="001B352E"/>
    <w:rsid w:val="001B5868"/>
    <w:rsid w:val="001C122E"/>
    <w:rsid w:val="001C230A"/>
    <w:rsid w:val="001C69B4"/>
    <w:rsid w:val="001C7EA9"/>
    <w:rsid w:val="001D0A2F"/>
    <w:rsid w:val="001D25DA"/>
    <w:rsid w:val="001D3F7F"/>
    <w:rsid w:val="001D4F26"/>
    <w:rsid w:val="001D539D"/>
    <w:rsid w:val="001D646E"/>
    <w:rsid w:val="001E5E7E"/>
    <w:rsid w:val="001E629F"/>
    <w:rsid w:val="001E761F"/>
    <w:rsid w:val="001F277D"/>
    <w:rsid w:val="001F4D1E"/>
    <w:rsid w:val="001F6AD4"/>
    <w:rsid w:val="001F7B13"/>
    <w:rsid w:val="00200278"/>
    <w:rsid w:val="00200F98"/>
    <w:rsid w:val="00201241"/>
    <w:rsid w:val="00202355"/>
    <w:rsid w:val="002061FB"/>
    <w:rsid w:val="00206349"/>
    <w:rsid w:val="002071AB"/>
    <w:rsid w:val="00207860"/>
    <w:rsid w:val="002130D3"/>
    <w:rsid w:val="002131F2"/>
    <w:rsid w:val="002201C1"/>
    <w:rsid w:val="00221B7D"/>
    <w:rsid w:val="00223428"/>
    <w:rsid w:val="00224A2B"/>
    <w:rsid w:val="00232886"/>
    <w:rsid w:val="002346B9"/>
    <w:rsid w:val="00234A11"/>
    <w:rsid w:val="00240CD8"/>
    <w:rsid w:val="00240FC0"/>
    <w:rsid w:val="00241FB8"/>
    <w:rsid w:val="0024284D"/>
    <w:rsid w:val="0024432F"/>
    <w:rsid w:val="00244D67"/>
    <w:rsid w:val="00245679"/>
    <w:rsid w:val="00246669"/>
    <w:rsid w:val="00255028"/>
    <w:rsid w:val="0025528F"/>
    <w:rsid w:val="00255553"/>
    <w:rsid w:val="00256A34"/>
    <w:rsid w:val="00256D5E"/>
    <w:rsid w:val="002575F4"/>
    <w:rsid w:val="00260D4D"/>
    <w:rsid w:val="00263E30"/>
    <w:rsid w:val="0026529D"/>
    <w:rsid w:val="00265D1E"/>
    <w:rsid w:val="00265DC3"/>
    <w:rsid w:val="0026691C"/>
    <w:rsid w:val="00266D7B"/>
    <w:rsid w:val="00267D38"/>
    <w:rsid w:val="00267E3F"/>
    <w:rsid w:val="00270559"/>
    <w:rsid w:val="00276A28"/>
    <w:rsid w:val="002824F8"/>
    <w:rsid w:val="002825F5"/>
    <w:rsid w:val="00282E89"/>
    <w:rsid w:val="0028402E"/>
    <w:rsid w:val="00284AF9"/>
    <w:rsid w:val="00285203"/>
    <w:rsid w:val="00285CDD"/>
    <w:rsid w:val="00285F99"/>
    <w:rsid w:val="00290927"/>
    <w:rsid w:val="00291D5C"/>
    <w:rsid w:val="00293E96"/>
    <w:rsid w:val="00296C39"/>
    <w:rsid w:val="00297511"/>
    <w:rsid w:val="002A5369"/>
    <w:rsid w:val="002A6D47"/>
    <w:rsid w:val="002A73AA"/>
    <w:rsid w:val="002A7774"/>
    <w:rsid w:val="002B014C"/>
    <w:rsid w:val="002B150D"/>
    <w:rsid w:val="002B1A13"/>
    <w:rsid w:val="002B2043"/>
    <w:rsid w:val="002B5E6D"/>
    <w:rsid w:val="002B61DD"/>
    <w:rsid w:val="002B6662"/>
    <w:rsid w:val="002B75C1"/>
    <w:rsid w:val="002C0DD0"/>
    <w:rsid w:val="002C1820"/>
    <w:rsid w:val="002C1F5E"/>
    <w:rsid w:val="002C5516"/>
    <w:rsid w:val="002C6FE6"/>
    <w:rsid w:val="002C7048"/>
    <w:rsid w:val="002D00F0"/>
    <w:rsid w:val="002D294D"/>
    <w:rsid w:val="002D4CBB"/>
    <w:rsid w:val="002D7936"/>
    <w:rsid w:val="002F12CD"/>
    <w:rsid w:val="002F1607"/>
    <w:rsid w:val="002F1F41"/>
    <w:rsid w:val="002F360D"/>
    <w:rsid w:val="002F37E8"/>
    <w:rsid w:val="00310798"/>
    <w:rsid w:val="003134A3"/>
    <w:rsid w:val="0031619D"/>
    <w:rsid w:val="0032668B"/>
    <w:rsid w:val="00327D34"/>
    <w:rsid w:val="00332041"/>
    <w:rsid w:val="003331CA"/>
    <w:rsid w:val="00333745"/>
    <w:rsid w:val="003370D8"/>
    <w:rsid w:val="00341AEB"/>
    <w:rsid w:val="00345A15"/>
    <w:rsid w:val="00346118"/>
    <w:rsid w:val="00346BD3"/>
    <w:rsid w:val="00350EC3"/>
    <w:rsid w:val="0036117D"/>
    <w:rsid w:val="003615DD"/>
    <w:rsid w:val="0036170B"/>
    <w:rsid w:val="00361F50"/>
    <w:rsid w:val="00363228"/>
    <w:rsid w:val="00363F2B"/>
    <w:rsid w:val="00364270"/>
    <w:rsid w:val="003644A3"/>
    <w:rsid w:val="00365B17"/>
    <w:rsid w:val="003667C7"/>
    <w:rsid w:val="0036794A"/>
    <w:rsid w:val="00370725"/>
    <w:rsid w:val="00370FC4"/>
    <w:rsid w:val="00371A01"/>
    <w:rsid w:val="0037629A"/>
    <w:rsid w:val="00380F6A"/>
    <w:rsid w:val="003834D5"/>
    <w:rsid w:val="00384DA6"/>
    <w:rsid w:val="00384F44"/>
    <w:rsid w:val="00385DCE"/>
    <w:rsid w:val="00387285"/>
    <w:rsid w:val="0038743A"/>
    <w:rsid w:val="003936E4"/>
    <w:rsid w:val="003938A3"/>
    <w:rsid w:val="0039430A"/>
    <w:rsid w:val="00395FBD"/>
    <w:rsid w:val="003A1283"/>
    <w:rsid w:val="003A1559"/>
    <w:rsid w:val="003A22C7"/>
    <w:rsid w:val="003A56F5"/>
    <w:rsid w:val="003A6F4D"/>
    <w:rsid w:val="003B1A4B"/>
    <w:rsid w:val="003B369F"/>
    <w:rsid w:val="003B4562"/>
    <w:rsid w:val="003B67ED"/>
    <w:rsid w:val="003B6ABA"/>
    <w:rsid w:val="003C141B"/>
    <w:rsid w:val="003C25D7"/>
    <w:rsid w:val="003C4795"/>
    <w:rsid w:val="003C6EAC"/>
    <w:rsid w:val="003D2032"/>
    <w:rsid w:val="003D4792"/>
    <w:rsid w:val="003D4F14"/>
    <w:rsid w:val="003D4FC2"/>
    <w:rsid w:val="003D73CC"/>
    <w:rsid w:val="003D77F8"/>
    <w:rsid w:val="003E0CB3"/>
    <w:rsid w:val="003E4E2D"/>
    <w:rsid w:val="003E591A"/>
    <w:rsid w:val="003E6A7D"/>
    <w:rsid w:val="003F0D1F"/>
    <w:rsid w:val="003F25A0"/>
    <w:rsid w:val="003F428C"/>
    <w:rsid w:val="003F6F99"/>
    <w:rsid w:val="00401B8B"/>
    <w:rsid w:val="00401F46"/>
    <w:rsid w:val="0040234D"/>
    <w:rsid w:val="004033F8"/>
    <w:rsid w:val="00410E5D"/>
    <w:rsid w:val="00412391"/>
    <w:rsid w:val="00412414"/>
    <w:rsid w:val="00413B84"/>
    <w:rsid w:val="00414B86"/>
    <w:rsid w:val="00415919"/>
    <w:rsid w:val="00416EB4"/>
    <w:rsid w:val="00417EEB"/>
    <w:rsid w:val="00421AE9"/>
    <w:rsid w:val="00423963"/>
    <w:rsid w:val="00424E67"/>
    <w:rsid w:val="00426221"/>
    <w:rsid w:val="004309F2"/>
    <w:rsid w:val="004342EF"/>
    <w:rsid w:val="00434D96"/>
    <w:rsid w:val="00434DFE"/>
    <w:rsid w:val="00435AFF"/>
    <w:rsid w:val="0043615B"/>
    <w:rsid w:val="0044365E"/>
    <w:rsid w:val="00443961"/>
    <w:rsid w:val="00444277"/>
    <w:rsid w:val="0044621B"/>
    <w:rsid w:val="004472B8"/>
    <w:rsid w:val="00447985"/>
    <w:rsid w:val="00447AA4"/>
    <w:rsid w:val="004530D9"/>
    <w:rsid w:val="0045377C"/>
    <w:rsid w:val="00454C83"/>
    <w:rsid w:val="00457A42"/>
    <w:rsid w:val="00462735"/>
    <w:rsid w:val="00464480"/>
    <w:rsid w:val="00465E4C"/>
    <w:rsid w:val="004701A3"/>
    <w:rsid w:val="00470ABC"/>
    <w:rsid w:val="00470C84"/>
    <w:rsid w:val="00471B69"/>
    <w:rsid w:val="00476668"/>
    <w:rsid w:val="00477EF0"/>
    <w:rsid w:val="00480C0F"/>
    <w:rsid w:val="0048110F"/>
    <w:rsid w:val="00481304"/>
    <w:rsid w:val="00481720"/>
    <w:rsid w:val="00482ED7"/>
    <w:rsid w:val="00485359"/>
    <w:rsid w:val="00485AF2"/>
    <w:rsid w:val="00492154"/>
    <w:rsid w:val="00493E42"/>
    <w:rsid w:val="0049619F"/>
    <w:rsid w:val="0049648E"/>
    <w:rsid w:val="004972ED"/>
    <w:rsid w:val="004A2027"/>
    <w:rsid w:val="004A460B"/>
    <w:rsid w:val="004A56ED"/>
    <w:rsid w:val="004B1592"/>
    <w:rsid w:val="004C1D44"/>
    <w:rsid w:val="004C2329"/>
    <w:rsid w:val="004C56DF"/>
    <w:rsid w:val="004C5D31"/>
    <w:rsid w:val="004C6AB9"/>
    <w:rsid w:val="004D0DD3"/>
    <w:rsid w:val="004D29A8"/>
    <w:rsid w:val="004D2B05"/>
    <w:rsid w:val="004D532F"/>
    <w:rsid w:val="004D709F"/>
    <w:rsid w:val="004D7E9A"/>
    <w:rsid w:val="004E3C4D"/>
    <w:rsid w:val="004E43A0"/>
    <w:rsid w:val="004E501D"/>
    <w:rsid w:val="004F01F9"/>
    <w:rsid w:val="00501349"/>
    <w:rsid w:val="0050369D"/>
    <w:rsid w:val="0050386E"/>
    <w:rsid w:val="005041B4"/>
    <w:rsid w:val="00505452"/>
    <w:rsid w:val="0050557F"/>
    <w:rsid w:val="00507EFB"/>
    <w:rsid w:val="00511C89"/>
    <w:rsid w:val="00513A23"/>
    <w:rsid w:val="00514058"/>
    <w:rsid w:val="005141F2"/>
    <w:rsid w:val="005153BF"/>
    <w:rsid w:val="00516290"/>
    <w:rsid w:val="00517065"/>
    <w:rsid w:val="005173E5"/>
    <w:rsid w:val="00517C22"/>
    <w:rsid w:val="00523579"/>
    <w:rsid w:val="00523F1B"/>
    <w:rsid w:val="0052611C"/>
    <w:rsid w:val="00527B84"/>
    <w:rsid w:val="00532926"/>
    <w:rsid w:val="005340CF"/>
    <w:rsid w:val="00536551"/>
    <w:rsid w:val="00537812"/>
    <w:rsid w:val="00537A97"/>
    <w:rsid w:val="00542A5C"/>
    <w:rsid w:val="00544777"/>
    <w:rsid w:val="00544ED6"/>
    <w:rsid w:val="00545418"/>
    <w:rsid w:val="00547B3E"/>
    <w:rsid w:val="00552F61"/>
    <w:rsid w:val="00553468"/>
    <w:rsid w:val="005554EE"/>
    <w:rsid w:val="005601C1"/>
    <w:rsid w:val="00560295"/>
    <w:rsid w:val="0056085E"/>
    <w:rsid w:val="005657FF"/>
    <w:rsid w:val="00565AEA"/>
    <w:rsid w:val="00567A7C"/>
    <w:rsid w:val="00567BB1"/>
    <w:rsid w:val="00572BF9"/>
    <w:rsid w:val="00572DD2"/>
    <w:rsid w:val="005730C3"/>
    <w:rsid w:val="0057405D"/>
    <w:rsid w:val="00574A55"/>
    <w:rsid w:val="00575229"/>
    <w:rsid w:val="005812C4"/>
    <w:rsid w:val="0058184C"/>
    <w:rsid w:val="0058387E"/>
    <w:rsid w:val="00590A5C"/>
    <w:rsid w:val="0059209E"/>
    <w:rsid w:val="0059215A"/>
    <w:rsid w:val="00595476"/>
    <w:rsid w:val="0059594E"/>
    <w:rsid w:val="00596C35"/>
    <w:rsid w:val="005A31E2"/>
    <w:rsid w:val="005A59C0"/>
    <w:rsid w:val="005A63FB"/>
    <w:rsid w:val="005B2391"/>
    <w:rsid w:val="005B2A97"/>
    <w:rsid w:val="005B2D41"/>
    <w:rsid w:val="005B37EA"/>
    <w:rsid w:val="005B537B"/>
    <w:rsid w:val="005B5FB4"/>
    <w:rsid w:val="005B6B40"/>
    <w:rsid w:val="005D0479"/>
    <w:rsid w:val="005D0536"/>
    <w:rsid w:val="005D342C"/>
    <w:rsid w:val="005D373F"/>
    <w:rsid w:val="005D37CB"/>
    <w:rsid w:val="005D517C"/>
    <w:rsid w:val="005E19D9"/>
    <w:rsid w:val="005E1EC1"/>
    <w:rsid w:val="005E26B9"/>
    <w:rsid w:val="005E308A"/>
    <w:rsid w:val="005E3E34"/>
    <w:rsid w:val="005F03AB"/>
    <w:rsid w:val="005F4930"/>
    <w:rsid w:val="0060028B"/>
    <w:rsid w:val="006006DB"/>
    <w:rsid w:val="0060245A"/>
    <w:rsid w:val="0060494B"/>
    <w:rsid w:val="006052B8"/>
    <w:rsid w:val="00605574"/>
    <w:rsid w:val="00606DE7"/>
    <w:rsid w:val="006120D7"/>
    <w:rsid w:val="00612D9B"/>
    <w:rsid w:val="00616BD7"/>
    <w:rsid w:val="00616FB7"/>
    <w:rsid w:val="00617843"/>
    <w:rsid w:val="006202D1"/>
    <w:rsid w:val="00620C5F"/>
    <w:rsid w:val="0062272F"/>
    <w:rsid w:val="00623ECE"/>
    <w:rsid w:val="00627078"/>
    <w:rsid w:val="00630BCC"/>
    <w:rsid w:val="00632F9A"/>
    <w:rsid w:val="00632FF1"/>
    <w:rsid w:val="00633B07"/>
    <w:rsid w:val="00633C86"/>
    <w:rsid w:val="00634291"/>
    <w:rsid w:val="00635063"/>
    <w:rsid w:val="00635700"/>
    <w:rsid w:val="00640EE4"/>
    <w:rsid w:val="00641706"/>
    <w:rsid w:val="00641ED7"/>
    <w:rsid w:val="00643344"/>
    <w:rsid w:val="00643563"/>
    <w:rsid w:val="006455CA"/>
    <w:rsid w:val="00645AA2"/>
    <w:rsid w:val="006500A5"/>
    <w:rsid w:val="00652266"/>
    <w:rsid w:val="0065330C"/>
    <w:rsid w:val="00656780"/>
    <w:rsid w:val="006575D6"/>
    <w:rsid w:val="00657787"/>
    <w:rsid w:val="00660A86"/>
    <w:rsid w:val="006620BE"/>
    <w:rsid w:val="006674EB"/>
    <w:rsid w:val="00667677"/>
    <w:rsid w:val="00676118"/>
    <w:rsid w:val="00676ABE"/>
    <w:rsid w:val="0067789B"/>
    <w:rsid w:val="006802E5"/>
    <w:rsid w:val="006816A0"/>
    <w:rsid w:val="0068390A"/>
    <w:rsid w:val="00684A82"/>
    <w:rsid w:val="006860BA"/>
    <w:rsid w:val="0068784C"/>
    <w:rsid w:val="00690E7E"/>
    <w:rsid w:val="00692473"/>
    <w:rsid w:val="00697CEC"/>
    <w:rsid w:val="006A004E"/>
    <w:rsid w:val="006A1B09"/>
    <w:rsid w:val="006A3158"/>
    <w:rsid w:val="006A5BE9"/>
    <w:rsid w:val="006A6594"/>
    <w:rsid w:val="006B1507"/>
    <w:rsid w:val="006B16A5"/>
    <w:rsid w:val="006B23DF"/>
    <w:rsid w:val="006B4A63"/>
    <w:rsid w:val="006B50E3"/>
    <w:rsid w:val="006B7196"/>
    <w:rsid w:val="006C072A"/>
    <w:rsid w:val="006C077A"/>
    <w:rsid w:val="006C10CC"/>
    <w:rsid w:val="006C274F"/>
    <w:rsid w:val="006C4D6F"/>
    <w:rsid w:val="006C5DE5"/>
    <w:rsid w:val="006D1A62"/>
    <w:rsid w:val="006D1D64"/>
    <w:rsid w:val="006D67F5"/>
    <w:rsid w:val="006D6BC6"/>
    <w:rsid w:val="006D7FD0"/>
    <w:rsid w:val="006E0B8F"/>
    <w:rsid w:val="006E2DEB"/>
    <w:rsid w:val="006E310A"/>
    <w:rsid w:val="006E34A2"/>
    <w:rsid w:val="006E3B35"/>
    <w:rsid w:val="006F3D8F"/>
    <w:rsid w:val="006F608D"/>
    <w:rsid w:val="006F6265"/>
    <w:rsid w:val="006F7EBB"/>
    <w:rsid w:val="0070058F"/>
    <w:rsid w:val="00703181"/>
    <w:rsid w:val="00703DBD"/>
    <w:rsid w:val="00705689"/>
    <w:rsid w:val="007109D2"/>
    <w:rsid w:val="00712780"/>
    <w:rsid w:val="00713A89"/>
    <w:rsid w:val="007156E2"/>
    <w:rsid w:val="00716E89"/>
    <w:rsid w:val="00721765"/>
    <w:rsid w:val="00721F0B"/>
    <w:rsid w:val="00721F68"/>
    <w:rsid w:val="007221D1"/>
    <w:rsid w:val="00725060"/>
    <w:rsid w:val="007266AD"/>
    <w:rsid w:val="00730F62"/>
    <w:rsid w:val="00735D09"/>
    <w:rsid w:val="00736026"/>
    <w:rsid w:val="0074117F"/>
    <w:rsid w:val="00743106"/>
    <w:rsid w:val="00743218"/>
    <w:rsid w:val="00744268"/>
    <w:rsid w:val="0075197B"/>
    <w:rsid w:val="00753FD4"/>
    <w:rsid w:val="00754C61"/>
    <w:rsid w:val="00754E88"/>
    <w:rsid w:val="0075552C"/>
    <w:rsid w:val="00756528"/>
    <w:rsid w:val="00762881"/>
    <w:rsid w:val="0076575B"/>
    <w:rsid w:val="0076760D"/>
    <w:rsid w:val="00771360"/>
    <w:rsid w:val="00771584"/>
    <w:rsid w:val="00771FC1"/>
    <w:rsid w:val="00774E50"/>
    <w:rsid w:val="00775C2B"/>
    <w:rsid w:val="00776729"/>
    <w:rsid w:val="0078046F"/>
    <w:rsid w:val="00780BD7"/>
    <w:rsid w:val="00781E27"/>
    <w:rsid w:val="00784E27"/>
    <w:rsid w:val="00787667"/>
    <w:rsid w:val="0078794D"/>
    <w:rsid w:val="00793BEA"/>
    <w:rsid w:val="007953A0"/>
    <w:rsid w:val="0079712A"/>
    <w:rsid w:val="00797884"/>
    <w:rsid w:val="00797E66"/>
    <w:rsid w:val="00797F92"/>
    <w:rsid w:val="007A140D"/>
    <w:rsid w:val="007A14D2"/>
    <w:rsid w:val="007A17E7"/>
    <w:rsid w:val="007A79DA"/>
    <w:rsid w:val="007A7EEE"/>
    <w:rsid w:val="007B17B6"/>
    <w:rsid w:val="007B1921"/>
    <w:rsid w:val="007B22B0"/>
    <w:rsid w:val="007B239C"/>
    <w:rsid w:val="007B3907"/>
    <w:rsid w:val="007B46C2"/>
    <w:rsid w:val="007B484C"/>
    <w:rsid w:val="007B52C9"/>
    <w:rsid w:val="007B79EB"/>
    <w:rsid w:val="007C0EF8"/>
    <w:rsid w:val="007C6108"/>
    <w:rsid w:val="007C61C7"/>
    <w:rsid w:val="007C7E8B"/>
    <w:rsid w:val="007D64BA"/>
    <w:rsid w:val="007D7D61"/>
    <w:rsid w:val="007D7E6C"/>
    <w:rsid w:val="007E117A"/>
    <w:rsid w:val="007E1DF7"/>
    <w:rsid w:val="007E75F1"/>
    <w:rsid w:val="007F05C8"/>
    <w:rsid w:val="007F2A7C"/>
    <w:rsid w:val="007F2B57"/>
    <w:rsid w:val="007F3DE1"/>
    <w:rsid w:val="007F5558"/>
    <w:rsid w:val="007F6097"/>
    <w:rsid w:val="007F789A"/>
    <w:rsid w:val="008015A5"/>
    <w:rsid w:val="00804408"/>
    <w:rsid w:val="00804603"/>
    <w:rsid w:val="00805AB9"/>
    <w:rsid w:val="00805AE9"/>
    <w:rsid w:val="00807739"/>
    <w:rsid w:val="00811198"/>
    <w:rsid w:val="008113C0"/>
    <w:rsid w:val="008162C3"/>
    <w:rsid w:val="00816909"/>
    <w:rsid w:val="00817437"/>
    <w:rsid w:val="008178D6"/>
    <w:rsid w:val="008216B4"/>
    <w:rsid w:val="008219C5"/>
    <w:rsid w:val="00821E1D"/>
    <w:rsid w:val="00823E8B"/>
    <w:rsid w:val="0082403E"/>
    <w:rsid w:val="00825BC2"/>
    <w:rsid w:val="00826A2C"/>
    <w:rsid w:val="0082785E"/>
    <w:rsid w:val="00830675"/>
    <w:rsid w:val="00830769"/>
    <w:rsid w:val="00831983"/>
    <w:rsid w:val="008327CC"/>
    <w:rsid w:val="008341EA"/>
    <w:rsid w:val="00834575"/>
    <w:rsid w:val="00834A9B"/>
    <w:rsid w:val="0083571B"/>
    <w:rsid w:val="0084497D"/>
    <w:rsid w:val="00844CD7"/>
    <w:rsid w:val="00850EE8"/>
    <w:rsid w:val="008529BE"/>
    <w:rsid w:val="008540FF"/>
    <w:rsid w:val="00854157"/>
    <w:rsid w:val="008566D7"/>
    <w:rsid w:val="0086249B"/>
    <w:rsid w:val="00863274"/>
    <w:rsid w:val="00864D9D"/>
    <w:rsid w:val="008653AC"/>
    <w:rsid w:val="008661F2"/>
    <w:rsid w:val="00866BA7"/>
    <w:rsid w:val="00867916"/>
    <w:rsid w:val="00867BA2"/>
    <w:rsid w:val="00870BF5"/>
    <w:rsid w:val="00871FE1"/>
    <w:rsid w:val="00874488"/>
    <w:rsid w:val="00881AF4"/>
    <w:rsid w:val="00882D43"/>
    <w:rsid w:val="00886156"/>
    <w:rsid w:val="0089092F"/>
    <w:rsid w:val="00891757"/>
    <w:rsid w:val="00891827"/>
    <w:rsid w:val="0089228F"/>
    <w:rsid w:val="00894D8F"/>
    <w:rsid w:val="00895766"/>
    <w:rsid w:val="00896F71"/>
    <w:rsid w:val="00897BA7"/>
    <w:rsid w:val="008A3C9C"/>
    <w:rsid w:val="008A584C"/>
    <w:rsid w:val="008A6729"/>
    <w:rsid w:val="008B1A67"/>
    <w:rsid w:val="008B3929"/>
    <w:rsid w:val="008B5384"/>
    <w:rsid w:val="008B61C3"/>
    <w:rsid w:val="008B6201"/>
    <w:rsid w:val="008B7314"/>
    <w:rsid w:val="008B7F42"/>
    <w:rsid w:val="008C2557"/>
    <w:rsid w:val="008C2600"/>
    <w:rsid w:val="008C7E25"/>
    <w:rsid w:val="008D36D7"/>
    <w:rsid w:val="008D4A31"/>
    <w:rsid w:val="008D5CED"/>
    <w:rsid w:val="008D5EF2"/>
    <w:rsid w:val="008D6960"/>
    <w:rsid w:val="008D6FFA"/>
    <w:rsid w:val="008D7617"/>
    <w:rsid w:val="008E42DC"/>
    <w:rsid w:val="008E59D8"/>
    <w:rsid w:val="008E7096"/>
    <w:rsid w:val="008F1AB2"/>
    <w:rsid w:val="008F490E"/>
    <w:rsid w:val="008F6449"/>
    <w:rsid w:val="00903DBC"/>
    <w:rsid w:val="0091080C"/>
    <w:rsid w:val="00910C0E"/>
    <w:rsid w:val="009127D8"/>
    <w:rsid w:val="00912F51"/>
    <w:rsid w:val="009134CE"/>
    <w:rsid w:val="009155B4"/>
    <w:rsid w:val="009160D8"/>
    <w:rsid w:val="0091723B"/>
    <w:rsid w:val="009209DB"/>
    <w:rsid w:val="00920B14"/>
    <w:rsid w:val="0092314A"/>
    <w:rsid w:val="00925858"/>
    <w:rsid w:val="009323A8"/>
    <w:rsid w:val="00935734"/>
    <w:rsid w:val="00936D72"/>
    <w:rsid w:val="009429C5"/>
    <w:rsid w:val="00943288"/>
    <w:rsid w:val="00943F1E"/>
    <w:rsid w:val="009470B9"/>
    <w:rsid w:val="009478B1"/>
    <w:rsid w:val="00950EBF"/>
    <w:rsid w:val="00954F16"/>
    <w:rsid w:val="00955113"/>
    <w:rsid w:val="0095535F"/>
    <w:rsid w:val="00955A6F"/>
    <w:rsid w:val="00960F0B"/>
    <w:rsid w:val="0096186D"/>
    <w:rsid w:val="00962C25"/>
    <w:rsid w:val="00965D40"/>
    <w:rsid w:val="009675CB"/>
    <w:rsid w:val="009719BC"/>
    <w:rsid w:val="00976218"/>
    <w:rsid w:val="009779EE"/>
    <w:rsid w:val="0098427B"/>
    <w:rsid w:val="00986B35"/>
    <w:rsid w:val="009900A3"/>
    <w:rsid w:val="0099138C"/>
    <w:rsid w:val="00991BB9"/>
    <w:rsid w:val="00994981"/>
    <w:rsid w:val="009956D2"/>
    <w:rsid w:val="0099597F"/>
    <w:rsid w:val="00996578"/>
    <w:rsid w:val="00996748"/>
    <w:rsid w:val="00997B0E"/>
    <w:rsid w:val="009A057F"/>
    <w:rsid w:val="009A10A6"/>
    <w:rsid w:val="009A11C8"/>
    <w:rsid w:val="009A2331"/>
    <w:rsid w:val="009A4890"/>
    <w:rsid w:val="009A6D68"/>
    <w:rsid w:val="009A7F0D"/>
    <w:rsid w:val="009B170A"/>
    <w:rsid w:val="009B29E2"/>
    <w:rsid w:val="009B2FBD"/>
    <w:rsid w:val="009B3CCC"/>
    <w:rsid w:val="009B4099"/>
    <w:rsid w:val="009B4CB3"/>
    <w:rsid w:val="009B4E5E"/>
    <w:rsid w:val="009B5263"/>
    <w:rsid w:val="009C0C84"/>
    <w:rsid w:val="009C19F5"/>
    <w:rsid w:val="009C4313"/>
    <w:rsid w:val="009C591E"/>
    <w:rsid w:val="009C6CD9"/>
    <w:rsid w:val="009C7AC4"/>
    <w:rsid w:val="009D056D"/>
    <w:rsid w:val="009D4181"/>
    <w:rsid w:val="009D4679"/>
    <w:rsid w:val="009E0363"/>
    <w:rsid w:val="009E105D"/>
    <w:rsid w:val="009E2472"/>
    <w:rsid w:val="009E5B0C"/>
    <w:rsid w:val="009F0F56"/>
    <w:rsid w:val="009F1CB9"/>
    <w:rsid w:val="009F3D19"/>
    <w:rsid w:val="009F4AB8"/>
    <w:rsid w:val="009F66CE"/>
    <w:rsid w:val="009F6EEB"/>
    <w:rsid w:val="009F71D1"/>
    <w:rsid w:val="00A0040B"/>
    <w:rsid w:val="00A00BDA"/>
    <w:rsid w:val="00A010FE"/>
    <w:rsid w:val="00A10CEE"/>
    <w:rsid w:val="00A11073"/>
    <w:rsid w:val="00A11A88"/>
    <w:rsid w:val="00A23766"/>
    <w:rsid w:val="00A24655"/>
    <w:rsid w:val="00A25420"/>
    <w:rsid w:val="00A25519"/>
    <w:rsid w:val="00A258C9"/>
    <w:rsid w:val="00A27293"/>
    <w:rsid w:val="00A31DF5"/>
    <w:rsid w:val="00A32E3C"/>
    <w:rsid w:val="00A35586"/>
    <w:rsid w:val="00A375C1"/>
    <w:rsid w:val="00A43686"/>
    <w:rsid w:val="00A437C3"/>
    <w:rsid w:val="00A44935"/>
    <w:rsid w:val="00A468F7"/>
    <w:rsid w:val="00A47ADE"/>
    <w:rsid w:val="00A47BE9"/>
    <w:rsid w:val="00A50CDC"/>
    <w:rsid w:val="00A51051"/>
    <w:rsid w:val="00A51C6C"/>
    <w:rsid w:val="00A51D45"/>
    <w:rsid w:val="00A51E23"/>
    <w:rsid w:val="00A534CD"/>
    <w:rsid w:val="00A55251"/>
    <w:rsid w:val="00A62D93"/>
    <w:rsid w:val="00A630C9"/>
    <w:rsid w:val="00A63426"/>
    <w:rsid w:val="00A6478B"/>
    <w:rsid w:val="00A64E8C"/>
    <w:rsid w:val="00A658F6"/>
    <w:rsid w:val="00A66038"/>
    <w:rsid w:val="00A66555"/>
    <w:rsid w:val="00A67B82"/>
    <w:rsid w:val="00A67F22"/>
    <w:rsid w:val="00A704AE"/>
    <w:rsid w:val="00A713EF"/>
    <w:rsid w:val="00A72E31"/>
    <w:rsid w:val="00A76ECE"/>
    <w:rsid w:val="00A80FD7"/>
    <w:rsid w:val="00A8153E"/>
    <w:rsid w:val="00A8195B"/>
    <w:rsid w:val="00A82513"/>
    <w:rsid w:val="00A8317C"/>
    <w:rsid w:val="00A8444D"/>
    <w:rsid w:val="00A85300"/>
    <w:rsid w:val="00A85422"/>
    <w:rsid w:val="00A865B2"/>
    <w:rsid w:val="00A86C6E"/>
    <w:rsid w:val="00A8779E"/>
    <w:rsid w:val="00A93026"/>
    <w:rsid w:val="00A94D7A"/>
    <w:rsid w:val="00A974A7"/>
    <w:rsid w:val="00AA08BC"/>
    <w:rsid w:val="00AA1FBD"/>
    <w:rsid w:val="00AA24F6"/>
    <w:rsid w:val="00AA5C49"/>
    <w:rsid w:val="00AA70B5"/>
    <w:rsid w:val="00AB3992"/>
    <w:rsid w:val="00AB4299"/>
    <w:rsid w:val="00AB5AFD"/>
    <w:rsid w:val="00AB5CF8"/>
    <w:rsid w:val="00AB735B"/>
    <w:rsid w:val="00AB7941"/>
    <w:rsid w:val="00AC100D"/>
    <w:rsid w:val="00AC25EE"/>
    <w:rsid w:val="00AC4F9E"/>
    <w:rsid w:val="00AC5EFA"/>
    <w:rsid w:val="00AD108E"/>
    <w:rsid w:val="00AD123C"/>
    <w:rsid w:val="00AD2743"/>
    <w:rsid w:val="00AD3408"/>
    <w:rsid w:val="00AD45FD"/>
    <w:rsid w:val="00AD5578"/>
    <w:rsid w:val="00AE1DAF"/>
    <w:rsid w:val="00AE1F6F"/>
    <w:rsid w:val="00AE4D21"/>
    <w:rsid w:val="00AE793F"/>
    <w:rsid w:val="00AF0D80"/>
    <w:rsid w:val="00AF19E9"/>
    <w:rsid w:val="00B00A0C"/>
    <w:rsid w:val="00B00EA3"/>
    <w:rsid w:val="00B0127C"/>
    <w:rsid w:val="00B01826"/>
    <w:rsid w:val="00B03D60"/>
    <w:rsid w:val="00B04837"/>
    <w:rsid w:val="00B06472"/>
    <w:rsid w:val="00B06B97"/>
    <w:rsid w:val="00B1147A"/>
    <w:rsid w:val="00B11FFC"/>
    <w:rsid w:val="00B12474"/>
    <w:rsid w:val="00B1293D"/>
    <w:rsid w:val="00B147A8"/>
    <w:rsid w:val="00B16D77"/>
    <w:rsid w:val="00B207F5"/>
    <w:rsid w:val="00B21FF5"/>
    <w:rsid w:val="00B23E70"/>
    <w:rsid w:val="00B23EB0"/>
    <w:rsid w:val="00B25034"/>
    <w:rsid w:val="00B25932"/>
    <w:rsid w:val="00B3000E"/>
    <w:rsid w:val="00B3396B"/>
    <w:rsid w:val="00B34599"/>
    <w:rsid w:val="00B35C8C"/>
    <w:rsid w:val="00B36725"/>
    <w:rsid w:val="00B3686E"/>
    <w:rsid w:val="00B41F00"/>
    <w:rsid w:val="00B43509"/>
    <w:rsid w:val="00B441FA"/>
    <w:rsid w:val="00B448DB"/>
    <w:rsid w:val="00B503C3"/>
    <w:rsid w:val="00B51868"/>
    <w:rsid w:val="00B51AA3"/>
    <w:rsid w:val="00B5272A"/>
    <w:rsid w:val="00B55D59"/>
    <w:rsid w:val="00B61041"/>
    <w:rsid w:val="00B6336C"/>
    <w:rsid w:val="00B66903"/>
    <w:rsid w:val="00B705ED"/>
    <w:rsid w:val="00B717DB"/>
    <w:rsid w:val="00B73426"/>
    <w:rsid w:val="00B839CE"/>
    <w:rsid w:val="00B85D67"/>
    <w:rsid w:val="00B87717"/>
    <w:rsid w:val="00B91143"/>
    <w:rsid w:val="00B91671"/>
    <w:rsid w:val="00B91C64"/>
    <w:rsid w:val="00B9273F"/>
    <w:rsid w:val="00B94002"/>
    <w:rsid w:val="00B96DA3"/>
    <w:rsid w:val="00B9717E"/>
    <w:rsid w:val="00B97A29"/>
    <w:rsid w:val="00B97C7D"/>
    <w:rsid w:val="00BA1932"/>
    <w:rsid w:val="00BA2696"/>
    <w:rsid w:val="00BA2AAE"/>
    <w:rsid w:val="00BA599E"/>
    <w:rsid w:val="00BA6C26"/>
    <w:rsid w:val="00BB106E"/>
    <w:rsid w:val="00BB3E2D"/>
    <w:rsid w:val="00BC1C4F"/>
    <w:rsid w:val="00BC24C8"/>
    <w:rsid w:val="00BC2672"/>
    <w:rsid w:val="00BC2EB5"/>
    <w:rsid w:val="00BC35A1"/>
    <w:rsid w:val="00BC397A"/>
    <w:rsid w:val="00BC45B3"/>
    <w:rsid w:val="00BC57FA"/>
    <w:rsid w:val="00BD112B"/>
    <w:rsid w:val="00BD142E"/>
    <w:rsid w:val="00BD2506"/>
    <w:rsid w:val="00BD5B19"/>
    <w:rsid w:val="00BE02D0"/>
    <w:rsid w:val="00BE1EC0"/>
    <w:rsid w:val="00BE42A3"/>
    <w:rsid w:val="00BF3938"/>
    <w:rsid w:val="00BF400A"/>
    <w:rsid w:val="00BF4EB8"/>
    <w:rsid w:val="00BF52E9"/>
    <w:rsid w:val="00C005B8"/>
    <w:rsid w:val="00C006F6"/>
    <w:rsid w:val="00C0182D"/>
    <w:rsid w:val="00C036A6"/>
    <w:rsid w:val="00C05CA6"/>
    <w:rsid w:val="00C0774F"/>
    <w:rsid w:val="00C10B94"/>
    <w:rsid w:val="00C1279D"/>
    <w:rsid w:val="00C12E20"/>
    <w:rsid w:val="00C14236"/>
    <w:rsid w:val="00C17ABF"/>
    <w:rsid w:val="00C17FC6"/>
    <w:rsid w:val="00C212BE"/>
    <w:rsid w:val="00C216ED"/>
    <w:rsid w:val="00C2210E"/>
    <w:rsid w:val="00C241D8"/>
    <w:rsid w:val="00C24DB1"/>
    <w:rsid w:val="00C25160"/>
    <w:rsid w:val="00C26B72"/>
    <w:rsid w:val="00C27F23"/>
    <w:rsid w:val="00C30F63"/>
    <w:rsid w:val="00C35732"/>
    <w:rsid w:val="00C36547"/>
    <w:rsid w:val="00C3663A"/>
    <w:rsid w:val="00C37E77"/>
    <w:rsid w:val="00C40068"/>
    <w:rsid w:val="00C44122"/>
    <w:rsid w:val="00C4648A"/>
    <w:rsid w:val="00C509DB"/>
    <w:rsid w:val="00C50E5D"/>
    <w:rsid w:val="00C528F6"/>
    <w:rsid w:val="00C54AC4"/>
    <w:rsid w:val="00C60009"/>
    <w:rsid w:val="00C610ED"/>
    <w:rsid w:val="00C627A8"/>
    <w:rsid w:val="00C652DC"/>
    <w:rsid w:val="00C7181B"/>
    <w:rsid w:val="00C71CFA"/>
    <w:rsid w:val="00C71F38"/>
    <w:rsid w:val="00C73898"/>
    <w:rsid w:val="00C751C9"/>
    <w:rsid w:val="00C75C5F"/>
    <w:rsid w:val="00C763C8"/>
    <w:rsid w:val="00C768B0"/>
    <w:rsid w:val="00C80608"/>
    <w:rsid w:val="00C8233F"/>
    <w:rsid w:val="00C83A48"/>
    <w:rsid w:val="00C85CA6"/>
    <w:rsid w:val="00C86A2D"/>
    <w:rsid w:val="00C86D1D"/>
    <w:rsid w:val="00C8760E"/>
    <w:rsid w:val="00C92FA0"/>
    <w:rsid w:val="00C93D78"/>
    <w:rsid w:val="00C97FCD"/>
    <w:rsid w:val="00CA24AC"/>
    <w:rsid w:val="00CA3ADD"/>
    <w:rsid w:val="00CA4D0A"/>
    <w:rsid w:val="00CA51BD"/>
    <w:rsid w:val="00CB031D"/>
    <w:rsid w:val="00CB0521"/>
    <w:rsid w:val="00CB20C9"/>
    <w:rsid w:val="00CB5163"/>
    <w:rsid w:val="00CC1BCB"/>
    <w:rsid w:val="00CC667B"/>
    <w:rsid w:val="00CD1127"/>
    <w:rsid w:val="00CD15ED"/>
    <w:rsid w:val="00CD2F16"/>
    <w:rsid w:val="00CD34A3"/>
    <w:rsid w:val="00CD592E"/>
    <w:rsid w:val="00CD5A84"/>
    <w:rsid w:val="00CD700A"/>
    <w:rsid w:val="00CE1C06"/>
    <w:rsid w:val="00CE634C"/>
    <w:rsid w:val="00CE786D"/>
    <w:rsid w:val="00CF30FF"/>
    <w:rsid w:val="00CF662D"/>
    <w:rsid w:val="00CF6E8E"/>
    <w:rsid w:val="00D007D1"/>
    <w:rsid w:val="00D007F7"/>
    <w:rsid w:val="00D008E4"/>
    <w:rsid w:val="00D01ACF"/>
    <w:rsid w:val="00D01FCD"/>
    <w:rsid w:val="00D03888"/>
    <w:rsid w:val="00D048ED"/>
    <w:rsid w:val="00D04CB3"/>
    <w:rsid w:val="00D06221"/>
    <w:rsid w:val="00D0627C"/>
    <w:rsid w:val="00D10F6D"/>
    <w:rsid w:val="00D136D1"/>
    <w:rsid w:val="00D1661B"/>
    <w:rsid w:val="00D224F7"/>
    <w:rsid w:val="00D24294"/>
    <w:rsid w:val="00D27C17"/>
    <w:rsid w:val="00D31DB3"/>
    <w:rsid w:val="00D3472C"/>
    <w:rsid w:val="00D358B6"/>
    <w:rsid w:val="00D36C7F"/>
    <w:rsid w:val="00D379B5"/>
    <w:rsid w:val="00D40838"/>
    <w:rsid w:val="00D4202B"/>
    <w:rsid w:val="00D42135"/>
    <w:rsid w:val="00D43BDB"/>
    <w:rsid w:val="00D50A3E"/>
    <w:rsid w:val="00D53D7F"/>
    <w:rsid w:val="00D53F4F"/>
    <w:rsid w:val="00D55221"/>
    <w:rsid w:val="00D563BB"/>
    <w:rsid w:val="00D56BF4"/>
    <w:rsid w:val="00D6157B"/>
    <w:rsid w:val="00D61DB1"/>
    <w:rsid w:val="00D62E59"/>
    <w:rsid w:val="00D6401B"/>
    <w:rsid w:val="00D6526A"/>
    <w:rsid w:val="00D657FB"/>
    <w:rsid w:val="00D662A4"/>
    <w:rsid w:val="00D714C1"/>
    <w:rsid w:val="00D7460C"/>
    <w:rsid w:val="00D7489C"/>
    <w:rsid w:val="00D770ED"/>
    <w:rsid w:val="00D7737F"/>
    <w:rsid w:val="00D81EE9"/>
    <w:rsid w:val="00D85C76"/>
    <w:rsid w:val="00D92264"/>
    <w:rsid w:val="00D92C2D"/>
    <w:rsid w:val="00D94615"/>
    <w:rsid w:val="00D9501D"/>
    <w:rsid w:val="00D95088"/>
    <w:rsid w:val="00DA163A"/>
    <w:rsid w:val="00DA4BBF"/>
    <w:rsid w:val="00DA5EE2"/>
    <w:rsid w:val="00DB0A35"/>
    <w:rsid w:val="00DB10F7"/>
    <w:rsid w:val="00DB2CEA"/>
    <w:rsid w:val="00DB6243"/>
    <w:rsid w:val="00DB7E74"/>
    <w:rsid w:val="00DC3623"/>
    <w:rsid w:val="00DC54E7"/>
    <w:rsid w:val="00DC6677"/>
    <w:rsid w:val="00DC6C84"/>
    <w:rsid w:val="00DC7303"/>
    <w:rsid w:val="00DC74C8"/>
    <w:rsid w:val="00DC7CA9"/>
    <w:rsid w:val="00DD1F0C"/>
    <w:rsid w:val="00DD25EE"/>
    <w:rsid w:val="00DD3E88"/>
    <w:rsid w:val="00DD4249"/>
    <w:rsid w:val="00DD51A0"/>
    <w:rsid w:val="00DD57A6"/>
    <w:rsid w:val="00DD6D86"/>
    <w:rsid w:val="00DE01FF"/>
    <w:rsid w:val="00DE6D09"/>
    <w:rsid w:val="00DF291C"/>
    <w:rsid w:val="00DF3775"/>
    <w:rsid w:val="00DF5270"/>
    <w:rsid w:val="00DF583E"/>
    <w:rsid w:val="00E037DE"/>
    <w:rsid w:val="00E06CB3"/>
    <w:rsid w:val="00E07C97"/>
    <w:rsid w:val="00E13558"/>
    <w:rsid w:val="00E13F91"/>
    <w:rsid w:val="00E20EED"/>
    <w:rsid w:val="00E224F5"/>
    <w:rsid w:val="00E23BA6"/>
    <w:rsid w:val="00E255CC"/>
    <w:rsid w:val="00E26F57"/>
    <w:rsid w:val="00E3136C"/>
    <w:rsid w:val="00E35A86"/>
    <w:rsid w:val="00E35CE0"/>
    <w:rsid w:val="00E42F83"/>
    <w:rsid w:val="00E44E8F"/>
    <w:rsid w:val="00E45146"/>
    <w:rsid w:val="00E45952"/>
    <w:rsid w:val="00E47D11"/>
    <w:rsid w:val="00E502A9"/>
    <w:rsid w:val="00E52D46"/>
    <w:rsid w:val="00E60AEB"/>
    <w:rsid w:val="00E630B3"/>
    <w:rsid w:val="00E633B8"/>
    <w:rsid w:val="00E65609"/>
    <w:rsid w:val="00E659F0"/>
    <w:rsid w:val="00E65AE6"/>
    <w:rsid w:val="00E712B5"/>
    <w:rsid w:val="00E73CC6"/>
    <w:rsid w:val="00E74A30"/>
    <w:rsid w:val="00E74C32"/>
    <w:rsid w:val="00E75080"/>
    <w:rsid w:val="00E75733"/>
    <w:rsid w:val="00E76D3B"/>
    <w:rsid w:val="00E80909"/>
    <w:rsid w:val="00E84A4A"/>
    <w:rsid w:val="00E86DA1"/>
    <w:rsid w:val="00E87139"/>
    <w:rsid w:val="00E876E2"/>
    <w:rsid w:val="00E87767"/>
    <w:rsid w:val="00E93F3F"/>
    <w:rsid w:val="00E964DA"/>
    <w:rsid w:val="00E96CD6"/>
    <w:rsid w:val="00EA10FC"/>
    <w:rsid w:val="00EA3388"/>
    <w:rsid w:val="00EA390D"/>
    <w:rsid w:val="00EA432A"/>
    <w:rsid w:val="00EB0252"/>
    <w:rsid w:val="00EB2287"/>
    <w:rsid w:val="00EB2677"/>
    <w:rsid w:val="00EB3C4C"/>
    <w:rsid w:val="00EB7D10"/>
    <w:rsid w:val="00EC1314"/>
    <w:rsid w:val="00EC3C56"/>
    <w:rsid w:val="00EC413D"/>
    <w:rsid w:val="00EC45FD"/>
    <w:rsid w:val="00EC51BF"/>
    <w:rsid w:val="00EC58C6"/>
    <w:rsid w:val="00EC59A0"/>
    <w:rsid w:val="00EC634A"/>
    <w:rsid w:val="00ED0071"/>
    <w:rsid w:val="00ED0254"/>
    <w:rsid w:val="00ED0EBF"/>
    <w:rsid w:val="00ED360A"/>
    <w:rsid w:val="00ED3F0C"/>
    <w:rsid w:val="00ED4D33"/>
    <w:rsid w:val="00ED6D60"/>
    <w:rsid w:val="00EE432A"/>
    <w:rsid w:val="00EE4569"/>
    <w:rsid w:val="00EE7E77"/>
    <w:rsid w:val="00F0512E"/>
    <w:rsid w:val="00F05A93"/>
    <w:rsid w:val="00F10B5F"/>
    <w:rsid w:val="00F113A6"/>
    <w:rsid w:val="00F11F91"/>
    <w:rsid w:val="00F130B5"/>
    <w:rsid w:val="00F13EC3"/>
    <w:rsid w:val="00F145CB"/>
    <w:rsid w:val="00F175C6"/>
    <w:rsid w:val="00F20E4A"/>
    <w:rsid w:val="00F22F87"/>
    <w:rsid w:val="00F232FD"/>
    <w:rsid w:val="00F23714"/>
    <w:rsid w:val="00F243FF"/>
    <w:rsid w:val="00F26E3E"/>
    <w:rsid w:val="00F279BF"/>
    <w:rsid w:val="00F31418"/>
    <w:rsid w:val="00F3206D"/>
    <w:rsid w:val="00F325D0"/>
    <w:rsid w:val="00F326B8"/>
    <w:rsid w:val="00F33C1F"/>
    <w:rsid w:val="00F360C2"/>
    <w:rsid w:val="00F37C0D"/>
    <w:rsid w:val="00F42B51"/>
    <w:rsid w:val="00F434D3"/>
    <w:rsid w:val="00F441F0"/>
    <w:rsid w:val="00F54884"/>
    <w:rsid w:val="00F5756F"/>
    <w:rsid w:val="00F601F3"/>
    <w:rsid w:val="00F60364"/>
    <w:rsid w:val="00F623A9"/>
    <w:rsid w:val="00F631BE"/>
    <w:rsid w:val="00F7023C"/>
    <w:rsid w:val="00F70CBF"/>
    <w:rsid w:val="00F7132D"/>
    <w:rsid w:val="00F720C2"/>
    <w:rsid w:val="00F74DD8"/>
    <w:rsid w:val="00F74F8C"/>
    <w:rsid w:val="00F758D5"/>
    <w:rsid w:val="00F8196B"/>
    <w:rsid w:val="00F82DFB"/>
    <w:rsid w:val="00F8650D"/>
    <w:rsid w:val="00F86FB4"/>
    <w:rsid w:val="00F87AEA"/>
    <w:rsid w:val="00F93C9C"/>
    <w:rsid w:val="00F94B2A"/>
    <w:rsid w:val="00FA497A"/>
    <w:rsid w:val="00FA6CF2"/>
    <w:rsid w:val="00FB024F"/>
    <w:rsid w:val="00FB05A3"/>
    <w:rsid w:val="00FB24B2"/>
    <w:rsid w:val="00FB35FE"/>
    <w:rsid w:val="00FB7996"/>
    <w:rsid w:val="00FC118E"/>
    <w:rsid w:val="00FC1D75"/>
    <w:rsid w:val="00FC3CA4"/>
    <w:rsid w:val="00FC783A"/>
    <w:rsid w:val="00FD3012"/>
    <w:rsid w:val="00FD4184"/>
    <w:rsid w:val="00FD443A"/>
    <w:rsid w:val="00FD48B7"/>
    <w:rsid w:val="00FD6837"/>
    <w:rsid w:val="00FE14EC"/>
    <w:rsid w:val="00FE4324"/>
    <w:rsid w:val="00FE5985"/>
    <w:rsid w:val="00FE703A"/>
    <w:rsid w:val="00FE7DF0"/>
    <w:rsid w:val="00FF009F"/>
    <w:rsid w:val="00FF05D2"/>
    <w:rsid w:val="00FF297B"/>
    <w:rsid w:val="00FF2997"/>
    <w:rsid w:val="00FF4A88"/>
    <w:rsid w:val="00FF639E"/>
    <w:rsid w:val="00FF799D"/>
    <w:rsid w:val="07C2133C"/>
    <w:rsid w:val="0CC93F37"/>
    <w:rsid w:val="1285F6B4"/>
    <w:rsid w:val="14F40216"/>
    <w:rsid w:val="161C4A24"/>
    <w:rsid w:val="2634B96D"/>
    <w:rsid w:val="2D164D3A"/>
    <w:rsid w:val="3B5740EE"/>
    <w:rsid w:val="54A14391"/>
    <w:rsid w:val="65B368E6"/>
    <w:rsid w:val="7468ED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D59F3"/>
  <w15:docId w15:val="{8C14FFE7-FB06-4F59-8074-5EE0E643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0C2"/>
    <w:rPr>
      <w:rFonts w:ascii="Arial" w:hAnsi="Arial" w:cs="Arial"/>
      <w:sz w:val="24"/>
      <w:szCs w:val="24"/>
      <w:lang w:eastAsia="en-GB"/>
    </w:rPr>
  </w:style>
  <w:style w:type="paragraph" w:styleId="Heading1">
    <w:name w:val="heading 1"/>
    <w:basedOn w:val="Normal"/>
    <w:next w:val="Normal"/>
    <w:qFormat/>
    <w:rsid w:val="00771584"/>
    <w:pPr>
      <w:keepNext/>
      <w:spacing w:before="240" w:after="60"/>
      <w:outlineLvl w:val="0"/>
    </w:pPr>
    <w:rPr>
      <w:b/>
      <w:bCs/>
      <w:kern w:val="32"/>
      <w:szCs w:val="32"/>
    </w:rPr>
  </w:style>
  <w:style w:type="paragraph" w:styleId="Heading2">
    <w:name w:val="heading 2"/>
    <w:basedOn w:val="Normal"/>
    <w:next w:val="Normal"/>
    <w:link w:val="Heading2Char"/>
    <w:qFormat/>
    <w:rsid w:val="00771584"/>
    <w:pPr>
      <w:keepNext/>
      <w:outlineLvl w:val="1"/>
    </w:pPr>
    <w:rPr>
      <w:rFonts w:cs="Times New Roman"/>
      <w:b/>
      <w:lang w:eastAsia="en-US"/>
    </w:rPr>
  </w:style>
  <w:style w:type="paragraph" w:styleId="Heading3">
    <w:name w:val="heading 3"/>
    <w:basedOn w:val="Normal"/>
    <w:next w:val="Normal"/>
    <w:qFormat/>
    <w:rsid w:val="00771584"/>
    <w:pPr>
      <w:keepNext/>
      <w:spacing w:before="240" w:after="60"/>
      <w:outlineLvl w:val="2"/>
    </w:pPr>
    <w:rPr>
      <w:bCs/>
      <w:i/>
      <w:szCs w:val="26"/>
    </w:rPr>
  </w:style>
  <w:style w:type="paragraph" w:styleId="Heading4">
    <w:name w:val="heading 4"/>
    <w:basedOn w:val="Normal"/>
    <w:next w:val="Normal"/>
    <w:link w:val="Heading4Char"/>
    <w:semiHidden/>
    <w:unhideWhenUsed/>
    <w:qFormat/>
    <w:rsid w:val="000974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974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974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584"/>
    <w:rPr>
      <w:rFonts w:ascii="Arial" w:hAnsi="Arial"/>
      <w:b/>
      <w:sz w:val="24"/>
      <w:szCs w:val="24"/>
      <w:lang w:val="en-GB" w:eastAsia="en-US" w:bidi="ar-SA"/>
    </w:rPr>
  </w:style>
  <w:style w:type="paragraph" w:styleId="Footer">
    <w:name w:val="footer"/>
    <w:basedOn w:val="Normal"/>
    <w:link w:val="FooterChar"/>
    <w:uiPriority w:val="99"/>
    <w:rsid w:val="00A47ADE"/>
    <w:pPr>
      <w:tabs>
        <w:tab w:val="center" w:pos="4153"/>
        <w:tab w:val="right" w:pos="8306"/>
      </w:tabs>
    </w:pPr>
  </w:style>
  <w:style w:type="character" w:styleId="PageNumber">
    <w:name w:val="page number"/>
    <w:basedOn w:val="DefaultParagraphFont"/>
    <w:rsid w:val="00A47ADE"/>
  </w:style>
  <w:style w:type="paragraph" w:styleId="Header">
    <w:name w:val="header"/>
    <w:basedOn w:val="Normal"/>
    <w:link w:val="HeaderChar"/>
    <w:rsid w:val="00A47ADE"/>
    <w:pPr>
      <w:tabs>
        <w:tab w:val="center" w:pos="4153"/>
        <w:tab w:val="right" w:pos="8306"/>
      </w:tabs>
    </w:pPr>
  </w:style>
  <w:style w:type="character" w:customStyle="1" w:styleId="HeaderChar">
    <w:name w:val="Header Char"/>
    <w:basedOn w:val="DefaultParagraphFont"/>
    <w:link w:val="Header"/>
    <w:rsid w:val="00B36725"/>
    <w:rPr>
      <w:rFonts w:ascii="Arial" w:hAnsi="Arial" w:cs="Arial"/>
      <w:sz w:val="24"/>
      <w:szCs w:val="24"/>
      <w:lang w:val="en-GB" w:eastAsia="en-GB" w:bidi="ar-SA"/>
    </w:rPr>
  </w:style>
  <w:style w:type="table" w:styleId="TableGrid">
    <w:name w:val="Table Grid"/>
    <w:basedOn w:val="TableNormal"/>
    <w:uiPriority w:val="39"/>
    <w:rsid w:val="0082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A2696"/>
    <w:rPr>
      <w:b/>
      <w:bCs/>
    </w:rPr>
  </w:style>
  <w:style w:type="paragraph" w:styleId="NormalWeb">
    <w:name w:val="Normal (Web)"/>
    <w:basedOn w:val="Normal"/>
    <w:rsid w:val="00F11F91"/>
    <w:pPr>
      <w:spacing w:before="100" w:beforeAutospacing="1" w:after="100" w:afterAutospacing="1"/>
    </w:pPr>
    <w:rPr>
      <w:rFonts w:ascii="Times New Roman" w:hAnsi="Times New Roman" w:cs="Times New Roman"/>
    </w:rPr>
  </w:style>
  <w:style w:type="paragraph" w:styleId="PlainText">
    <w:name w:val="Plain Text"/>
    <w:basedOn w:val="Normal"/>
    <w:rsid w:val="004A56ED"/>
    <w:rPr>
      <w:rFonts w:ascii="Courier New" w:hAnsi="Courier New" w:cs="Courier New"/>
      <w:sz w:val="20"/>
      <w:szCs w:val="20"/>
    </w:rPr>
  </w:style>
  <w:style w:type="paragraph" w:styleId="BodyText2">
    <w:name w:val="Body Text 2"/>
    <w:basedOn w:val="Normal"/>
    <w:rsid w:val="000F4692"/>
    <w:pPr>
      <w:jc w:val="both"/>
    </w:pPr>
    <w:rPr>
      <w:rFonts w:ascii="Times New Roman" w:hAnsi="Times New Roman" w:cs="Times New Roman"/>
      <w:szCs w:val="20"/>
      <w:lang w:eastAsia="en-US"/>
    </w:rPr>
  </w:style>
  <w:style w:type="paragraph" w:styleId="BodyText">
    <w:name w:val="Body Text"/>
    <w:basedOn w:val="Normal"/>
    <w:rsid w:val="00CF30FF"/>
    <w:pPr>
      <w:spacing w:after="120"/>
    </w:pPr>
  </w:style>
  <w:style w:type="paragraph" w:customStyle="1" w:styleId="RMBodyText">
    <w:name w:val="RM Body Text"/>
    <w:basedOn w:val="Normal"/>
    <w:rsid w:val="00CF30FF"/>
    <w:rPr>
      <w:lang w:eastAsia="en-US"/>
    </w:rPr>
  </w:style>
  <w:style w:type="paragraph" w:styleId="FootnoteText">
    <w:name w:val="footnote text"/>
    <w:basedOn w:val="Normal"/>
    <w:link w:val="FootnoteTextChar"/>
    <w:uiPriority w:val="99"/>
    <w:semiHidden/>
    <w:rsid w:val="007C7E8B"/>
    <w:rPr>
      <w:sz w:val="20"/>
      <w:szCs w:val="20"/>
    </w:rPr>
  </w:style>
  <w:style w:type="character" w:styleId="FootnoteReference">
    <w:name w:val="footnote reference"/>
    <w:basedOn w:val="DefaultParagraphFont"/>
    <w:uiPriority w:val="99"/>
    <w:semiHidden/>
    <w:rsid w:val="007C7E8B"/>
    <w:rPr>
      <w:vertAlign w:val="superscript"/>
    </w:rPr>
  </w:style>
  <w:style w:type="character" w:styleId="Hyperlink">
    <w:name w:val="Hyperlink"/>
    <w:basedOn w:val="DefaultParagraphFont"/>
    <w:uiPriority w:val="99"/>
    <w:rsid w:val="009429C5"/>
    <w:rPr>
      <w:color w:val="0000FF"/>
      <w:u w:val="single"/>
    </w:rPr>
  </w:style>
  <w:style w:type="character" w:styleId="FollowedHyperlink">
    <w:name w:val="FollowedHyperlink"/>
    <w:basedOn w:val="DefaultParagraphFont"/>
    <w:rsid w:val="009155B4"/>
    <w:rPr>
      <w:color w:val="800080"/>
      <w:u w:val="single"/>
    </w:rPr>
  </w:style>
  <w:style w:type="paragraph" w:styleId="TOC1">
    <w:name w:val="toc 1"/>
    <w:basedOn w:val="Normal"/>
    <w:next w:val="Normal"/>
    <w:autoRedefine/>
    <w:uiPriority w:val="39"/>
    <w:rsid w:val="00413B84"/>
    <w:rPr>
      <w:b/>
    </w:rPr>
  </w:style>
  <w:style w:type="paragraph" w:styleId="TOC2">
    <w:name w:val="toc 2"/>
    <w:basedOn w:val="Normal"/>
    <w:next w:val="Normal"/>
    <w:autoRedefine/>
    <w:uiPriority w:val="39"/>
    <w:rsid w:val="00482ED7"/>
    <w:pPr>
      <w:ind w:left="240"/>
    </w:pPr>
  </w:style>
  <w:style w:type="paragraph" w:styleId="TOC3">
    <w:name w:val="toc 3"/>
    <w:basedOn w:val="Normal"/>
    <w:next w:val="Normal"/>
    <w:autoRedefine/>
    <w:uiPriority w:val="39"/>
    <w:rsid w:val="00413B84"/>
    <w:pPr>
      <w:ind w:left="720"/>
    </w:pPr>
    <w:rPr>
      <w:i/>
      <w:sz w:val="20"/>
    </w:rPr>
  </w:style>
  <w:style w:type="character" w:customStyle="1" w:styleId="hwd">
    <w:name w:val="hwd"/>
    <w:basedOn w:val="DefaultParagraphFont"/>
    <w:rsid w:val="00232886"/>
  </w:style>
  <w:style w:type="paragraph" w:styleId="BalloonText">
    <w:name w:val="Balloon Text"/>
    <w:basedOn w:val="Normal"/>
    <w:link w:val="BalloonTextChar"/>
    <w:rsid w:val="006D7FD0"/>
    <w:rPr>
      <w:rFonts w:ascii="Tahoma" w:hAnsi="Tahoma" w:cs="Tahoma"/>
      <w:sz w:val="16"/>
      <w:szCs w:val="16"/>
    </w:rPr>
  </w:style>
  <w:style w:type="character" w:customStyle="1" w:styleId="BalloonTextChar">
    <w:name w:val="Balloon Text Char"/>
    <w:basedOn w:val="DefaultParagraphFont"/>
    <w:link w:val="BalloonText"/>
    <w:rsid w:val="006D7FD0"/>
    <w:rPr>
      <w:rFonts w:ascii="Tahoma" w:hAnsi="Tahoma" w:cs="Tahoma"/>
      <w:sz w:val="16"/>
      <w:szCs w:val="16"/>
      <w:lang w:eastAsia="en-GB"/>
    </w:rPr>
  </w:style>
  <w:style w:type="paragraph" w:styleId="NoSpacing">
    <w:name w:val="No Spacing"/>
    <w:link w:val="NoSpacingChar"/>
    <w:uiPriority w:val="1"/>
    <w:qFormat/>
    <w:rsid w:val="006D7FD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D7FD0"/>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2B5E6D"/>
    <w:pPr>
      <w:ind w:left="720"/>
      <w:contextualSpacing/>
    </w:pPr>
  </w:style>
  <w:style w:type="character" w:styleId="CommentReference">
    <w:name w:val="annotation reference"/>
    <w:basedOn w:val="DefaultParagraphFont"/>
    <w:rsid w:val="002C1820"/>
    <w:rPr>
      <w:sz w:val="16"/>
      <w:szCs w:val="16"/>
    </w:rPr>
  </w:style>
  <w:style w:type="paragraph" w:styleId="CommentText">
    <w:name w:val="annotation text"/>
    <w:basedOn w:val="Normal"/>
    <w:link w:val="CommentTextChar"/>
    <w:rsid w:val="002C1820"/>
    <w:rPr>
      <w:sz w:val="20"/>
      <w:szCs w:val="20"/>
    </w:rPr>
  </w:style>
  <w:style w:type="character" w:customStyle="1" w:styleId="CommentTextChar">
    <w:name w:val="Comment Text Char"/>
    <w:basedOn w:val="DefaultParagraphFont"/>
    <w:link w:val="CommentText"/>
    <w:rsid w:val="002C1820"/>
    <w:rPr>
      <w:rFonts w:ascii="Arial" w:hAnsi="Arial" w:cs="Arial"/>
      <w:lang w:eastAsia="en-GB"/>
    </w:rPr>
  </w:style>
  <w:style w:type="paragraph" w:styleId="CommentSubject">
    <w:name w:val="annotation subject"/>
    <w:basedOn w:val="CommentText"/>
    <w:next w:val="CommentText"/>
    <w:link w:val="CommentSubjectChar"/>
    <w:rsid w:val="002C1820"/>
    <w:rPr>
      <w:b/>
      <w:bCs/>
    </w:rPr>
  </w:style>
  <w:style w:type="character" w:customStyle="1" w:styleId="CommentSubjectChar">
    <w:name w:val="Comment Subject Char"/>
    <w:basedOn w:val="CommentTextChar"/>
    <w:link w:val="CommentSubject"/>
    <w:rsid w:val="002C1820"/>
    <w:rPr>
      <w:rFonts w:ascii="Arial" w:hAnsi="Arial" w:cs="Arial"/>
      <w:b/>
      <w:bCs/>
      <w:lang w:eastAsia="en-GB"/>
    </w:rPr>
  </w:style>
  <w:style w:type="table" w:styleId="TableWeb2">
    <w:name w:val="Table Web 2"/>
    <w:basedOn w:val="TableNormal"/>
    <w:rsid w:val="00B96D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List-Accent4">
    <w:name w:val="Light List Accent 4"/>
    <w:basedOn w:val="TableNormal"/>
    <w:uiPriority w:val="61"/>
    <w:rsid w:val="00B96D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eGrid8">
    <w:name w:val="Table Grid 8"/>
    <w:basedOn w:val="TableNormal"/>
    <w:rsid w:val="000264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semiHidden/>
    <w:rsid w:val="00097403"/>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semiHidden/>
    <w:rsid w:val="00097403"/>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semiHidden/>
    <w:rsid w:val="00097403"/>
    <w:rPr>
      <w:rFonts w:asciiTheme="majorHAnsi" w:eastAsiaTheme="majorEastAsia" w:hAnsiTheme="majorHAnsi" w:cstheme="majorBidi"/>
      <w:i/>
      <w:iCs/>
      <w:color w:val="243F60" w:themeColor="accent1" w:themeShade="7F"/>
      <w:sz w:val="24"/>
      <w:szCs w:val="24"/>
      <w:lang w:eastAsia="en-GB"/>
    </w:rPr>
  </w:style>
  <w:style w:type="paragraph" w:styleId="Title">
    <w:name w:val="Title"/>
    <w:basedOn w:val="Normal"/>
    <w:link w:val="TitleChar"/>
    <w:qFormat/>
    <w:rsid w:val="00097403"/>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rsid w:val="00097403"/>
    <w:rPr>
      <w:b/>
      <w:sz w:val="24"/>
      <w:u w:val="single"/>
      <w:lang w:eastAsia="en-US"/>
    </w:rPr>
  </w:style>
  <w:style w:type="paragraph" w:styleId="Subtitle">
    <w:name w:val="Subtitle"/>
    <w:basedOn w:val="Normal"/>
    <w:link w:val="SubtitleChar"/>
    <w:qFormat/>
    <w:rsid w:val="00097403"/>
    <w:pPr>
      <w:jc w:val="center"/>
    </w:pPr>
    <w:rPr>
      <w:rFonts w:ascii="Times New Roman" w:hAnsi="Times New Roman" w:cs="Times New Roman"/>
      <w:b/>
      <w:sz w:val="28"/>
      <w:szCs w:val="20"/>
      <w:u w:val="single"/>
      <w:lang w:eastAsia="en-US"/>
    </w:rPr>
  </w:style>
  <w:style w:type="character" w:customStyle="1" w:styleId="SubtitleChar">
    <w:name w:val="Subtitle Char"/>
    <w:basedOn w:val="DefaultParagraphFont"/>
    <w:link w:val="Subtitle"/>
    <w:rsid w:val="00097403"/>
    <w:rPr>
      <w:b/>
      <w:sz w:val="28"/>
      <w:u w:val="single"/>
      <w:lang w:eastAsia="en-US"/>
    </w:rPr>
  </w:style>
  <w:style w:type="character" w:customStyle="1" w:styleId="cald-definition1">
    <w:name w:val="cald-definition1"/>
    <w:basedOn w:val="DefaultParagraphFont"/>
    <w:rsid w:val="00895766"/>
    <w:rPr>
      <w:rFonts w:ascii="Verdana" w:hAnsi="Verdana" w:hint="default"/>
      <w:i w:val="0"/>
      <w:iCs w:val="0"/>
      <w:color w:val="000000"/>
      <w:sz w:val="24"/>
      <w:szCs w:val="24"/>
    </w:rPr>
  </w:style>
  <w:style w:type="paragraph" w:styleId="TOCHeading">
    <w:name w:val="TOC Heading"/>
    <w:basedOn w:val="Heading1"/>
    <w:next w:val="Normal"/>
    <w:uiPriority w:val="39"/>
    <w:semiHidden/>
    <w:unhideWhenUsed/>
    <w:qFormat/>
    <w:rsid w:val="00341AE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table" w:styleId="LightShading-Accent6">
    <w:name w:val="Light Shading Accent 6"/>
    <w:basedOn w:val="TableNormal"/>
    <w:uiPriority w:val="60"/>
    <w:rsid w:val="006E0B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Columns3">
    <w:name w:val="Table Columns 3"/>
    <w:basedOn w:val="TableNormal"/>
    <w:rsid w:val="006E0B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477EF0"/>
    <w:rPr>
      <w:rFonts w:ascii="Arial" w:hAnsi="Arial" w:cs="Arial"/>
      <w:sz w:val="24"/>
      <w:szCs w:val="24"/>
      <w:lang w:eastAsia="en-GB"/>
    </w:rPr>
  </w:style>
  <w:style w:type="character" w:styleId="UnresolvedMention">
    <w:name w:val="Unresolved Mention"/>
    <w:basedOn w:val="DefaultParagraphFont"/>
    <w:uiPriority w:val="99"/>
    <w:semiHidden/>
    <w:unhideWhenUsed/>
    <w:rsid w:val="00A6478B"/>
    <w:rPr>
      <w:color w:val="605E5C"/>
      <w:shd w:val="clear" w:color="auto" w:fill="E1DFDD"/>
    </w:rPr>
  </w:style>
  <w:style w:type="character" w:customStyle="1" w:styleId="FootnoteTextChar">
    <w:name w:val="Footnote Text Char"/>
    <w:basedOn w:val="DefaultParagraphFont"/>
    <w:link w:val="FootnoteText"/>
    <w:uiPriority w:val="99"/>
    <w:semiHidden/>
    <w:rsid w:val="00470ABC"/>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67">
      <w:bodyDiv w:val="1"/>
      <w:marLeft w:val="0"/>
      <w:marRight w:val="0"/>
      <w:marTop w:val="0"/>
      <w:marBottom w:val="0"/>
      <w:divBdr>
        <w:top w:val="none" w:sz="0" w:space="0" w:color="auto"/>
        <w:left w:val="none" w:sz="0" w:space="0" w:color="auto"/>
        <w:bottom w:val="none" w:sz="0" w:space="0" w:color="auto"/>
        <w:right w:val="none" w:sz="0" w:space="0" w:color="auto"/>
      </w:divBdr>
      <w:divsChild>
        <w:div w:id="178274941">
          <w:marLeft w:val="547"/>
          <w:marRight w:val="0"/>
          <w:marTop w:val="0"/>
          <w:marBottom w:val="0"/>
          <w:divBdr>
            <w:top w:val="none" w:sz="0" w:space="0" w:color="auto"/>
            <w:left w:val="none" w:sz="0" w:space="0" w:color="auto"/>
            <w:bottom w:val="none" w:sz="0" w:space="0" w:color="auto"/>
            <w:right w:val="none" w:sz="0" w:space="0" w:color="auto"/>
          </w:divBdr>
        </w:div>
        <w:div w:id="1231575600">
          <w:marLeft w:val="547"/>
          <w:marRight w:val="0"/>
          <w:marTop w:val="0"/>
          <w:marBottom w:val="0"/>
          <w:divBdr>
            <w:top w:val="none" w:sz="0" w:space="0" w:color="auto"/>
            <w:left w:val="none" w:sz="0" w:space="0" w:color="auto"/>
            <w:bottom w:val="none" w:sz="0" w:space="0" w:color="auto"/>
            <w:right w:val="none" w:sz="0" w:space="0" w:color="auto"/>
          </w:divBdr>
        </w:div>
      </w:divsChild>
    </w:div>
    <w:div w:id="154731829">
      <w:bodyDiv w:val="1"/>
      <w:marLeft w:val="0"/>
      <w:marRight w:val="0"/>
      <w:marTop w:val="0"/>
      <w:marBottom w:val="0"/>
      <w:divBdr>
        <w:top w:val="none" w:sz="0" w:space="0" w:color="auto"/>
        <w:left w:val="none" w:sz="0" w:space="0" w:color="auto"/>
        <w:bottom w:val="none" w:sz="0" w:space="0" w:color="auto"/>
        <w:right w:val="none" w:sz="0" w:space="0" w:color="auto"/>
      </w:divBdr>
      <w:divsChild>
        <w:div w:id="677736566">
          <w:marLeft w:val="547"/>
          <w:marRight w:val="0"/>
          <w:marTop w:val="0"/>
          <w:marBottom w:val="0"/>
          <w:divBdr>
            <w:top w:val="none" w:sz="0" w:space="0" w:color="auto"/>
            <w:left w:val="none" w:sz="0" w:space="0" w:color="auto"/>
            <w:bottom w:val="none" w:sz="0" w:space="0" w:color="auto"/>
            <w:right w:val="none" w:sz="0" w:space="0" w:color="auto"/>
          </w:divBdr>
        </w:div>
        <w:div w:id="843782347">
          <w:marLeft w:val="547"/>
          <w:marRight w:val="0"/>
          <w:marTop w:val="0"/>
          <w:marBottom w:val="0"/>
          <w:divBdr>
            <w:top w:val="none" w:sz="0" w:space="0" w:color="auto"/>
            <w:left w:val="none" w:sz="0" w:space="0" w:color="auto"/>
            <w:bottom w:val="none" w:sz="0" w:space="0" w:color="auto"/>
            <w:right w:val="none" w:sz="0" w:space="0" w:color="auto"/>
          </w:divBdr>
        </w:div>
      </w:divsChild>
    </w:div>
    <w:div w:id="506870753">
      <w:bodyDiv w:val="1"/>
      <w:marLeft w:val="0"/>
      <w:marRight w:val="0"/>
      <w:marTop w:val="0"/>
      <w:marBottom w:val="0"/>
      <w:divBdr>
        <w:top w:val="none" w:sz="0" w:space="0" w:color="auto"/>
        <w:left w:val="none" w:sz="0" w:space="0" w:color="auto"/>
        <w:bottom w:val="none" w:sz="0" w:space="0" w:color="auto"/>
        <w:right w:val="none" w:sz="0" w:space="0" w:color="auto"/>
      </w:divBdr>
      <w:divsChild>
        <w:div w:id="383868625">
          <w:marLeft w:val="547"/>
          <w:marRight w:val="0"/>
          <w:marTop w:val="0"/>
          <w:marBottom w:val="0"/>
          <w:divBdr>
            <w:top w:val="none" w:sz="0" w:space="0" w:color="auto"/>
            <w:left w:val="none" w:sz="0" w:space="0" w:color="auto"/>
            <w:bottom w:val="none" w:sz="0" w:space="0" w:color="auto"/>
            <w:right w:val="none" w:sz="0" w:space="0" w:color="auto"/>
          </w:divBdr>
        </w:div>
        <w:div w:id="625282041">
          <w:marLeft w:val="547"/>
          <w:marRight w:val="0"/>
          <w:marTop w:val="0"/>
          <w:marBottom w:val="0"/>
          <w:divBdr>
            <w:top w:val="none" w:sz="0" w:space="0" w:color="auto"/>
            <w:left w:val="none" w:sz="0" w:space="0" w:color="auto"/>
            <w:bottom w:val="none" w:sz="0" w:space="0" w:color="auto"/>
            <w:right w:val="none" w:sz="0" w:space="0" w:color="auto"/>
          </w:divBdr>
        </w:div>
        <w:div w:id="719522869">
          <w:marLeft w:val="547"/>
          <w:marRight w:val="0"/>
          <w:marTop w:val="0"/>
          <w:marBottom w:val="0"/>
          <w:divBdr>
            <w:top w:val="none" w:sz="0" w:space="0" w:color="auto"/>
            <w:left w:val="none" w:sz="0" w:space="0" w:color="auto"/>
            <w:bottom w:val="none" w:sz="0" w:space="0" w:color="auto"/>
            <w:right w:val="none" w:sz="0" w:space="0" w:color="auto"/>
          </w:divBdr>
        </w:div>
        <w:div w:id="836454958">
          <w:marLeft w:val="547"/>
          <w:marRight w:val="0"/>
          <w:marTop w:val="0"/>
          <w:marBottom w:val="0"/>
          <w:divBdr>
            <w:top w:val="none" w:sz="0" w:space="0" w:color="auto"/>
            <w:left w:val="none" w:sz="0" w:space="0" w:color="auto"/>
            <w:bottom w:val="none" w:sz="0" w:space="0" w:color="auto"/>
            <w:right w:val="none" w:sz="0" w:space="0" w:color="auto"/>
          </w:divBdr>
        </w:div>
        <w:div w:id="1059549815">
          <w:marLeft w:val="547"/>
          <w:marRight w:val="0"/>
          <w:marTop w:val="0"/>
          <w:marBottom w:val="0"/>
          <w:divBdr>
            <w:top w:val="none" w:sz="0" w:space="0" w:color="auto"/>
            <w:left w:val="none" w:sz="0" w:space="0" w:color="auto"/>
            <w:bottom w:val="none" w:sz="0" w:space="0" w:color="auto"/>
            <w:right w:val="none" w:sz="0" w:space="0" w:color="auto"/>
          </w:divBdr>
        </w:div>
        <w:div w:id="1333990777">
          <w:marLeft w:val="547"/>
          <w:marRight w:val="0"/>
          <w:marTop w:val="0"/>
          <w:marBottom w:val="0"/>
          <w:divBdr>
            <w:top w:val="none" w:sz="0" w:space="0" w:color="auto"/>
            <w:left w:val="none" w:sz="0" w:space="0" w:color="auto"/>
            <w:bottom w:val="none" w:sz="0" w:space="0" w:color="auto"/>
            <w:right w:val="none" w:sz="0" w:space="0" w:color="auto"/>
          </w:divBdr>
        </w:div>
        <w:div w:id="1508444667">
          <w:marLeft w:val="547"/>
          <w:marRight w:val="0"/>
          <w:marTop w:val="0"/>
          <w:marBottom w:val="0"/>
          <w:divBdr>
            <w:top w:val="none" w:sz="0" w:space="0" w:color="auto"/>
            <w:left w:val="none" w:sz="0" w:space="0" w:color="auto"/>
            <w:bottom w:val="none" w:sz="0" w:space="0" w:color="auto"/>
            <w:right w:val="none" w:sz="0" w:space="0" w:color="auto"/>
          </w:divBdr>
        </w:div>
        <w:div w:id="1515463444">
          <w:marLeft w:val="547"/>
          <w:marRight w:val="0"/>
          <w:marTop w:val="0"/>
          <w:marBottom w:val="0"/>
          <w:divBdr>
            <w:top w:val="none" w:sz="0" w:space="0" w:color="auto"/>
            <w:left w:val="none" w:sz="0" w:space="0" w:color="auto"/>
            <w:bottom w:val="none" w:sz="0" w:space="0" w:color="auto"/>
            <w:right w:val="none" w:sz="0" w:space="0" w:color="auto"/>
          </w:divBdr>
        </w:div>
        <w:div w:id="1636594173">
          <w:marLeft w:val="547"/>
          <w:marRight w:val="0"/>
          <w:marTop w:val="0"/>
          <w:marBottom w:val="0"/>
          <w:divBdr>
            <w:top w:val="none" w:sz="0" w:space="0" w:color="auto"/>
            <w:left w:val="none" w:sz="0" w:space="0" w:color="auto"/>
            <w:bottom w:val="none" w:sz="0" w:space="0" w:color="auto"/>
            <w:right w:val="none" w:sz="0" w:space="0" w:color="auto"/>
          </w:divBdr>
        </w:div>
        <w:div w:id="1701861590">
          <w:marLeft w:val="547"/>
          <w:marRight w:val="0"/>
          <w:marTop w:val="0"/>
          <w:marBottom w:val="0"/>
          <w:divBdr>
            <w:top w:val="none" w:sz="0" w:space="0" w:color="auto"/>
            <w:left w:val="none" w:sz="0" w:space="0" w:color="auto"/>
            <w:bottom w:val="none" w:sz="0" w:space="0" w:color="auto"/>
            <w:right w:val="none" w:sz="0" w:space="0" w:color="auto"/>
          </w:divBdr>
        </w:div>
        <w:div w:id="1903328435">
          <w:marLeft w:val="547"/>
          <w:marRight w:val="0"/>
          <w:marTop w:val="0"/>
          <w:marBottom w:val="0"/>
          <w:divBdr>
            <w:top w:val="none" w:sz="0" w:space="0" w:color="auto"/>
            <w:left w:val="none" w:sz="0" w:space="0" w:color="auto"/>
            <w:bottom w:val="none" w:sz="0" w:space="0" w:color="auto"/>
            <w:right w:val="none" w:sz="0" w:space="0" w:color="auto"/>
          </w:divBdr>
        </w:div>
        <w:div w:id="2042052199">
          <w:marLeft w:val="547"/>
          <w:marRight w:val="0"/>
          <w:marTop w:val="0"/>
          <w:marBottom w:val="0"/>
          <w:divBdr>
            <w:top w:val="none" w:sz="0" w:space="0" w:color="auto"/>
            <w:left w:val="none" w:sz="0" w:space="0" w:color="auto"/>
            <w:bottom w:val="none" w:sz="0" w:space="0" w:color="auto"/>
            <w:right w:val="none" w:sz="0" w:space="0" w:color="auto"/>
          </w:divBdr>
        </w:div>
      </w:divsChild>
    </w:div>
    <w:div w:id="607584942">
      <w:bodyDiv w:val="1"/>
      <w:marLeft w:val="0"/>
      <w:marRight w:val="0"/>
      <w:marTop w:val="0"/>
      <w:marBottom w:val="0"/>
      <w:divBdr>
        <w:top w:val="none" w:sz="0" w:space="0" w:color="auto"/>
        <w:left w:val="none" w:sz="0" w:space="0" w:color="auto"/>
        <w:bottom w:val="none" w:sz="0" w:space="0" w:color="auto"/>
        <w:right w:val="none" w:sz="0" w:space="0" w:color="auto"/>
      </w:divBdr>
      <w:divsChild>
        <w:div w:id="562254111">
          <w:marLeft w:val="547"/>
          <w:marRight w:val="0"/>
          <w:marTop w:val="0"/>
          <w:marBottom w:val="0"/>
          <w:divBdr>
            <w:top w:val="none" w:sz="0" w:space="0" w:color="auto"/>
            <w:left w:val="none" w:sz="0" w:space="0" w:color="auto"/>
            <w:bottom w:val="none" w:sz="0" w:space="0" w:color="auto"/>
            <w:right w:val="none" w:sz="0" w:space="0" w:color="auto"/>
          </w:divBdr>
        </w:div>
        <w:div w:id="1691687702">
          <w:marLeft w:val="547"/>
          <w:marRight w:val="0"/>
          <w:marTop w:val="0"/>
          <w:marBottom w:val="0"/>
          <w:divBdr>
            <w:top w:val="none" w:sz="0" w:space="0" w:color="auto"/>
            <w:left w:val="none" w:sz="0" w:space="0" w:color="auto"/>
            <w:bottom w:val="none" w:sz="0" w:space="0" w:color="auto"/>
            <w:right w:val="none" w:sz="0" w:space="0" w:color="auto"/>
          </w:divBdr>
        </w:div>
      </w:divsChild>
    </w:div>
    <w:div w:id="1016730004">
      <w:bodyDiv w:val="1"/>
      <w:marLeft w:val="0"/>
      <w:marRight w:val="0"/>
      <w:marTop w:val="0"/>
      <w:marBottom w:val="0"/>
      <w:divBdr>
        <w:top w:val="none" w:sz="0" w:space="0" w:color="auto"/>
        <w:left w:val="none" w:sz="0" w:space="0" w:color="auto"/>
        <w:bottom w:val="none" w:sz="0" w:space="0" w:color="auto"/>
        <w:right w:val="none" w:sz="0" w:space="0" w:color="auto"/>
      </w:divBdr>
    </w:div>
    <w:div w:id="1077477970">
      <w:bodyDiv w:val="1"/>
      <w:marLeft w:val="0"/>
      <w:marRight w:val="0"/>
      <w:marTop w:val="0"/>
      <w:marBottom w:val="0"/>
      <w:divBdr>
        <w:top w:val="none" w:sz="0" w:space="0" w:color="auto"/>
        <w:left w:val="none" w:sz="0" w:space="0" w:color="auto"/>
        <w:bottom w:val="none" w:sz="0" w:space="0" w:color="auto"/>
        <w:right w:val="none" w:sz="0" w:space="0" w:color="auto"/>
      </w:divBdr>
      <w:divsChild>
        <w:div w:id="201598505">
          <w:marLeft w:val="547"/>
          <w:marRight w:val="0"/>
          <w:marTop w:val="0"/>
          <w:marBottom w:val="0"/>
          <w:divBdr>
            <w:top w:val="none" w:sz="0" w:space="0" w:color="auto"/>
            <w:left w:val="none" w:sz="0" w:space="0" w:color="auto"/>
            <w:bottom w:val="none" w:sz="0" w:space="0" w:color="auto"/>
            <w:right w:val="none" w:sz="0" w:space="0" w:color="auto"/>
          </w:divBdr>
        </w:div>
        <w:div w:id="2124492041">
          <w:marLeft w:val="547"/>
          <w:marRight w:val="0"/>
          <w:marTop w:val="0"/>
          <w:marBottom w:val="0"/>
          <w:divBdr>
            <w:top w:val="none" w:sz="0" w:space="0" w:color="auto"/>
            <w:left w:val="none" w:sz="0" w:space="0" w:color="auto"/>
            <w:bottom w:val="none" w:sz="0" w:space="0" w:color="auto"/>
            <w:right w:val="none" w:sz="0" w:space="0" w:color="auto"/>
          </w:divBdr>
        </w:div>
      </w:divsChild>
    </w:div>
    <w:div w:id="1088043165">
      <w:bodyDiv w:val="1"/>
      <w:marLeft w:val="0"/>
      <w:marRight w:val="0"/>
      <w:marTop w:val="0"/>
      <w:marBottom w:val="0"/>
      <w:divBdr>
        <w:top w:val="none" w:sz="0" w:space="0" w:color="auto"/>
        <w:left w:val="none" w:sz="0" w:space="0" w:color="auto"/>
        <w:bottom w:val="none" w:sz="0" w:space="0" w:color="auto"/>
        <w:right w:val="none" w:sz="0" w:space="0" w:color="auto"/>
      </w:divBdr>
    </w:div>
    <w:div w:id="1421372420">
      <w:bodyDiv w:val="1"/>
      <w:marLeft w:val="0"/>
      <w:marRight w:val="0"/>
      <w:marTop w:val="0"/>
      <w:marBottom w:val="0"/>
      <w:divBdr>
        <w:top w:val="none" w:sz="0" w:space="0" w:color="auto"/>
        <w:left w:val="none" w:sz="0" w:space="0" w:color="auto"/>
        <w:bottom w:val="none" w:sz="0" w:space="0" w:color="auto"/>
        <w:right w:val="none" w:sz="0" w:space="0" w:color="auto"/>
      </w:divBdr>
      <w:divsChild>
        <w:div w:id="379718590">
          <w:marLeft w:val="547"/>
          <w:marRight w:val="0"/>
          <w:marTop w:val="0"/>
          <w:marBottom w:val="0"/>
          <w:divBdr>
            <w:top w:val="none" w:sz="0" w:space="0" w:color="auto"/>
            <w:left w:val="none" w:sz="0" w:space="0" w:color="auto"/>
            <w:bottom w:val="none" w:sz="0" w:space="0" w:color="auto"/>
            <w:right w:val="none" w:sz="0" w:space="0" w:color="auto"/>
          </w:divBdr>
        </w:div>
        <w:div w:id="1892811755">
          <w:marLeft w:val="547"/>
          <w:marRight w:val="0"/>
          <w:marTop w:val="0"/>
          <w:marBottom w:val="0"/>
          <w:divBdr>
            <w:top w:val="none" w:sz="0" w:space="0" w:color="auto"/>
            <w:left w:val="none" w:sz="0" w:space="0" w:color="auto"/>
            <w:bottom w:val="none" w:sz="0" w:space="0" w:color="auto"/>
            <w:right w:val="none" w:sz="0" w:space="0" w:color="auto"/>
          </w:divBdr>
        </w:div>
      </w:divsChild>
    </w:div>
    <w:div w:id="1696343128">
      <w:bodyDiv w:val="1"/>
      <w:marLeft w:val="0"/>
      <w:marRight w:val="0"/>
      <w:marTop w:val="0"/>
      <w:marBottom w:val="0"/>
      <w:divBdr>
        <w:top w:val="none" w:sz="0" w:space="0" w:color="auto"/>
        <w:left w:val="none" w:sz="0" w:space="0" w:color="auto"/>
        <w:bottom w:val="none" w:sz="0" w:space="0" w:color="auto"/>
        <w:right w:val="none" w:sz="0" w:space="0" w:color="auto"/>
      </w:divBdr>
    </w:div>
    <w:div w:id="1801916996">
      <w:bodyDiv w:val="1"/>
      <w:marLeft w:val="0"/>
      <w:marRight w:val="0"/>
      <w:marTop w:val="0"/>
      <w:marBottom w:val="0"/>
      <w:divBdr>
        <w:top w:val="none" w:sz="0" w:space="0" w:color="auto"/>
        <w:left w:val="none" w:sz="0" w:space="0" w:color="auto"/>
        <w:bottom w:val="none" w:sz="0" w:space="0" w:color="auto"/>
        <w:right w:val="none" w:sz="0" w:space="0" w:color="auto"/>
      </w:divBdr>
      <w:divsChild>
        <w:div w:id="1878808224">
          <w:marLeft w:val="547"/>
          <w:marRight w:val="0"/>
          <w:marTop w:val="0"/>
          <w:marBottom w:val="0"/>
          <w:divBdr>
            <w:top w:val="none" w:sz="0" w:space="0" w:color="auto"/>
            <w:left w:val="none" w:sz="0" w:space="0" w:color="auto"/>
            <w:bottom w:val="none" w:sz="0" w:space="0" w:color="auto"/>
            <w:right w:val="none" w:sz="0" w:space="0" w:color="auto"/>
          </w:divBdr>
        </w:div>
      </w:divsChild>
    </w:div>
    <w:div w:id="1814105724">
      <w:bodyDiv w:val="1"/>
      <w:marLeft w:val="0"/>
      <w:marRight w:val="0"/>
      <w:marTop w:val="0"/>
      <w:marBottom w:val="0"/>
      <w:divBdr>
        <w:top w:val="none" w:sz="0" w:space="0" w:color="auto"/>
        <w:left w:val="none" w:sz="0" w:space="0" w:color="auto"/>
        <w:bottom w:val="none" w:sz="0" w:space="0" w:color="auto"/>
        <w:right w:val="none" w:sz="0" w:space="0" w:color="auto"/>
      </w:divBdr>
      <w:divsChild>
        <w:div w:id="314458213">
          <w:marLeft w:val="547"/>
          <w:marRight w:val="0"/>
          <w:marTop w:val="0"/>
          <w:marBottom w:val="0"/>
          <w:divBdr>
            <w:top w:val="none" w:sz="0" w:space="0" w:color="auto"/>
            <w:left w:val="none" w:sz="0" w:space="0" w:color="auto"/>
            <w:bottom w:val="none" w:sz="0" w:space="0" w:color="auto"/>
            <w:right w:val="none" w:sz="0" w:space="0" w:color="auto"/>
          </w:divBdr>
        </w:div>
      </w:divsChild>
    </w:div>
    <w:div w:id="2091389665">
      <w:bodyDiv w:val="1"/>
      <w:marLeft w:val="0"/>
      <w:marRight w:val="0"/>
      <w:marTop w:val="0"/>
      <w:marBottom w:val="0"/>
      <w:divBdr>
        <w:top w:val="none" w:sz="0" w:space="0" w:color="auto"/>
        <w:left w:val="none" w:sz="0" w:space="0" w:color="auto"/>
        <w:bottom w:val="none" w:sz="0" w:space="0" w:color="auto"/>
        <w:right w:val="none" w:sz="0" w:space="0" w:color="auto"/>
      </w:divBdr>
      <w:divsChild>
        <w:div w:id="91050717">
          <w:marLeft w:val="547"/>
          <w:marRight w:val="0"/>
          <w:marTop w:val="0"/>
          <w:marBottom w:val="0"/>
          <w:divBdr>
            <w:top w:val="none" w:sz="0" w:space="0" w:color="auto"/>
            <w:left w:val="none" w:sz="0" w:space="0" w:color="auto"/>
            <w:bottom w:val="none" w:sz="0" w:space="0" w:color="auto"/>
            <w:right w:val="none" w:sz="0" w:space="0" w:color="auto"/>
          </w:divBdr>
        </w:div>
        <w:div w:id="132525693">
          <w:marLeft w:val="547"/>
          <w:marRight w:val="0"/>
          <w:marTop w:val="0"/>
          <w:marBottom w:val="0"/>
          <w:divBdr>
            <w:top w:val="none" w:sz="0" w:space="0" w:color="auto"/>
            <w:left w:val="none" w:sz="0" w:space="0" w:color="auto"/>
            <w:bottom w:val="none" w:sz="0" w:space="0" w:color="auto"/>
            <w:right w:val="none" w:sz="0" w:space="0" w:color="auto"/>
          </w:divBdr>
        </w:div>
        <w:div w:id="266886920">
          <w:marLeft w:val="547"/>
          <w:marRight w:val="0"/>
          <w:marTop w:val="0"/>
          <w:marBottom w:val="0"/>
          <w:divBdr>
            <w:top w:val="none" w:sz="0" w:space="0" w:color="auto"/>
            <w:left w:val="none" w:sz="0" w:space="0" w:color="auto"/>
            <w:bottom w:val="none" w:sz="0" w:space="0" w:color="auto"/>
            <w:right w:val="none" w:sz="0" w:space="0" w:color="auto"/>
          </w:divBdr>
        </w:div>
        <w:div w:id="343017448">
          <w:marLeft w:val="547"/>
          <w:marRight w:val="0"/>
          <w:marTop w:val="0"/>
          <w:marBottom w:val="0"/>
          <w:divBdr>
            <w:top w:val="none" w:sz="0" w:space="0" w:color="auto"/>
            <w:left w:val="none" w:sz="0" w:space="0" w:color="auto"/>
            <w:bottom w:val="none" w:sz="0" w:space="0" w:color="auto"/>
            <w:right w:val="none" w:sz="0" w:space="0" w:color="auto"/>
          </w:divBdr>
        </w:div>
        <w:div w:id="530647300">
          <w:marLeft w:val="547"/>
          <w:marRight w:val="0"/>
          <w:marTop w:val="0"/>
          <w:marBottom w:val="0"/>
          <w:divBdr>
            <w:top w:val="none" w:sz="0" w:space="0" w:color="auto"/>
            <w:left w:val="none" w:sz="0" w:space="0" w:color="auto"/>
            <w:bottom w:val="none" w:sz="0" w:space="0" w:color="auto"/>
            <w:right w:val="none" w:sz="0" w:space="0" w:color="auto"/>
          </w:divBdr>
        </w:div>
        <w:div w:id="1076828528">
          <w:marLeft w:val="547"/>
          <w:marRight w:val="0"/>
          <w:marTop w:val="0"/>
          <w:marBottom w:val="0"/>
          <w:divBdr>
            <w:top w:val="none" w:sz="0" w:space="0" w:color="auto"/>
            <w:left w:val="none" w:sz="0" w:space="0" w:color="auto"/>
            <w:bottom w:val="none" w:sz="0" w:space="0" w:color="auto"/>
            <w:right w:val="none" w:sz="0" w:space="0" w:color="auto"/>
          </w:divBdr>
        </w:div>
        <w:div w:id="1223248138">
          <w:marLeft w:val="547"/>
          <w:marRight w:val="0"/>
          <w:marTop w:val="0"/>
          <w:marBottom w:val="0"/>
          <w:divBdr>
            <w:top w:val="none" w:sz="0" w:space="0" w:color="auto"/>
            <w:left w:val="none" w:sz="0" w:space="0" w:color="auto"/>
            <w:bottom w:val="none" w:sz="0" w:space="0" w:color="auto"/>
            <w:right w:val="none" w:sz="0" w:space="0" w:color="auto"/>
          </w:divBdr>
        </w:div>
        <w:div w:id="1656565041">
          <w:marLeft w:val="547"/>
          <w:marRight w:val="0"/>
          <w:marTop w:val="0"/>
          <w:marBottom w:val="0"/>
          <w:divBdr>
            <w:top w:val="none" w:sz="0" w:space="0" w:color="auto"/>
            <w:left w:val="none" w:sz="0" w:space="0" w:color="auto"/>
            <w:bottom w:val="none" w:sz="0" w:space="0" w:color="auto"/>
            <w:right w:val="none" w:sz="0" w:space="0" w:color="auto"/>
          </w:divBdr>
        </w:div>
        <w:div w:id="20740854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c.ac.uk/wp-content/uploads/2024/07/SFC-Guidance-on-Quality-for-Colleges-and-Universities-2024-25-to-2030-31-1.pdf" TargetMode="External"/><Relationship Id="rId5" Type="http://schemas.openxmlformats.org/officeDocument/2006/relationships/numbering" Target="numbering.xml"/><Relationship Id="rId15" Type="http://schemas.openxmlformats.org/officeDocument/2006/relationships/hyperlink" Target="https://www.sfc.ac.uk/publications/sfc-guidance-on-quality-for-colleges-and-universities-2024-25-to-2030-3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61C38036E09141ABAF5010D00A460A" ma:contentTypeVersion="16" ma:contentTypeDescription="Create a new document." ma:contentTypeScope="" ma:versionID="732ced06d19da7d2074364ac5791814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722b4fb4519474a522fe8a2ea250aa36"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09679-362B-40B3-8BA5-399E3DF22BA0}">
  <ds:schemaRefs>
    <ds:schemaRef ds:uri="http://www.w3.org/XML/1998/namespace"/>
    <ds:schemaRef ds:uri="http://purl.org/dc/elements/1.1/"/>
    <ds:schemaRef ds:uri="http://schemas.microsoft.com/office/infopath/2007/PartnerControls"/>
    <ds:schemaRef ds:uri="184423f7-36e3-4274-ae3c-8fc648e71b86"/>
    <ds:schemaRef ds:uri="http://schemas.microsoft.com/office/2006/documentManagement/types"/>
    <ds:schemaRef ds:uri="http://purl.org/dc/terms/"/>
    <ds:schemaRef ds:uri="19426208-2c59-44f3-9d28-64e17cefcc4a"/>
    <ds:schemaRef ds:uri="http://schemas.microsoft.com/office/2006/metadata/properties"/>
    <ds:schemaRef ds:uri="043cb786-3b6b-42c6-932f-13d852d1309b"/>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AA9080B-F54C-4C05-8C3C-4BCE137737A1}">
  <ds:schemaRefs>
    <ds:schemaRef ds:uri="http://schemas.microsoft.com/sharepoint/v3/contenttype/forms"/>
  </ds:schemaRefs>
</ds:datastoreItem>
</file>

<file path=customXml/itemProps3.xml><?xml version="1.0" encoding="utf-8"?>
<ds:datastoreItem xmlns:ds="http://schemas.openxmlformats.org/officeDocument/2006/customXml" ds:itemID="{679A5F5E-F647-4204-9B46-C2C96C0D2024}">
  <ds:schemaRefs>
    <ds:schemaRef ds:uri="http://schemas.openxmlformats.org/officeDocument/2006/bibliography"/>
  </ds:schemaRefs>
</ds:datastoreItem>
</file>

<file path=customXml/itemProps4.xml><?xml version="1.0" encoding="utf-8"?>
<ds:datastoreItem xmlns:ds="http://schemas.openxmlformats.org/officeDocument/2006/customXml" ds:itemID="{2A8BFF92-F646-4C79-9F6E-0EAACFFF156F}"/>
</file>

<file path=docProps/app.xml><?xml version="1.0" encoding="utf-8"?>
<Properties xmlns="http://schemas.openxmlformats.org/officeDocument/2006/extended-properties" xmlns:vt="http://schemas.openxmlformats.org/officeDocument/2006/docPropsVTypes">
  <Template>Normal.dotm</Template>
  <TotalTime>1</TotalTime>
  <Pages>10</Pages>
  <Words>1010</Words>
  <Characters>5760</Characters>
  <Application>Microsoft Office Word</Application>
  <DocSecurity>0</DocSecurity>
  <Lines>48</Lines>
  <Paragraphs>13</Paragraphs>
  <ScaleCrop>false</ScaleCrop>
  <Company>Napier University</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Institution-Led Review Schedule 2024/25 onwards</dc:title>
  <dc:subject/>
  <dc:creator>en62</dc:creator>
  <cp:keywords/>
  <cp:lastModifiedBy>Swanton, Katrina</cp:lastModifiedBy>
  <cp:revision>2</cp:revision>
  <dcterms:created xsi:type="dcterms:W3CDTF">2024-10-29T10:09:00Z</dcterms:created>
  <dcterms:modified xsi:type="dcterms:W3CDTF">2024-10-29T10:09:00Z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0x010100DC61C38036E09141ABAF5010D00A460A</vt:lpwstr>
  </property>
  <property fmtid="{D5CDD505-2E9C-101B-9397-08002B2CF9AE}" pid="3" name="Order">
    <vt:r8>1100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ource_item_id">
    <vt:lpwstr>source_item_id:28</vt:lpwstr>
  </property>
  <property fmtid="{D5CDD505-2E9C-101B-9397-08002B2CF9AE}" pid="8" name="MediaServiceImageTags">
    <vt:lpwstr/>
  </property>
</Properties>
</file>