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5559" w14:textId="03EF537F" w:rsidR="00D01EDF" w:rsidRPr="00FE4CCC" w:rsidRDefault="000463C8" w:rsidP="00FE4CCC">
      <w:pPr>
        <w:jc w:val="center"/>
        <w:rPr>
          <w:rFonts w:ascii="Titillium" w:eastAsiaTheme="minorEastAsia" w:hAnsi="Titillium"/>
          <w:b/>
          <w:color w:val="579FBB"/>
          <w:sz w:val="28"/>
          <w:szCs w:val="28"/>
        </w:rPr>
      </w:pPr>
      <w:r w:rsidRPr="00FE4CCC">
        <w:rPr>
          <w:rFonts w:ascii="Titillium" w:eastAsiaTheme="minorEastAsia" w:hAnsi="Titillium"/>
          <w:b/>
          <w:color w:val="579FBB"/>
          <w:sz w:val="28"/>
          <w:szCs w:val="28"/>
        </w:rPr>
        <w:t>Additional Annual Leave Purchase Scheme</w:t>
      </w:r>
    </w:p>
    <w:p w14:paraId="50F911E9" w14:textId="441C1F76" w:rsidR="006A2BA0" w:rsidRPr="00FE4CCC" w:rsidRDefault="00257A59" w:rsidP="00FE4CCC">
      <w:pPr>
        <w:jc w:val="center"/>
        <w:rPr>
          <w:rFonts w:ascii="Titillium" w:eastAsiaTheme="minorEastAsia" w:hAnsi="Titillium"/>
          <w:sz w:val="28"/>
          <w:szCs w:val="28"/>
        </w:rPr>
      </w:pPr>
      <w:r w:rsidRPr="00FE4CCC">
        <w:rPr>
          <w:rFonts w:ascii="Titillium" w:eastAsiaTheme="minorEastAsia" w:hAnsi="Titillium"/>
          <w:color w:val="579FBB"/>
          <w:sz w:val="28"/>
          <w:szCs w:val="28"/>
        </w:rPr>
        <w:t>Frequently Asked Questions</w:t>
      </w:r>
    </w:p>
    <w:p w14:paraId="2AF68EF8" w14:textId="77777777" w:rsidR="00B05726" w:rsidRPr="00FE4CCC" w:rsidRDefault="00B05726" w:rsidP="00FE4CCC">
      <w:pPr>
        <w:jc w:val="both"/>
        <w:rPr>
          <w:rFonts w:ascii="Titillium" w:eastAsiaTheme="minorEastAsia" w:hAnsi="Titillium"/>
          <w:sz w:val="20"/>
          <w:szCs w:val="20"/>
        </w:rPr>
      </w:pPr>
    </w:p>
    <w:p w14:paraId="3CE65858" w14:textId="01CD0D1B" w:rsidR="00721EFD" w:rsidRPr="00FE4CCC" w:rsidRDefault="00721EFD" w:rsidP="00FE4CCC">
      <w:pPr>
        <w:jc w:val="both"/>
        <w:rPr>
          <w:rFonts w:ascii="Titillium" w:eastAsiaTheme="minorEastAsia" w:hAnsi="Titillium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4"/>
      </w:tblGrid>
      <w:tr w:rsidR="004640D9" w:rsidRPr="00FE4CCC" w14:paraId="1809E1B0" w14:textId="77777777" w:rsidTr="00A35CA7"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1C5AC47B" w14:textId="798CBBF3" w:rsidR="004640D9" w:rsidRPr="00FE4CCC" w:rsidRDefault="006E56EF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Do I need to have a special reason to purchase annual leave</w:t>
            </w:r>
            <w:r w:rsidR="004409CA"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61306119" w14:textId="7F23C726" w:rsidR="00824338" w:rsidRPr="00FE4CCC" w:rsidRDefault="0034261B" w:rsidP="00FE4CCC">
            <w:pPr>
              <w:jc w:val="both"/>
              <w:rPr>
                <w:rFonts w:ascii="Titillium" w:hAnsi="Titillium"/>
                <w:color w:val="000000" w:themeColor="text1"/>
                <w:sz w:val="20"/>
                <w:szCs w:val="20"/>
              </w:rPr>
            </w:pPr>
            <w:r w:rsidRPr="00FE4CCC">
              <w:rPr>
                <w:rFonts w:ascii="Titillium" w:hAnsi="Titillium"/>
                <w:color w:val="414042"/>
                <w:sz w:val="20"/>
                <w:szCs w:val="20"/>
              </w:rPr>
              <w:t>You can</w:t>
            </w:r>
            <w:r w:rsidR="00634A14" w:rsidRPr="00FE4CCC">
              <w:rPr>
                <w:rFonts w:ascii="Titillium" w:hAnsi="Titillium"/>
                <w:color w:val="414042"/>
                <w:sz w:val="20"/>
                <w:szCs w:val="20"/>
              </w:rPr>
              <w:t xml:space="preserve"> select to purchase </w:t>
            </w:r>
            <w:r w:rsidRPr="00FE4CCC">
              <w:rPr>
                <w:rFonts w:ascii="Titillium" w:hAnsi="Titillium"/>
                <w:color w:val="414042"/>
                <w:sz w:val="20"/>
                <w:szCs w:val="20"/>
              </w:rPr>
              <w:t>additional annual leave days</w:t>
            </w:r>
            <w:r w:rsidR="00634A14" w:rsidRPr="00FE4CCC">
              <w:rPr>
                <w:rFonts w:ascii="Titillium" w:hAnsi="Titillium"/>
                <w:color w:val="414042"/>
                <w:sz w:val="20"/>
                <w:szCs w:val="20"/>
              </w:rPr>
              <w:t>, during the benefits window</w:t>
            </w:r>
            <w:r w:rsidR="003C2A3D">
              <w:rPr>
                <w:rFonts w:ascii="Titillium" w:hAnsi="Titillium"/>
                <w:color w:val="414042"/>
                <w:sz w:val="20"/>
                <w:szCs w:val="20"/>
              </w:rPr>
              <w:t>s</w:t>
            </w:r>
            <w:r w:rsidR="00634A14" w:rsidRPr="00FE4CCC">
              <w:rPr>
                <w:rFonts w:ascii="Titillium" w:hAnsi="Titillium"/>
                <w:color w:val="414042"/>
                <w:sz w:val="20"/>
                <w:szCs w:val="20"/>
              </w:rPr>
              <w:t xml:space="preserve">, which </w:t>
            </w:r>
            <w:r w:rsidR="00FE4CCC" w:rsidRPr="00FE4CCC">
              <w:rPr>
                <w:rFonts w:ascii="Titillium" w:hAnsi="Titillium"/>
                <w:color w:val="414042"/>
                <w:sz w:val="20"/>
                <w:szCs w:val="20"/>
              </w:rPr>
              <w:t xml:space="preserve">opens for the month of </w:t>
            </w:r>
            <w:r w:rsidR="00634A14" w:rsidRPr="00FE4CCC">
              <w:rPr>
                <w:rFonts w:ascii="Titillium" w:hAnsi="Titillium"/>
                <w:color w:val="414042"/>
                <w:sz w:val="20"/>
                <w:szCs w:val="20"/>
              </w:rPr>
              <w:t>August</w:t>
            </w:r>
            <w:r w:rsidR="003C2A3D">
              <w:rPr>
                <w:rFonts w:ascii="Titillium" w:hAnsi="Titillium"/>
                <w:color w:val="414042"/>
                <w:sz w:val="20"/>
                <w:szCs w:val="20"/>
              </w:rPr>
              <w:t xml:space="preserve"> and February</w:t>
            </w:r>
            <w:r w:rsidR="00634A14" w:rsidRPr="00FE4CCC">
              <w:rPr>
                <w:rFonts w:ascii="Titillium" w:hAnsi="Titillium"/>
                <w:color w:val="414042"/>
                <w:sz w:val="20"/>
                <w:szCs w:val="20"/>
              </w:rPr>
              <w:t xml:space="preserve"> each year</w:t>
            </w:r>
            <w:r w:rsidR="00FE4CCC" w:rsidRPr="00FE4CCC">
              <w:rPr>
                <w:rFonts w:ascii="Titillium" w:hAnsi="Titillium"/>
                <w:color w:val="414042"/>
                <w:sz w:val="20"/>
                <w:szCs w:val="20"/>
              </w:rPr>
              <w:t>.</w:t>
            </w:r>
            <w:r w:rsidRPr="00FE4CCC">
              <w:rPr>
                <w:rFonts w:ascii="Titillium" w:hAnsi="Titillium"/>
                <w:color w:val="414042"/>
                <w:sz w:val="20"/>
                <w:szCs w:val="20"/>
              </w:rPr>
              <w:t xml:space="preserve">  The</w:t>
            </w:r>
            <w:r w:rsidR="001D13AD" w:rsidRPr="00FE4CCC">
              <w:rPr>
                <w:rFonts w:ascii="Titillium" w:hAnsi="Titillium"/>
                <w:color w:val="414042"/>
                <w:sz w:val="20"/>
                <w:szCs w:val="20"/>
              </w:rPr>
              <w:t>se days will be</w:t>
            </w:r>
            <w:r w:rsidRPr="00FE4CCC">
              <w:rPr>
                <w:rFonts w:ascii="Titillium" w:hAnsi="Titillium"/>
                <w:color w:val="414042"/>
                <w:sz w:val="20"/>
                <w:szCs w:val="20"/>
              </w:rPr>
              <w:t xml:space="preserve"> treated as </w:t>
            </w:r>
            <w:r w:rsidR="0060083B" w:rsidRPr="00FE4CCC">
              <w:rPr>
                <w:rFonts w:ascii="Titillium" w:hAnsi="Titillium"/>
                <w:color w:val="414042"/>
                <w:sz w:val="20"/>
                <w:szCs w:val="20"/>
              </w:rPr>
              <w:t xml:space="preserve">a temporary addition to your existing leave entitlement. </w:t>
            </w:r>
            <w:r w:rsidR="00823AA3" w:rsidRPr="00FE4CCC">
              <w:rPr>
                <w:rFonts w:ascii="Titillium" w:hAnsi="Titillium"/>
                <w:color w:val="414042"/>
                <w:sz w:val="20"/>
                <w:szCs w:val="20"/>
              </w:rPr>
              <w:t xml:space="preserve"> </w:t>
            </w:r>
            <w:r w:rsidR="004409CA" w:rsidRPr="00FE4CCC">
              <w:rPr>
                <w:rFonts w:ascii="Titillium" w:hAnsi="Titillium"/>
                <w:color w:val="414042"/>
                <w:sz w:val="20"/>
                <w:szCs w:val="20"/>
              </w:rPr>
              <w:t xml:space="preserve"> </w:t>
            </w:r>
            <w:r w:rsidR="00C128B9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However</w:t>
            </w:r>
            <w:r w:rsidR="004409CA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,</w:t>
            </w:r>
            <w:r w:rsidR="00C128B9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</w:t>
            </w:r>
            <w:r w:rsidR="00C128B9" w:rsidRPr="00FE4CCC">
              <w:rPr>
                <w:rFonts w:ascii="Titillium" w:hAnsi="Titillium"/>
                <w:color w:val="000000"/>
                <w:sz w:val="20"/>
                <w:szCs w:val="20"/>
              </w:rPr>
              <w:t>it</w:t>
            </w:r>
            <w:r w:rsidR="004409CA" w:rsidRPr="00FE4CCC">
              <w:rPr>
                <w:rFonts w:ascii="Titillium" w:hAnsi="Titillium"/>
                <w:color w:val="000000"/>
                <w:sz w:val="20"/>
                <w:szCs w:val="20"/>
              </w:rPr>
              <w:t xml:space="preserve"> is helpful </w:t>
            </w:r>
            <w:r w:rsidR="00C128B9" w:rsidRPr="00FE4CCC">
              <w:rPr>
                <w:rFonts w:ascii="Titillium" w:hAnsi="Titillium"/>
                <w:color w:val="000000"/>
                <w:sz w:val="20"/>
                <w:szCs w:val="20"/>
              </w:rPr>
              <w:t>to indicate to your manager when you make the application of when you are likely to want to take the additional leave</w:t>
            </w:r>
            <w:r w:rsidRPr="00FE4CCC">
              <w:rPr>
                <w:rFonts w:ascii="Titillium" w:hAnsi="Titillium"/>
                <w:color w:val="000000"/>
                <w:sz w:val="20"/>
                <w:szCs w:val="20"/>
              </w:rPr>
              <w:t xml:space="preserve"> so that they can consider this as part of the approval process</w:t>
            </w:r>
            <w:r w:rsidR="004409CA" w:rsidRPr="00FE4CCC">
              <w:rPr>
                <w:rFonts w:ascii="Titillium" w:hAnsi="Titillium"/>
                <w:color w:val="000000"/>
                <w:sz w:val="20"/>
                <w:szCs w:val="20"/>
              </w:rPr>
              <w:t>.</w:t>
            </w:r>
          </w:p>
        </w:tc>
      </w:tr>
      <w:tr w:rsidR="004640D9" w:rsidRPr="00FE4CCC" w14:paraId="16413A5E" w14:textId="77777777" w:rsidTr="00A35CA7"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277DDF14" w14:textId="741C8EE7" w:rsidR="004640D9" w:rsidRPr="00FE4CCC" w:rsidRDefault="006E56EF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How many days can I purchase?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22E3BFC9" w14:textId="53192253" w:rsidR="009821B6" w:rsidRPr="00FE4CCC" w:rsidRDefault="0034261B" w:rsidP="00FE4CCC">
            <w:pPr>
              <w:spacing w:before="120"/>
              <w:jc w:val="both"/>
              <w:rPr>
                <w:rFonts w:ascii="Titillium" w:hAnsi="Titillium"/>
                <w:color w:val="000000" w:themeColor="text1"/>
                <w:sz w:val="20"/>
                <w:szCs w:val="20"/>
              </w:rPr>
            </w:pPr>
            <w:r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If you are full-time, you </w:t>
            </w:r>
            <w:r w:rsidR="00C128B9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can apply for up to </w:t>
            </w:r>
            <w:r w:rsidR="00390CB2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5</w:t>
            </w:r>
            <w:r w:rsidR="00C128B9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days a year</w:t>
            </w:r>
            <w:r w:rsidR="00474D07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, based on your contracted hours of work.   Academic and research staff can buy up to 35 hours and support and technical staff, can buy up to 36.25 hours.</w:t>
            </w:r>
            <w:r w:rsidR="00C128B9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821B6" w:rsidRPr="00FE4CCC" w14:paraId="332554DA" w14:textId="77777777" w:rsidTr="00A35CA7"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33095B2C" w14:textId="05EFC9E9" w:rsidR="009821B6" w:rsidRPr="00FE4CCC" w:rsidRDefault="009821B6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I work park time</w:t>
            </w:r>
            <w:r w:rsidR="0034261B"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, how many days can I purchase?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08FB7E34" w14:textId="24DBC94E" w:rsidR="009821B6" w:rsidRPr="00FE4CCC" w:rsidRDefault="0034261B" w:rsidP="00FE4CCC">
            <w:pPr>
              <w:spacing w:before="120"/>
              <w:jc w:val="both"/>
              <w:rPr>
                <w:rFonts w:ascii="Titillium" w:hAnsi="Titillium"/>
                <w:color w:val="000000" w:themeColor="text1"/>
                <w:sz w:val="20"/>
                <w:szCs w:val="20"/>
              </w:rPr>
            </w:pPr>
            <w:r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If you are part-time, you will be </w:t>
            </w:r>
            <w:r w:rsidR="00474D07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able to purchase up to </w:t>
            </w:r>
            <w:r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your</w:t>
            </w:r>
            <w:r w:rsidR="00FE4CCC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weekly</w:t>
            </w:r>
            <w:r w:rsidR="00474D07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contractual hours.</w:t>
            </w:r>
          </w:p>
        </w:tc>
      </w:tr>
      <w:tr w:rsidR="00D01EDF" w:rsidRPr="00FE4CCC" w14:paraId="48B806C2" w14:textId="77777777" w:rsidTr="00A35CA7">
        <w:trPr>
          <w:trHeight w:val="768"/>
        </w:trPr>
        <w:tc>
          <w:tcPr>
            <w:tcW w:w="2410" w:type="dxa"/>
            <w:tcBorders>
              <w:top w:val="single" w:sz="4" w:space="0" w:color="579FBB"/>
              <w:bottom w:val="nil"/>
              <w:right w:val="single" w:sz="4" w:space="0" w:color="579FBB"/>
            </w:tcBorders>
          </w:tcPr>
          <w:p w14:paraId="31C5CE76" w14:textId="0139390B" w:rsidR="00D01EDF" w:rsidRPr="00FE4CCC" w:rsidRDefault="006E56EF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D7D31" w:themeColor="accent2"/>
                <w:sz w:val="20"/>
                <w:szCs w:val="20"/>
                <w:lang w:eastAsia="en-GB"/>
              </w:rPr>
              <w:t xml:space="preserve">When can I purchase </w:t>
            </w:r>
            <w:r w:rsidR="004409CA" w:rsidRPr="00FE4CCC">
              <w:rPr>
                <w:rFonts w:ascii="Titillium" w:hAnsi="Titillium"/>
                <w:b/>
                <w:color w:val="ED7D31" w:themeColor="accent2"/>
                <w:sz w:val="20"/>
                <w:szCs w:val="20"/>
                <w:lang w:eastAsia="en-GB"/>
              </w:rPr>
              <w:t xml:space="preserve">additional </w:t>
            </w:r>
            <w:r w:rsidRPr="00FE4CCC">
              <w:rPr>
                <w:rFonts w:ascii="Titillium" w:hAnsi="Titillium"/>
                <w:b/>
                <w:color w:val="ED7D31" w:themeColor="accent2"/>
                <w:sz w:val="20"/>
                <w:szCs w:val="20"/>
                <w:lang w:eastAsia="en-GB"/>
              </w:rPr>
              <w:t>days?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nil"/>
            </w:tcBorders>
          </w:tcPr>
          <w:p w14:paraId="0C8E4349" w14:textId="199673F1" w:rsidR="0060083B" w:rsidRPr="00FE4CCC" w:rsidRDefault="009821B6" w:rsidP="00FE4CCC">
            <w:pPr>
              <w:jc w:val="both"/>
              <w:rPr>
                <w:rFonts w:ascii="Titillium" w:hAnsi="Titillium"/>
                <w:color w:val="000000" w:themeColor="text1"/>
                <w:sz w:val="20"/>
                <w:szCs w:val="20"/>
              </w:rPr>
            </w:pPr>
            <w:r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Th</w:t>
            </w:r>
            <w:r w:rsidR="00C128B9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e window to apply for the scheme </w:t>
            </w:r>
            <w:r w:rsidR="00293C1B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opens for the month</w:t>
            </w:r>
            <w:r w:rsidR="003C2A3D">
              <w:rPr>
                <w:rFonts w:ascii="Titillium" w:hAnsi="Titillium"/>
                <w:color w:val="000000" w:themeColor="text1"/>
                <w:sz w:val="20"/>
                <w:szCs w:val="20"/>
              </w:rPr>
              <w:t>s</w:t>
            </w:r>
            <w:r w:rsidR="00293C1B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of </w:t>
            </w:r>
            <w:r w:rsidR="002B03BB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August</w:t>
            </w:r>
            <w:r w:rsidR="00D57BEC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</w:t>
            </w:r>
            <w:r w:rsidR="003C2A3D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and February </w:t>
            </w:r>
            <w:r w:rsidR="00293C1B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each year </w:t>
            </w:r>
            <w:r w:rsidR="00D57BEC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for</w:t>
            </w:r>
            <w:r w:rsidR="00823AA3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additional leave</w:t>
            </w:r>
            <w:r w:rsidR="004409CA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commencing from the start of the annual leave year</w:t>
            </w:r>
            <w:r w:rsidR="001D13AD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(1 September each year).</w:t>
            </w:r>
          </w:p>
        </w:tc>
      </w:tr>
      <w:tr w:rsidR="00D63DF2" w:rsidRPr="00FE4CCC" w14:paraId="4768EF96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15013DE0" w14:textId="1418AEAC" w:rsidR="00D63DF2" w:rsidRPr="00FE4CCC" w:rsidRDefault="006E56EF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sz w:val="20"/>
                <w:szCs w:val="20"/>
                <w:lang w:eastAsia="en-GB"/>
              </w:rPr>
            </w:pPr>
            <w:bookmarkStart w:id="0" w:name="_Hlk94776599"/>
            <w:r w:rsidRPr="00FE4CCC">
              <w:rPr>
                <w:rFonts w:ascii="Titillium" w:hAnsi="Titillium"/>
                <w:b/>
                <w:color w:val="ED7D31" w:themeColor="accent2"/>
                <w:sz w:val="20"/>
                <w:szCs w:val="20"/>
                <w:lang w:eastAsia="en-GB"/>
              </w:rPr>
              <w:t>How much will it cost me?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79FAA5A7" w14:textId="53A5B1B8" w:rsidR="00474D07" w:rsidRPr="00FE4CCC" w:rsidRDefault="00C128B9" w:rsidP="00FE4CCC">
            <w:pPr>
              <w:spacing w:before="120"/>
              <w:jc w:val="both"/>
              <w:rPr>
                <w:rFonts w:ascii="Titillium" w:hAnsi="Titillium"/>
                <w:sz w:val="20"/>
                <w:szCs w:val="20"/>
              </w:rPr>
            </w:pPr>
            <w:r w:rsidRPr="00FE4CCC">
              <w:rPr>
                <w:rFonts w:ascii="Titillium" w:hAnsi="Titillium"/>
                <w:sz w:val="20"/>
                <w:szCs w:val="20"/>
              </w:rPr>
              <w:t>The University has produced a calculator which pro</w:t>
            </w:r>
            <w:r w:rsidR="00823AA3" w:rsidRPr="00FE4CCC">
              <w:rPr>
                <w:rFonts w:ascii="Titillium" w:hAnsi="Titillium"/>
                <w:sz w:val="20"/>
                <w:szCs w:val="20"/>
              </w:rPr>
              <w:t>vides an estimate of the cost:</w:t>
            </w:r>
          </w:p>
          <w:p w14:paraId="3CB80427" w14:textId="25277632" w:rsidR="00823AA3" w:rsidRPr="00FE4CCC" w:rsidRDefault="00823AA3" w:rsidP="00A35CA7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tillium" w:hAnsi="Titillium"/>
                <w:sz w:val="20"/>
                <w:szCs w:val="20"/>
              </w:rPr>
            </w:pPr>
            <w:r w:rsidRPr="00FE4CCC">
              <w:rPr>
                <w:rFonts w:ascii="Titillium" w:hAnsi="Titillium"/>
                <w:sz w:val="20"/>
                <w:szCs w:val="20"/>
              </w:rPr>
              <w:t>Weekly hours X 52 = Annual Hours</w:t>
            </w:r>
          </w:p>
          <w:p w14:paraId="087683A9" w14:textId="3A225F10" w:rsidR="00474D07" w:rsidRPr="00FE4CCC" w:rsidRDefault="00474D07" w:rsidP="00A35CA7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tillium" w:hAnsi="Titillium"/>
                <w:sz w:val="20"/>
                <w:szCs w:val="20"/>
              </w:rPr>
            </w:pPr>
            <w:r w:rsidRPr="00FE4CCC">
              <w:rPr>
                <w:rFonts w:ascii="Titillium" w:hAnsi="Titillium"/>
                <w:sz w:val="20"/>
                <w:szCs w:val="20"/>
              </w:rPr>
              <w:t>Annual Salary/Annual hours = Hourly rate</w:t>
            </w:r>
          </w:p>
          <w:p w14:paraId="7809EBC0" w14:textId="112C8B1C" w:rsidR="00474D07" w:rsidRPr="00FE4CCC" w:rsidRDefault="00474D07" w:rsidP="00A35CA7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tillium" w:hAnsi="Titillium"/>
                <w:sz w:val="20"/>
                <w:szCs w:val="20"/>
              </w:rPr>
            </w:pPr>
            <w:r w:rsidRPr="00FE4CCC">
              <w:rPr>
                <w:rFonts w:ascii="Titillium" w:hAnsi="Titillium"/>
                <w:sz w:val="20"/>
                <w:szCs w:val="20"/>
              </w:rPr>
              <w:t>Hourly rate X the number of hours purchased = Cost over the year</w:t>
            </w:r>
          </w:p>
          <w:p w14:paraId="6BAF8407" w14:textId="2AA029C5" w:rsidR="00D63DF2" w:rsidRPr="00FE4CCC" w:rsidRDefault="00474D07" w:rsidP="00A35CA7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tillium" w:hAnsi="Titillium"/>
                <w:sz w:val="20"/>
                <w:szCs w:val="20"/>
              </w:rPr>
            </w:pPr>
            <w:r w:rsidRPr="00FE4CCC">
              <w:rPr>
                <w:rFonts w:ascii="Titillium" w:hAnsi="Titillium"/>
                <w:sz w:val="20"/>
                <w:szCs w:val="20"/>
              </w:rPr>
              <w:t>Cost over year/12 months</w:t>
            </w:r>
            <w:r w:rsidR="00D13BB1">
              <w:rPr>
                <w:rFonts w:ascii="Titillium" w:hAnsi="Titillium"/>
                <w:sz w:val="20"/>
                <w:szCs w:val="20"/>
              </w:rPr>
              <w:t xml:space="preserve"> OR 6month </w:t>
            </w:r>
            <w:r w:rsidR="00445A37">
              <w:rPr>
                <w:rFonts w:ascii="Titillium" w:hAnsi="Titillium"/>
                <w:sz w:val="20"/>
                <w:szCs w:val="20"/>
              </w:rPr>
              <w:t>(if</w:t>
            </w:r>
            <w:r w:rsidR="00D13BB1">
              <w:rPr>
                <w:rFonts w:ascii="Titillium" w:hAnsi="Titillium"/>
                <w:sz w:val="20"/>
                <w:szCs w:val="20"/>
              </w:rPr>
              <w:t xml:space="preserve"> buying in February)</w:t>
            </w:r>
            <w:r w:rsidRPr="00FE4CCC">
              <w:rPr>
                <w:rFonts w:ascii="Titillium" w:hAnsi="Titillium"/>
                <w:sz w:val="20"/>
                <w:szCs w:val="20"/>
              </w:rPr>
              <w:t xml:space="preserve"> = monthly cost</w:t>
            </w:r>
          </w:p>
        </w:tc>
      </w:tr>
      <w:bookmarkEnd w:id="0"/>
      <w:tr w:rsidR="0035294D" w:rsidRPr="00FE4CCC" w14:paraId="6FE38DB5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7103F91C" w14:textId="631314E9" w:rsidR="0035294D" w:rsidRPr="00FE4CCC" w:rsidRDefault="0035294D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D7D31" w:themeColor="accent2"/>
                <w:sz w:val="20"/>
                <w:szCs w:val="20"/>
                <w:lang w:eastAsia="en-GB"/>
              </w:rPr>
              <w:t>Do I pay tax and national insurance on the annual leave purchase deduction?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4078A876" w14:textId="3E5E19FE" w:rsidR="0035294D" w:rsidRPr="00FE4CCC" w:rsidRDefault="0035294D" w:rsidP="00FE4CCC">
            <w:pPr>
              <w:spacing w:before="120"/>
              <w:jc w:val="both"/>
              <w:rPr>
                <w:rFonts w:ascii="Titillium" w:hAnsi="Titillium"/>
                <w:sz w:val="20"/>
                <w:szCs w:val="20"/>
              </w:rPr>
            </w:pPr>
            <w:r w:rsidRPr="00FE4CCC">
              <w:rPr>
                <w:rFonts w:ascii="Titillium" w:hAnsi="Titillium"/>
                <w:sz w:val="20"/>
                <w:szCs w:val="20"/>
              </w:rPr>
              <w:t>The indicative figure is the gross annual cost of the additional annual leave days purchased.     The monthly deduction will reduce your tax and national insurance deductions.</w:t>
            </w:r>
          </w:p>
        </w:tc>
      </w:tr>
      <w:tr w:rsidR="0060083B" w:rsidRPr="00FE4CCC" w14:paraId="1C7829D7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6458CDDD" w14:textId="5E091944" w:rsidR="0060083B" w:rsidRPr="00FE4CCC" w:rsidRDefault="0060083B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How will I pay for the additional leave</w:t>
            </w:r>
            <w:r w:rsidR="0034261B"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3DDE83EE" w14:textId="6BB8839A" w:rsidR="0060083B" w:rsidRPr="00A35CA7" w:rsidRDefault="0034261B" w:rsidP="00FE4CCC">
            <w:pPr>
              <w:spacing w:before="120"/>
              <w:jc w:val="both"/>
              <w:rPr>
                <w:rFonts w:ascii="Titillium" w:hAnsi="Titillium"/>
                <w:color w:val="000000" w:themeColor="text1"/>
                <w:sz w:val="20"/>
                <w:szCs w:val="20"/>
              </w:rPr>
            </w:pPr>
            <w:r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Deductions will be made</w:t>
            </w:r>
            <w:r w:rsidR="00D57BEC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from your salary over</w:t>
            </w:r>
            <w:r w:rsidR="003C2A3D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6 or</w:t>
            </w:r>
            <w:r w:rsidR="00D57BEC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12 months</w:t>
            </w:r>
            <w:r w:rsidR="00634A14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, commencing from your September salary</w:t>
            </w:r>
            <w:r w:rsidR="003C2A3D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for annual leave bought during the August benefits window and your March salary for annual leave bought during the February benefits window.    Final</w:t>
            </w:r>
            <w:r w:rsidR="00634A14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de</w:t>
            </w:r>
            <w:r w:rsidR="001D13AD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duction</w:t>
            </w:r>
            <w:r w:rsidR="003C2A3D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s are</w:t>
            </w:r>
            <w:r w:rsidR="00634A14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taken from</w:t>
            </w:r>
            <w:r w:rsidR="003C2A3D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the</w:t>
            </w:r>
            <w:r w:rsidR="00634A14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Augu</w:t>
            </w:r>
            <w:r w:rsidR="001D13AD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st</w:t>
            </w:r>
            <w:r w:rsidR="00634A14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salary </w:t>
            </w:r>
            <w:r w:rsidR="003C2A3D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payment</w:t>
            </w:r>
            <w:r w:rsidR="00634A14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.</w:t>
            </w:r>
            <w:r w:rsidR="00D57BEC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4A8F" w:rsidRPr="00FE4CCC" w14:paraId="144210A0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61631E09" w14:textId="10E0807C" w:rsidR="00014A8F" w:rsidRPr="00FE4CCC" w:rsidRDefault="00014A8F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bookmarkStart w:id="1" w:name="_Hlk94776664"/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How do I apply?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59486CCD" w14:textId="77777777" w:rsidR="00A35CA7" w:rsidRPr="00A35CA7" w:rsidRDefault="00A35CA7" w:rsidP="00A35CA7">
            <w:pPr>
              <w:numPr>
                <w:ilvl w:val="0"/>
                <w:numId w:val="2"/>
              </w:numPr>
              <w:shd w:val="clear" w:color="auto" w:fill="FFFFFF"/>
              <w:rPr>
                <w:rFonts w:ascii="Titillium" w:hAnsi="Titillium" w:cstheme="minorHAnsi"/>
                <w:sz w:val="20"/>
                <w:szCs w:val="20"/>
                <w:lang w:eastAsia="en-GB"/>
              </w:rPr>
            </w:pPr>
            <w:r w:rsidRPr="00A35CA7">
              <w:rPr>
                <w:rFonts w:ascii="Titillium" w:hAnsi="Titillium" w:cstheme="minorHAnsi"/>
                <w:sz w:val="20"/>
                <w:szCs w:val="20"/>
                <w:lang w:eastAsia="en-GB"/>
              </w:rPr>
              <w:t>Login to</w:t>
            </w:r>
            <w:r>
              <w:rPr>
                <w:rFonts w:ascii="inherit" w:hAnsi="inherit"/>
                <w:color w:val="666666"/>
                <w:sz w:val="19"/>
                <w:szCs w:val="19"/>
                <w:bdr w:val="none" w:sz="0" w:space="0" w:color="auto" w:frame="1"/>
              </w:rPr>
              <w:t> </w:t>
            </w:r>
            <w:hyperlink r:id="rId11" w:anchor="/login" w:tgtFrame="_blank" w:history="1">
              <w:r>
                <w:rPr>
                  <w:rStyle w:val="Hyperlink"/>
                  <w:rFonts w:ascii="inherit" w:hAnsi="inherit"/>
                  <w:color w:val="0072BC"/>
                  <w:sz w:val="19"/>
                  <w:szCs w:val="19"/>
                  <w:bdr w:val="none" w:sz="0" w:space="0" w:color="auto" w:frame="1"/>
                </w:rPr>
                <w:t>HR Connect​</w:t>
              </w:r>
            </w:hyperlink>
            <w:r>
              <w:rPr>
                <w:rFonts w:ascii="inherit" w:hAnsi="inherit"/>
                <w:color w:val="666666"/>
                <w:sz w:val="19"/>
                <w:szCs w:val="19"/>
                <w:bdr w:val="none" w:sz="0" w:space="0" w:color="auto" w:frame="1"/>
              </w:rPr>
              <w:t> </w:t>
            </w:r>
            <w:r w:rsidRPr="00A35CA7">
              <w:rPr>
                <w:rFonts w:ascii="Titillium" w:hAnsi="Titillium" w:cstheme="minorHAnsi"/>
                <w:sz w:val="20"/>
                <w:szCs w:val="20"/>
                <w:lang w:eastAsia="en-GB"/>
              </w:rPr>
              <w:t>and click on 'My Time' on the left hand side of the screen.</w:t>
            </w:r>
          </w:p>
          <w:p w14:paraId="4A82D7C1" w14:textId="77777777" w:rsidR="00A35CA7" w:rsidRPr="00A35CA7" w:rsidRDefault="00A35CA7" w:rsidP="00A35CA7">
            <w:pPr>
              <w:numPr>
                <w:ilvl w:val="0"/>
                <w:numId w:val="2"/>
              </w:numPr>
              <w:shd w:val="clear" w:color="auto" w:fill="FFFFFF"/>
              <w:rPr>
                <w:rFonts w:ascii="Titillium" w:hAnsi="Titillium" w:cstheme="minorHAnsi"/>
                <w:sz w:val="20"/>
                <w:szCs w:val="20"/>
                <w:lang w:eastAsia="en-GB"/>
              </w:rPr>
            </w:pPr>
            <w:r w:rsidRPr="00A35CA7">
              <w:rPr>
                <w:rFonts w:ascii="Titillium" w:hAnsi="Titillium" w:cstheme="minorHAnsi"/>
                <w:sz w:val="20"/>
                <w:szCs w:val="20"/>
                <w:lang w:eastAsia="en-GB"/>
              </w:rPr>
              <w:t>With the 'Holiday' card click on 'Buy and Sell'.</w:t>
            </w:r>
          </w:p>
          <w:p w14:paraId="189BD471" w14:textId="77777777" w:rsidR="00A35CA7" w:rsidRPr="00A35CA7" w:rsidRDefault="00A35CA7" w:rsidP="00A35CA7">
            <w:pPr>
              <w:numPr>
                <w:ilvl w:val="0"/>
                <w:numId w:val="2"/>
              </w:numPr>
              <w:shd w:val="clear" w:color="auto" w:fill="FFFFFF"/>
              <w:rPr>
                <w:rFonts w:ascii="Titillium" w:hAnsi="Titillium" w:cstheme="minorHAnsi"/>
                <w:sz w:val="20"/>
                <w:szCs w:val="20"/>
                <w:lang w:eastAsia="en-GB"/>
              </w:rPr>
            </w:pPr>
            <w:r w:rsidRPr="00A35CA7">
              <w:rPr>
                <w:rFonts w:ascii="Titillium" w:hAnsi="Titillium" w:cstheme="minorHAnsi"/>
                <w:sz w:val="20"/>
                <w:szCs w:val="20"/>
                <w:lang w:eastAsia="en-GB"/>
              </w:rPr>
              <w:t>Select Position name and Scheme name</w:t>
            </w:r>
          </w:p>
          <w:p w14:paraId="2D31B7E9" w14:textId="77777777" w:rsidR="00A35CA7" w:rsidRPr="00A35CA7" w:rsidRDefault="00A35CA7" w:rsidP="00A35CA7">
            <w:pPr>
              <w:numPr>
                <w:ilvl w:val="0"/>
                <w:numId w:val="2"/>
              </w:numPr>
              <w:shd w:val="clear" w:color="auto" w:fill="FFFFFF"/>
              <w:rPr>
                <w:rFonts w:ascii="Titillium" w:hAnsi="Titillium" w:cstheme="minorHAnsi"/>
                <w:sz w:val="20"/>
                <w:szCs w:val="20"/>
                <w:lang w:eastAsia="en-GB"/>
              </w:rPr>
            </w:pPr>
            <w:r w:rsidRPr="00A35CA7">
              <w:rPr>
                <w:rFonts w:ascii="Titillium" w:hAnsi="Titillium" w:cstheme="minorHAnsi"/>
                <w:sz w:val="20"/>
                <w:szCs w:val="20"/>
                <w:lang w:eastAsia="en-GB"/>
              </w:rPr>
              <w:t>Select Holiday Period Dates: 1 September 2022 - 31 August 2023</w:t>
            </w:r>
          </w:p>
          <w:p w14:paraId="67693CB6" w14:textId="77777777" w:rsidR="00A35CA7" w:rsidRPr="00A35CA7" w:rsidRDefault="00A35CA7" w:rsidP="00A35CA7">
            <w:pPr>
              <w:numPr>
                <w:ilvl w:val="0"/>
                <w:numId w:val="2"/>
              </w:numPr>
              <w:shd w:val="clear" w:color="auto" w:fill="FFFFFF"/>
              <w:rPr>
                <w:rFonts w:ascii="Titillium" w:hAnsi="Titillium" w:cstheme="minorHAnsi"/>
                <w:sz w:val="20"/>
                <w:szCs w:val="20"/>
                <w:lang w:eastAsia="en-GB"/>
              </w:rPr>
            </w:pPr>
            <w:r w:rsidRPr="00A35CA7">
              <w:rPr>
                <w:rFonts w:ascii="Titillium" w:hAnsi="Titillium" w:cstheme="minorHAnsi"/>
                <w:sz w:val="20"/>
                <w:szCs w:val="20"/>
                <w:lang w:eastAsia="en-GB"/>
              </w:rPr>
              <w:t>Select 'Buy' in Action Drop Down and then the number of hours you would like to purchase</w:t>
            </w:r>
          </w:p>
          <w:p w14:paraId="4B4AEE81" w14:textId="77777777" w:rsidR="00A35CA7" w:rsidRPr="00A35CA7" w:rsidRDefault="00A35CA7" w:rsidP="00A35CA7">
            <w:pPr>
              <w:numPr>
                <w:ilvl w:val="0"/>
                <w:numId w:val="2"/>
              </w:numPr>
              <w:shd w:val="clear" w:color="auto" w:fill="FFFFFF"/>
              <w:rPr>
                <w:rFonts w:ascii="Titillium" w:hAnsi="Titillium" w:cstheme="minorHAnsi"/>
                <w:sz w:val="20"/>
                <w:szCs w:val="20"/>
                <w:lang w:eastAsia="en-GB"/>
              </w:rPr>
            </w:pPr>
            <w:r w:rsidRPr="00A35CA7">
              <w:rPr>
                <w:rFonts w:ascii="Titillium" w:hAnsi="Titillium" w:cstheme="minorHAnsi"/>
                <w:sz w:val="20"/>
                <w:szCs w:val="20"/>
                <w:lang w:eastAsia="en-GB"/>
              </w:rPr>
              <w:t>A total value - an indicative cost of annual leave purchase will appear</w:t>
            </w:r>
          </w:p>
          <w:p w14:paraId="3284306A" w14:textId="14ACA348" w:rsidR="00014A8F" w:rsidRPr="00FE4CCC" w:rsidRDefault="00A35CA7" w:rsidP="00A35CA7">
            <w:pPr>
              <w:numPr>
                <w:ilvl w:val="0"/>
                <w:numId w:val="2"/>
              </w:numPr>
              <w:spacing w:before="100" w:beforeAutospacing="1"/>
              <w:rPr>
                <w:rFonts w:ascii="Titillium" w:hAnsi="Titillium"/>
                <w:color w:val="414042"/>
                <w:sz w:val="20"/>
                <w:szCs w:val="20"/>
              </w:rPr>
            </w:pPr>
            <w:r w:rsidRPr="00A35CA7">
              <w:rPr>
                <w:rFonts w:ascii="Titillium" w:hAnsi="Titillium" w:cstheme="minorHAnsi"/>
                <w:sz w:val="20"/>
                <w:szCs w:val="20"/>
                <w:lang w:eastAsia="en-GB"/>
              </w:rPr>
              <w:t>Click 'Save', this will then forward your request to your manager for approval.</w:t>
            </w:r>
            <w:r w:rsidR="00014A8F" w:rsidRPr="00FE4CCC">
              <w:rPr>
                <w:rFonts w:ascii="Titillium" w:hAnsi="Titillium"/>
                <w:color w:val="414042"/>
                <w:sz w:val="20"/>
                <w:szCs w:val="20"/>
              </w:rPr>
              <w:t xml:space="preserve"> </w:t>
            </w:r>
          </w:p>
        </w:tc>
      </w:tr>
      <w:bookmarkEnd w:id="1"/>
      <w:tr w:rsidR="002179A2" w:rsidRPr="00FE4CCC" w14:paraId="1D0EFE18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06E7DF7D" w14:textId="2B5265EA" w:rsidR="002179A2" w:rsidRPr="00FE4CCC" w:rsidRDefault="002179A2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lastRenderedPageBreak/>
              <w:t>Can I access HR Connect from home?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087574D0" w14:textId="0EBFD43A" w:rsidR="002179A2" w:rsidRPr="00FE4CCC" w:rsidRDefault="002179A2" w:rsidP="00FE4CCC">
            <w:pPr>
              <w:rPr>
                <w:rFonts w:ascii="Titillium" w:hAnsi="Titillium"/>
                <w:color w:val="414042"/>
                <w:sz w:val="20"/>
                <w:szCs w:val="20"/>
              </w:rPr>
            </w:pPr>
            <w:r w:rsidRPr="00FE4CCC">
              <w:rPr>
                <w:rFonts w:ascii="Titillium" w:hAnsi="Titillium" w:cstheme="minorHAnsi"/>
                <w:sz w:val="20"/>
                <w:szCs w:val="20"/>
                <w:lang w:eastAsia="en-GB"/>
              </w:rPr>
              <w:t>If you would like to access HR Connect from home</w:t>
            </w:r>
            <w:r w:rsidR="003C2A3D">
              <w:rPr>
                <w:rFonts w:ascii="Titillium" w:hAnsi="Titillium" w:cstheme="minorHAnsi"/>
                <w:sz w:val="20"/>
                <w:szCs w:val="20"/>
                <w:lang w:eastAsia="en-GB"/>
              </w:rPr>
              <w:t xml:space="preserve"> and do not have a networked laptop</w:t>
            </w:r>
            <w:r w:rsidRPr="00FE4CCC">
              <w:rPr>
                <w:rFonts w:ascii="Titillium" w:hAnsi="Titillium" w:cstheme="minorHAnsi"/>
                <w:sz w:val="20"/>
                <w:szCs w:val="20"/>
                <w:lang w:eastAsia="en-GB"/>
              </w:rPr>
              <w:t xml:space="preserve">, you will need to use a secure University network either the Virtual Desktop or VPN service.   More information available at </w:t>
            </w:r>
            <w:hyperlink r:id="rId12" w:history="1">
              <w:r w:rsidRPr="00FE4CCC">
                <w:rPr>
                  <w:rStyle w:val="Hyperlink"/>
                  <w:rFonts w:ascii="Titillium" w:hAnsi="Titillium"/>
                  <w:sz w:val="20"/>
                  <w:szCs w:val="20"/>
                </w:rPr>
                <w:t>https://staff.napier.ac.uk/services/cit/OffCampusServices/Pages/Virtual-Desktop-Service.aspx</w:t>
              </w:r>
            </w:hyperlink>
          </w:p>
        </w:tc>
      </w:tr>
      <w:tr w:rsidR="00893852" w:rsidRPr="00FE4CCC" w14:paraId="3B0E322A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nil"/>
              <w:bottom w:val="single" w:sz="4" w:space="0" w:color="579FBB"/>
              <w:right w:val="single" w:sz="4" w:space="0" w:color="579FBB"/>
            </w:tcBorders>
          </w:tcPr>
          <w:p w14:paraId="1777DB74" w14:textId="5AD5A169" w:rsidR="00893852" w:rsidRPr="00FE4CCC" w:rsidRDefault="006E56EF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How is my application considered?</w:t>
            </w:r>
          </w:p>
        </w:tc>
        <w:tc>
          <w:tcPr>
            <w:tcW w:w="7224" w:type="dxa"/>
            <w:tcBorders>
              <w:top w:val="nil"/>
              <w:left w:val="single" w:sz="4" w:space="0" w:color="579FBB"/>
              <w:bottom w:val="single" w:sz="4" w:space="0" w:color="579FBB"/>
            </w:tcBorders>
          </w:tcPr>
          <w:p w14:paraId="6C2AA523" w14:textId="13AF14F9" w:rsidR="00893852" w:rsidRPr="00FE4CCC" w:rsidRDefault="00C128B9" w:rsidP="00FE4CCC">
            <w:pPr>
              <w:spacing w:before="120"/>
              <w:jc w:val="both"/>
              <w:rPr>
                <w:rFonts w:ascii="Titillium" w:hAnsi="Titillium"/>
                <w:color w:val="000000" w:themeColor="text1"/>
                <w:sz w:val="20"/>
                <w:szCs w:val="20"/>
              </w:rPr>
            </w:pPr>
            <w:r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Each case is considered on an individual basis and </w:t>
            </w:r>
            <w:r w:rsidR="004409CA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your </w:t>
            </w:r>
            <w:r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manager will review your application</w:t>
            </w:r>
            <w:r w:rsidR="0034261B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.  </w:t>
            </w:r>
            <w:r w:rsidR="00FE4CCC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Your</w:t>
            </w:r>
            <w:r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manager will either approve in full, approve part of the request, or decline.  They will explain why</w:t>
            </w:r>
            <w:r w:rsidR="00823AA3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they have declined the request, if this is the case.</w:t>
            </w:r>
            <w:r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554D3A" w:rsidRPr="00FE4CCC" w14:paraId="28560EAF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nil"/>
              <w:bottom w:val="single" w:sz="4" w:space="0" w:color="579FBB"/>
              <w:right w:val="single" w:sz="4" w:space="0" w:color="579FBB"/>
            </w:tcBorders>
          </w:tcPr>
          <w:p w14:paraId="0D3C7F9D" w14:textId="6C9D296A" w:rsidR="00554D3A" w:rsidRPr="00FE4CCC" w:rsidRDefault="00554D3A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My line manager has declined my request, can I appeal</w:t>
            </w:r>
            <w:r w:rsidR="0034261B"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224" w:type="dxa"/>
            <w:tcBorders>
              <w:top w:val="nil"/>
              <w:left w:val="single" w:sz="4" w:space="0" w:color="579FBB"/>
              <w:bottom w:val="single" w:sz="4" w:space="0" w:color="579FBB"/>
            </w:tcBorders>
          </w:tcPr>
          <w:p w14:paraId="64F86560" w14:textId="7587ECCE" w:rsidR="00554D3A" w:rsidRPr="00FE4CCC" w:rsidRDefault="00554D3A" w:rsidP="00FE4CCC">
            <w:pPr>
              <w:spacing w:before="120"/>
              <w:jc w:val="both"/>
              <w:rPr>
                <w:rFonts w:ascii="Titillium" w:hAnsi="Titillium"/>
                <w:color w:val="000000" w:themeColor="text1"/>
                <w:sz w:val="20"/>
                <w:szCs w:val="20"/>
              </w:rPr>
            </w:pPr>
            <w:r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There </w:t>
            </w:r>
            <w:r w:rsidR="00523AD4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is no right to appeal</w:t>
            </w:r>
            <w:r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the decision</w:t>
            </w:r>
            <w:r w:rsidR="0034261B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, however your manager should explain the reasons </w:t>
            </w:r>
            <w:r w:rsidR="00FE4CCC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for declining your request</w:t>
            </w:r>
            <w:r w:rsidR="00523AD4" w:rsidRPr="00FE4CCC">
              <w:rPr>
                <w:rFonts w:ascii="Titillium" w:hAnsi="Titillium"/>
                <w:color w:val="000000" w:themeColor="text1"/>
                <w:sz w:val="20"/>
                <w:szCs w:val="20"/>
              </w:rPr>
              <w:t>.</w:t>
            </w:r>
          </w:p>
        </w:tc>
      </w:tr>
      <w:tr w:rsidR="007B4A62" w:rsidRPr="00FE4CCC" w14:paraId="3D882706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nil"/>
              <w:bottom w:val="single" w:sz="4" w:space="0" w:color="579FBB"/>
              <w:right w:val="single" w:sz="4" w:space="0" w:color="579FBB"/>
            </w:tcBorders>
          </w:tcPr>
          <w:p w14:paraId="163EC38B" w14:textId="51D209D6" w:rsidR="007B4A62" w:rsidRPr="00FE4CCC" w:rsidRDefault="006E56EF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 xml:space="preserve">I can no longer take the </w:t>
            </w:r>
            <w:r w:rsidR="00183991"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leave this year</w:t>
            </w: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 xml:space="preserve"> can I cancel it </w:t>
            </w:r>
            <w:r w:rsidR="0034261B"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and receive my deductions back?</w:t>
            </w:r>
          </w:p>
        </w:tc>
        <w:tc>
          <w:tcPr>
            <w:tcW w:w="7224" w:type="dxa"/>
            <w:tcBorders>
              <w:top w:val="nil"/>
              <w:left w:val="single" w:sz="4" w:space="0" w:color="579FBB"/>
              <w:bottom w:val="single" w:sz="4" w:space="0" w:color="579FBB"/>
            </w:tcBorders>
          </w:tcPr>
          <w:p w14:paraId="5205D0E1" w14:textId="77777777" w:rsidR="007B4A62" w:rsidRPr="00FE4CCC" w:rsidRDefault="00F13902" w:rsidP="00FE4CCC">
            <w:pPr>
              <w:spacing w:line="25" w:lineRule="atLeast"/>
              <w:jc w:val="both"/>
              <w:rPr>
                <w:rFonts w:ascii="Titillium" w:hAnsi="Titillium"/>
                <w:sz w:val="20"/>
                <w:szCs w:val="20"/>
              </w:rPr>
            </w:pPr>
            <w:r w:rsidRPr="00FE4CCC">
              <w:rPr>
                <w:rFonts w:ascii="Titillium" w:hAnsi="Titillium"/>
                <w:sz w:val="20"/>
                <w:szCs w:val="20"/>
              </w:rPr>
              <w:t xml:space="preserve">In </w:t>
            </w:r>
            <w:r w:rsidR="001D13AD" w:rsidRPr="00FE4CCC">
              <w:rPr>
                <w:rFonts w:ascii="Titillium" w:hAnsi="Titillium"/>
                <w:sz w:val="20"/>
                <w:szCs w:val="20"/>
              </w:rPr>
              <w:t xml:space="preserve">very </w:t>
            </w:r>
            <w:r w:rsidRPr="00FE4CCC">
              <w:rPr>
                <w:rFonts w:ascii="Titillium" w:hAnsi="Titillium"/>
                <w:sz w:val="20"/>
                <w:szCs w:val="20"/>
              </w:rPr>
              <w:t>exceptional circumstances</w:t>
            </w:r>
            <w:r w:rsidR="001D13AD" w:rsidRPr="00FE4CCC">
              <w:rPr>
                <w:rFonts w:ascii="Titillium" w:hAnsi="Titillium"/>
                <w:sz w:val="20"/>
                <w:szCs w:val="20"/>
              </w:rPr>
              <w:t xml:space="preserve">, such as a </w:t>
            </w:r>
            <w:r w:rsidR="00293C1B" w:rsidRPr="00FE4CCC">
              <w:rPr>
                <w:rFonts w:ascii="Titillium" w:hAnsi="Titillium"/>
                <w:sz w:val="20"/>
                <w:szCs w:val="20"/>
              </w:rPr>
              <w:t xml:space="preserve">significant </w:t>
            </w:r>
            <w:r w:rsidR="001D13AD" w:rsidRPr="00FE4CCC">
              <w:rPr>
                <w:rFonts w:ascii="Titillium" w:hAnsi="Titillium"/>
                <w:sz w:val="20"/>
                <w:szCs w:val="20"/>
              </w:rPr>
              <w:t>lifestyle change</w:t>
            </w:r>
            <w:r w:rsidRPr="00FE4CCC">
              <w:rPr>
                <w:rFonts w:ascii="Titillium" w:hAnsi="Titillium"/>
                <w:sz w:val="20"/>
                <w:szCs w:val="20"/>
              </w:rPr>
              <w:t>, where it has not been possible for additional leave to be taken or rescheduled</w:t>
            </w:r>
            <w:r w:rsidR="004409CA" w:rsidRPr="00FE4CCC">
              <w:rPr>
                <w:rFonts w:ascii="Titillium" w:hAnsi="Titillium"/>
                <w:sz w:val="20"/>
                <w:szCs w:val="20"/>
              </w:rPr>
              <w:t xml:space="preserve"> to the follow leave year</w:t>
            </w:r>
            <w:r w:rsidRPr="00FE4CCC">
              <w:rPr>
                <w:rFonts w:ascii="Titillium" w:hAnsi="Titillium"/>
                <w:sz w:val="20"/>
                <w:szCs w:val="20"/>
              </w:rPr>
              <w:t xml:space="preserve">, the University </w:t>
            </w:r>
            <w:r w:rsidR="001D13AD" w:rsidRPr="00FE4CCC">
              <w:rPr>
                <w:rFonts w:ascii="Titillium" w:hAnsi="Titillium"/>
                <w:sz w:val="20"/>
                <w:szCs w:val="20"/>
              </w:rPr>
              <w:t>may</w:t>
            </w:r>
            <w:r w:rsidRPr="00FE4CCC">
              <w:rPr>
                <w:rFonts w:ascii="Titillium" w:hAnsi="Titillium"/>
                <w:sz w:val="20"/>
                <w:szCs w:val="20"/>
              </w:rPr>
              <w:t xml:space="preserve"> refund the cost</w:t>
            </w:r>
            <w:r w:rsidR="00FE4CCC" w:rsidRPr="00FE4CCC">
              <w:rPr>
                <w:rFonts w:ascii="Titillium" w:hAnsi="Titillium"/>
                <w:sz w:val="20"/>
                <w:szCs w:val="20"/>
              </w:rPr>
              <w:t xml:space="preserve"> or partially refund the cost</w:t>
            </w:r>
            <w:r w:rsidRPr="00FE4CCC">
              <w:rPr>
                <w:rFonts w:ascii="Titillium" w:hAnsi="Titillium"/>
                <w:sz w:val="20"/>
                <w:szCs w:val="20"/>
              </w:rPr>
              <w:t xml:space="preserve"> of the additional leave</w:t>
            </w:r>
            <w:r w:rsidR="004409CA" w:rsidRPr="00FE4CCC">
              <w:rPr>
                <w:rFonts w:ascii="Titillium" w:hAnsi="Titillium"/>
                <w:sz w:val="20"/>
                <w:szCs w:val="20"/>
              </w:rPr>
              <w:t>.</w:t>
            </w:r>
          </w:p>
          <w:p w14:paraId="00E07228" w14:textId="2F184B19" w:rsidR="00FE4CCC" w:rsidRPr="00FE4CCC" w:rsidRDefault="00FE4CCC" w:rsidP="00FE4CCC">
            <w:pPr>
              <w:spacing w:line="25" w:lineRule="atLeast"/>
              <w:jc w:val="both"/>
              <w:rPr>
                <w:rFonts w:ascii="Titillium" w:hAnsi="Titillium"/>
                <w:color w:val="000000" w:themeColor="text1"/>
                <w:sz w:val="20"/>
                <w:szCs w:val="20"/>
              </w:rPr>
            </w:pPr>
          </w:p>
        </w:tc>
      </w:tr>
      <w:tr w:rsidR="001E525E" w:rsidRPr="00FE4CCC" w14:paraId="6AC621CE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03ECB379" w14:textId="26B485F2" w:rsidR="001E525E" w:rsidRPr="00FE4CCC" w:rsidRDefault="00183991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Can I carry the annual leave forward?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2AADDB63" w14:textId="442B1690" w:rsidR="001E525E" w:rsidRPr="00FE4CCC" w:rsidRDefault="0034261B" w:rsidP="00FE4CCC">
            <w:pPr>
              <w:spacing w:line="25" w:lineRule="atLeast"/>
              <w:jc w:val="both"/>
              <w:rPr>
                <w:rFonts w:ascii="Titillium" w:hAnsi="Titillium"/>
                <w:color w:val="000000" w:themeColor="text1"/>
                <w:sz w:val="20"/>
                <w:szCs w:val="20"/>
              </w:rPr>
            </w:pPr>
            <w:r w:rsidRPr="00FE4CCC">
              <w:rPr>
                <w:rFonts w:ascii="Titillium" w:hAnsi="Titillium"/>
                <w:sz w:val="20"/>
                <w:szCs w:val="20"/>
              </w:rPr>
              <w:t>You are not able</w:t>
            </w:r>
            <w:r w:rsidR="00F13902" w:rsidRPr="00FE4CCC">
              <w:rPr>
                <w:rFonts w:ascii="Titillium" w:hAnsi="Titillium"/>
                <w:sz w:val="20"/>
                <w:szCs w:val="20"/>
              </w:rPr>
              <w:t xml:space="preserve"> to carry additional purchased leave into the next annual leave year, in order to prevent the accrual of large amounts of leave. </w:t>
            </w:r>
            <w:r w:rsidR="00823AA3" w:rsidRPr="00FE4CCC">
              <w:rPr>
                <w:rFonts w:ascii="Titillium" w:hAnsi="Titillium"/>
                <w:sz w:val="20"/>
                <w:szCs w:val="20"/>
              </w:rPr>
              <w:t xml:space="preserve">   Normal carry forward rules apply, in line with the Annual Leave Policy.</w:t>
            </w:r>
          </w:p>
        </w:tc>
      </w:tr>
      <w:tr w:rsidR="00614233" w:rsidRPr="00FE4CCC" w14:paraId="016B28D6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30E55450" w14:textId="412677B6" w:rsidR="00614233" w:rsidRPr="00FE4CCC" w:rsidRDefault="00614233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Will this affect my pension</w:t>
            </w:r>
            <w:r w:rsidR="0034261B"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1B0B41E6" w14:textId="37E9A600" w:rsidR="00614233" w:rsidRPr="00A35CA7" w:rsidRDefault="00892F37" w:rsidP="00FE4CCC">
            <w:pPr>
              <w:spacing w:before="120"/>
              <w:jc w:val="both"/>
              <w:rPr>
                <w:rFonts w:ascii="Titillium" w:hAnsi="Titillium"/>
                <w:sz w:val="20"/>
                <w:szCs w:val="20"/>
              </w:rPr>
            </w:pPr>
            <w:r w:rsidRPr="00A35CA7">
              <w:rPr>
                <w:rFonts w:ascii="Titillium" w:hAnsi="Titillium"/>
                <w:sz w:val="20"/>
                <w:szCs w:val="20"/>
              </w:rPr>
              <w:t xml:space="preserve">There are no implications for pensions </w:t>
            </w:r>
            <w:r w:rsidR="00293C1B" w:rsidRPr="00A35CA7">
              <w:rPr>
                <w:rFonts w:ascii="Titillium" w:hAnsi="Titillium"/>
                <w:sz w:val="20"/>
                <w:szCs w:val="20"/>
              </w:rPr>
              <w:t>for Lothian Pension Fund Members</w:t>
            </w:r>
            <w:r w:rsidRPr="00A35CA7">
              <w:rPr>
                <w:rFonts w:ascii="Titillium" w:hAnsi="Titillium"/>
                <w:sz w:val="20"/>
                <w:szCs w:val="20"/>
              </w:rPr>
              <w:t xml:space="preserve">.  </w:t>
            </w:r>
          </w:p>
          <w:p w14:paraId="68E056B4" w14:textId="32E21582" w:rsidR="00293C1B" w:rsidRPr="00A35CA7" w:rsidRDefault="00293C1B" w:rsidP="00FE4CCC">
            <w:pPr>
              <w:spacing w:before="120"/>
              <w:jc w:val="both"/>
              <w:rPr>
                <w:rFonts w:ascii="Titillium" w:hAnsi="Titillium"/>
                <w:sz w:val="20"/>
                <w:szCs w:val="20"/>
              </w:rPr>
            </w:pPr>
            <w:r w:rsidRPr="00A35CA7">
              <w:rPr>
                <w:rFonts w:ascii="Titillium" w:hAnsi="Titillium"/>
                <w:sz w:val="20"/>
                <w:szCs w:val="20"/>
              </w:rPr>
              <w:t xml:space="preserve">For academic staff who are members of STPS, additional annual leave purchased will be classed as a period of unpaid leave which is regarded as non-pensionable, therefore you'll not be eligible to pay scheme contributions during this period - or to cover any 'missed' contributions by paying extra. </w:t>
            </w:r>
            <w:r w:rsidR="002D0E0A" w:rsidRPr="00A35CA7">
              <w:rPr>
                <w:rFonts w:ascii="Titillium" w:hAnsi="Titillium"/>
                <w:sz w:val="20"/>
                <w:szCs w:val="20"/>
              </w:rPr>
              <w:t xml:space="preserve">  You will continue to remain covered</w:t>
            </w:r>
            <w:r w:rsidRPr="00A35CA7">
              <w:rPr>
                <w:rFonts w:ascii="Titillium" w:hAnsi="Titillium"/>
                <w:sz w:val="20"/>
                <w:szCs w:val="20"/>
              </w:rPr>
              <w:t xml:space="preserve"> for death in service benefits and any pension accrued will be preserved.</w:t>
            </w:r>
          </w:p>
        </w:tc>
      </w:tr>
      <w:tr w:rsidR="00614233" w:rsidRPr="00FE4CCC" w14:paraId="27B6D12E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392B2F85" w14:textId="146A857A" w:rsidR="00614233" w:rsidRPr="00FE4CCC" w:rsidRDefault="00614233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What happens if I am sick during the year?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03342F05" w14:textId="2E3CE888" w:rsidR="00892F37" w:rsidRPr="00A35CA7" w:rsidRDefault="00570168" w:rsidP="00FE4CCC">
            <w:pPr>
              <w:spacing w:before="120"/>
              <w:jc w:val="both"/>
              <w:rPr>
                <w:rFonts w:ascii="Titillium" w:hAnsi="Titillium"/>
                <w:sz w:val="20"/>
                <w:szCs w:val="20"/>
              </w:rPr>
            </w:pPr>
            <w:r w:rsidRPr="00A35CA7">
              <w:rPr>
                <w:rFonts w:ascii="Titillium" w:hAnsi="Titillium"/>
                <w:sz w:val="20"/>
                <w:szCs w:val="20"/>
              </w:rPr>
              <w:t>If you are currently receiving Statutory Sick pay</w:t>
            </w:r>
            <w:r w:rsidR="00823AA3" w:rsidRPr="00A35CA7">
              <w:rPr>
                <w:rFonts w:ascii="Titillium" w:hAnsi="Titillium"/>
                <w:sz w:val="20"/>
                <w:szCs w:val="20"/>
              </w:rPr>
              <w:t xml:space="preserve"> or Statutory Maternity Pay,</w:t>
            </w:r>
            <w:r w:rsidRPr="00A35CA7">
              <w:rPr>
                <w:rFonts w:ascii="Titillium" w:hAnsi="Titillium"/>
                <w:sz w:val="20"/>
                <w:szCs w:val="20"/>
              </w:rPr>
              <w:t xml:space="preserve"> </w:t>
            </w:r>
            <w:r w:rsidR="00823AA3" w:rsidRPr="00A35CA7">
              <w:rPr>
                <w:rFonts w:ascii="Titillium" w:hAnsi="Titillium"/>
                <w:sz w:val="20"/>
                <w:szCs w:val="20"/>
              </w:rPr>
              <w:t xml:space="preserve">we are unable to take reductions from your pay, therefore whilst on sick or maternity leave, </w:t>
            </w:r>
            <w:r w:rsidRPr="00A35CA7">
              <w:rPr>
                <w:rFonts w:ascii="Titillium" w:hAnsi="Titillium"/>
                <w:sz w:val="20"/>
                <w:szCs w:val="20"/>
              </w:rPr>
              <w:t xml:space="preserve">you will not be eligible to join the </w:t>
            </w:r>
            <w:r w:rsidR="004409CA" w:rsidRPr="00A35CA7">
              <w:rPr>
                <w:rFonts w:ascii="Titillium" w:hAnsi="Titillium"/>
                <w:sz w:val="20"/>
                <w:szCs w:val="20"/>
              </w:rPr>
              <w:t>S</w:t>
            </w:r>
            <w:r w:rsidRPr="00A35CA7">
              <w:rPr>
                <w:rFonts w:ascii="Titillium" w:hAnsi="Titillium"/>
                <w:sz w:val="20"/>
                <w:szCs w:val="20"/>
              </w:rPr>
              <w:t xml:space="preserve">cheme. </w:t>
            </w:r>
            <w:r w:rsidR="00823AA3" w:rsidRPr="00A35CA7">
              <w:rPr>
                <w:rFonts w:ascii="Titillium" w:hAnsi="Titillium"/>
                <w:sz w:val="20"/>
                <w:szCs w:val="20"/>
              </w:rPr>
              <w:t xml:space="preserve"> </w:t>
            </w:r>
          </w:p>
          <w:p w14:paraId="48CAD0BD" w14:textId="167BF31F" w:rsidR="00823AA3" w:rsidRPr="00A35CA7" w:rsidRDefault="00823AA3" w:rsidP="00FE4CCC">
            <w:pPr>
              <w:spacing w:before="120"/>
              <w:jc w:val="both"/>
              <w:rPr>
                <w:rFonts w:ascii="Titillium" w:hAnsi="Titillium"/>
                <w:sz w:val="20"/>
                <w:szCs w:val="20"/>
              </w:rPr>
            </w:pPr>
            <w:r w:rsidRPr="00A35CA7">
              <w:rPr>
                <w:rFonts w:ascii="Titillium" w:hAnsi="Titillium"/>
                <w:sz w:val="20"/>
                <w:szCs w:val="20"/>
              </w:rPr>
              <w:t xml:space="preserve">If you have purchased additional annual leave and then your pay is reduced to statutory pay levels, your payments will be paused, until you return to work.   </w:t>
            </w:r>
          </w:p>
        </w:tc>
      </w:tr>
      <w:tr w:rsidR="00614233" w:rsidRPr="00FE4CCC" w14:paraId="07BC4C7D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512FC4B0" w14:textId="677D37CE" w:rsidR="00614233" w:rsidRPr="00FE4CCC" w:rsidRDefault="00614233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What happens if</w:t>
            </w:r>
            <w:r w:rsidR="000463C8"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 xml:space="preserve"> I </w:t>
            </w: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 xml:space="preserve">leave </w:t>
            </w:r>
            <w:r w:rsidR="00180291"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 xml:space="preserve">the University </w:t>
            </w: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during the year?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309964C9" w14:textId="3B2F0C75" w:rsidR="00D05A6C" w:rsidRPr="00FE4CCC" w:rsidRDefault="00892F37" w:rsidP="00FE4CCC">
            <w:pPr>
              <w:spacing w:before="120"/>
              <w:jc w:val="both"/>
              <w:rPr>
                <w:rFonts w:ascii="Titillium" w:hAnsi="Titillium"/>
                <w:color w:val="414042"/>
                <w:sz w:val="20"/>
                <w:szCs w:val="20"/>
              </w:rPr>
            </w:pPr>
            <w:r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I</w:t>
            </w:r>
            <w:r w:rsidR="007D507F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t is expected that you </w:t>
            </w:r>
            <w:r w:rsidR="00405B42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will </w:t>
            </w:r>
            <w:r w:rsidR="007D507F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use </w:t>
            </w:r>
            <w:r w:rsidR="00A35CA7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all</w:t>
            </w:r>
            <w:r w:rsidR="007D507F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your annual leave entitlement, including any purchased</w:t>
            </w:r>
            <w:r w:rsidR="00405B42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leave</w:t>
            </w:r>
            <w:r w:rsidR="007D507F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, in advance of your leaving date.   If you still have outstanding payments due under the annual leave purchase scheme, these will be deducted from your final salary payment</w:t>
            </w:r>
            <w:r w:rsidR="007D507F" w:rsidRPr="00FE4CCC">
              <w:rPr>
                <w:rFonts w:ascii="Titillium" w:hAnsi="Titillium"/>
                <w:color w:val="414042"/>
                <w:sz w:val="20"/>
                <w:szCs w:val="20"/>
              </w:rPr>
              <w:t xml:space="preserve">. </w:t>
            </w:r>
          </w:p>
        </w:tc>
      </w:tr>
      <w:tr w:rsidR="00405B42" w:rsidRPr="00FE4CCC" w14:paraId="2C536CED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0872F8EC" w14:textId="3666FDD9" w:rsidR="00405B42" w:rsidRPr="00FE4CCC" w:rsidRDefault="00405B42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Where can I find my annual salary?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3DC43C8B" w14:textId="177F5F30" w:rsidR="00405B42" w:rsidRPr="00FE4CCC" w:rsidRDefault="00405B42" w:rsidP="00FE4CCC">
            <w:pPr>
              <w:spacing w:before="120"/>
              <w:jc w:val="both"/>
              <w:rPr>
                <w:rFonts w:ascii="Titillium" w:hAnsi="Titillium"/>
                <w:color w:val="414042"/>
                <w:sz w:val="20"/>
                <w:szCs w:val="20"/>
              </w:rPr>
            </w:pPr>
            <w:r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Login to HR Connect; go to Pay &amp; Benefits; scroll down and click on Total Reward Statement; your salary is displayed at the bottom of the statement along with any contractual pay elements such as shift allowances and contracted overtime, which will be included in the calculation.</w:t>
            </w:r>
          </w:p>
        </w:tc>
      </w:tr>
      <w:tr w:rsidR="00614233" w:rsidRPr="00FE4CCC" w14:paraId="65DE7EDB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258A2F70" w14:textId="58F1CD05" w:rsidR="00614233" w:rsidRPr="00FE4CCC" w:rsidRDefault="009A21F0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lastRenderedPageBreak/>
              <w:t>Can I sell annual leave?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414A990E" w14:textId="22BC8478" w:rsidR="00614233" w:rsidRPr="00FE4CCC" w:rsidRDefault="009A21F0" w:rsidP="00FE4CCC">
            <w:pPr>
              <w:spacing w:before="120"/>
              <w:jc w:val="both"/>
              <w:rPr>
                <w:rFonts w:ascii="Titillium" w:hAnsi="Titillium"/>
                <w:color w:val="414042"/>
                <w:sz w:val="20"/>
                <w:szCs w:val="20"/>
              </w:rPr>
            </w:pPr>
            <w:r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T</w:t>
            </w:r>
            <w:r w:rsidR="00614233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he Universi</w:t>
            </w:r>
            <w:r w:rsidR="00992023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ty wants to ensure that all staff</w:t>
            </w:r>
            <w:r w:rsidR="00614233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h</w:t>
            </w:r>
            <w:r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ave</w:t>
            </w:r>
            <w:r w:rsidR="00614233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a </w:t>
            </w:r>
            <w:r w:rsidR="00992023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work life</w:t>
            </w:r>
            <w:r w:rsidR="00614233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balance and </w:t>
            </w:r>
            <w:r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encourage </w:t>
            </w:r>
            <w:r w:rsidR="00614233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staff</w:t>
            </w:r>
            <w:r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to take their accrued annual leave throughout the year, therefore </w:t>
            </w:r>
            <w:r w:rsidR="0034261B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there </w:t>
            </w:r>
            <w:r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are no opportunities to sell annual leave.</w:t>
            </w:r>
          </w:p>
        </w:tc>
      </w:tr>
      <w:tr w:rsidR="00614233" w:rsidRPr="00FE4CCC" w14:paraId="7BFAB9D0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579FBB"/>
              <w:right w:val="single" w:sz="4" w:space="0" w:color="579FBB"/>
            </w:tcBorders>
          </w:tcPr>
          <w:p w14:paraId="211E049C" w14:textId="26411440" w:rsidR="00614233" w:rsidRPr="00FE4CCC" w:rsidRDefault="00614233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I would prefer to take unpaid leave, is this possible?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</w:tcBorders>
          </w:tcPr>
          <w:p w14:paraId="17A3A4EC" w14:textId="326F5A9F" w:rsidR="00614233" w:rsidRPr="00FE4CCC" w:rsidRDefault="00614233" w:rsidP="00FE4CCC">
            <w:pPr>
              <w:spacing w:line="25" w:lineRule="atLeast"/>
              <w:jc w:val="both"/>
              <w:rPr>
                <w:rFonts w:ascii="Titillium" w:hAnsi="Titillium"/>
                <w:color w:val="414042"/>
                <w:sz w:val="20"/>
                <w:szCs w:val="20"/>
              </w:rPr>
            </w:pPr>
            <w:r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The University can consider unpaid leave</w:t>
            </w:r>
            <w:r w:rsidR="0034261B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requests </w:t>
            </w:r>
            <w:r w:rsidR="009A21F0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at any time throughout the year</w:t>
            </w:r>
            <w:r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. </w:t>
            </w:r>
            <w:r w:rsidR="00F13902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The scheme does not replace or restrict the use of any existing unpaid leave procedures. </w:t>
            </w:r>
            <w:r w:rsidR="00390CB2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 xml:space="preserve">  </w:t>
            </w:r>
            <w:r w:rsidR="007D507F" w:rsidRPr="00A35CA7">
              <w:rPr>
                <w:rFonts w:ascii="Titillium" w:hAnsi="Titillium"/>
                <w:color w:val="000000" w:themeColor="text1"/>
                <w:sz w:val="20"/>
                <w:szCs w:val="20"/>
              </w:rPr>
              <w:t>If you would like to apply for unpaid leave, you can request this through HR Connect.</w:t>
            </w:r>
          </w:p>
        </w:tc>
      </w:tr>
      <w:tr w:rsidR="00AF265B" w:rsidRPr="00FE4CCC" w14:paraId="11A7937C" w14:textId="77777777" w:rsidTr="00A35CA7">
        <w:tblPrEx>
          <w:tblBorders>
            <w:bottom w:val="single" w:sz="4" w:space="0" w:color="579FBB"/>
            <w:insideH w:val="single" w:sz="4" w:space="0" w:color="579FBB"/>
            <w:insideV w:val="single" w:sz="4" w:space="0" w:color="579FBB"/>
          </w:tblBorders>
        </w:tblPrEx>
        <w:trPr>
          <w:trHeight w:val="707"/>
        </w:trPr>
        <w:tc>
          <w:tcPr>
            <w:tcW w:w="2410" w:type="dxa"/>
            <w:tcBorders>
              <w:top w:val="single" w:sz="4" w:space="0" w:color="579FBB"/>
              <w:bottom w:val="single" w:sz="4" w:space="0" w:color="9CC2E5" w:themeColor="accent1" w:themeTint="99"/>
              <w:right w:val="single" w:sz="4" w:space="0" w:color="579FBB"/>
            </w:tcBorders>
          </w:tcPr>
          <w:p w14:paraId="1E3DA4CE" w14:textId="4CAD99D1" w:rsidR="00AF265B" w:rsidRPr="00FE4CCC" w:rsidRDefault="009A21F0" w:rsidP="00FE4CCC">
            <w:pPr>
              <w:shd w:val="clear" w:color="auto" w:fill="FFFFFF"/>
              <w:spacing w:before="120"/>
              <w:jc w:val="both"/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</w:pPr>
            <w:r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Will my payment change if my salary changes</w:t>
            </w:r>
            <w:r w:rsidR="000463C8" w:rsidRPr="00FE4CCC">
              <w:rPr>
                <w:rFonts w:ascii="Titillium" w:hAnsi="Titillium"/>
                <w:b/>
                <w:color w:val="E36C0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224" w:type="dxa"/>
            <w:tcBorders>
              <w:top w:val="single" w:sz="4" w:space="0" w:color="579FBB"/>
              <w:left w:val="single" w:sz="4" w:space="0" w:color="579FBB"/>
              <w:bottom w:val="single" w:sz="4" w:space="0" w:color="9CC2E5" w:themeColor="accent1" w:themeTint="99"/>
            </w:tcBorders>
          </w:tcPr>
          <w:p w14:paraId="3DE83E37" w14:textId="185556CE" w:rsidR="00AF265B" w:rsidRPr="00FE4CCC" w:rsidRDefault="00C01646" w:rsidP="00FE4CCC">
            <w:pPr>
              <w:pStyle w:val="NormalWeb"/>
              <w:spacing w:before="0" w:beforeAutospacing="0" w:after="0" w:afterAutospacing="0"/>
              <w:jc w:val="both"/>
              <w:rPr>
                <w:rFonts w:ascii="Titillium" w:hAnsi="Titillium"/>
                <w:color w:val="414042"/>
                <w:sz w:val="20"/>
                <w:szCs w:val="20"/>
              </w:rPr>
            </w:pPr>
            <w:r w:rsidRPr="00A35CA7">
              <w:rPr>
                <w:rFonts w:ascii="Titillium" w:hAnsi="Titillium" w:cs="Arial"/>
                <w:color w:val="000000" w:themeColor="text1"/>
                <w:sz w:val="20"/>
                <w:szCs w:val="20"/>
                <w:lang w:eastAsia="en-US"/>
              </w:rPr>
              <w:t>The cost of the additional annual leave is based on the salary at the start of the deduction period.  If you</w:t>
            </w:r>
            <w:r w:rsidR="0034261B" w:rsidRPr="00A35CA7">
              <w:rPr>
                <w:rFonts w:ascii="Titillium" w:hAnsi="Titillium" w:cs="Arial"/>
                <w:color w:val="000000" w:themeColor="text1"/>
                <w:sz w:val="20"/>
                <w:szCs w:val="20"/>
                <w:lang w:eastAsia="en-US"/>
              </w:rPr>
              <w:t>r</w:t>
            </w:r>
            <w:r w:rsidRPr="00A35CA7">
              <w:rPr>
                <w:rFonts w:ascii="Titillium" w:hAnsi="Titillium" w:cs="Arial"/>
                <w:color w:val="000000" w:themeColor="text1"/>
                <w:sz w:val="20"/>
                <w:szCs w:val="20"/>
                <w:lang w:eastAsia="en-US"/>
              </w:rPr>
              <w:t xml:space="preserve"> salary changes </w:t>
            </w:r>
            <w:r w:rsidR="00A35CA7" w:rsidRPr="00A35CA7">
              <w:rPr>
                <w:rFonts w:ascii="Titillium" w:hAnsi="Titillium" w:cs="Arial"/>
                <w:color w:val="000000" w:themeColor="text1"/>
                <w:sz w:val="20"/>
                <w:szCs w:val="20"/>
                <w:lang w:eastAsia="en-US"/>
              </w:rPr>
              <w:t>during</w:t>
            </w:r>
            <w:r w:rsidRPr="00A35CA7">
              <w:rPr>
                <w:rFonts w:ascii="Titillium" w:hAnsi="Titillium" w:cs="Arial"/>
                <w:color w:val="000000" w:themeColor="text1"/>
                <w:sz w:val="20"/>
                <w:szCs w:val="20"/>
                <w:lang w:eastAsia="en-US"/>
              </w:rPr>
              <w:t xml:space="preserve"> the year due to incremental progression; contractual change to hours; or promotion; the deduction will remain the same and will not be </w:t>
            </w:r>
            <w:r w:rsidR="0034261B" w:rsidRPr="00A35CA7">
              <w:rPr>
                <w:rFonts w:ascii="Titillium" w:hAnsi="Titillium" w:cs="Arial"/>
                <w:color w:val="000000" w:themeColor="text1"/>
                <w:sz w:val="20"/>
                <w:szCs w:val="20"/>
                <w:lang w:eastAsia="en-US"/>
              </w:rPr>
              <w:t>amended.</w:t>
            </w:r>
          </w:p>
        </w:tc>
      </w:tr>
    </w:tbl>
    <w:p w14:paraId="13AB3DCD" w14:textId="77777777" w:rsidR="0013360C" w:rsidRPr="00FE4CCC" w:rsidRDefault="0013360C" w:rsidP="00FE4CCC">
      <w:pPr>
        <w:jc w:val="both"/>
        <w:rPr>
          <w:rFonts w:ascii="Titillium" w:eastAsiaTheme="minorEastAsia" w:hAnsi="Titillium"/>
          <w:b/>
          <w:color w:val="579FBB"/>
          <w:sz w:val="20"/>
          <w:szCs w:val="20"/>
        </w:rPr>
      </w:pPr>
    </w:p>
    <w:p w14:paraId="1B81BFD2" w14:textId="50900675" w:rsidR="0061401C" w:rsidRPr="00FE4CCC" w:rsidRDefault="0061401C" w:rsidP="00FE4CCC">
      <w:pPr>
        <w:pStyle w:val="NoSpacing"/>
        <w:jc w:val="both"/>
        <w:rPr>
          <w:rFonts w:ascii="Titillium" w:hAnsi="Titillium"/>
          <w:sz w:val="20"/>
          <w:szCs w:val="20"/>
        </w:rPr>
      </w:pPr>
    </w:p>
    <w:sectPr w:rsidR="0061401C" w:rsidRPr="00FE4CCC" w:rsidSect="00DD4A84">
      <w:headerReference w:type="even" r:id="rId13"/>
      <w:headerReference w:type="default" r:id="rId14"/>
      <w:footerReference w:type="default" r:id="rId15"/>
      <w:headerReference w:type="first" r:id="rId16"/>
      <w:pgSz w:w="11900" w:h="16820"/>
      <w:pgMar w:top="3119" w:right="1134" w:bottom="851" w:left="1134" w:header="1247" w:footer="851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4277" w14:textId="77777777" w:rsidR="0020517F" w:rsidRDefault="0020517F">
      <w:r>
        <w:separator/>
      </w:r>
    </w:p>
  </w:endnote>
  <w:endnote w:type="continuationSeparator" w:id="0">
    <w:p w14:paraId="65026EE6" w14:textId="77777777" w:rsidR="0020517F" w:rsidRDefault="0020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678D" w14:textId="50F91734" w:rsidR="007D507F" w:rsidRPr="004C5324" w:rsidRDefault="007D507F">
    <w:pPr>
      <w:pStyle w:val="Footer"/>
      <w:jc w:val="center"/>
      <w:rPr>
        <w:rFonts w:ascii="Titillium" w:hAnsi="Titillium"/>
        <w:sz w:val="22"/>
        <w:szCs w:val="22"/>
      </w:rPr>
    </w:pPr>
  </w:p>
  <w:p w14:paraId="41288349" w14:textId="77777777" w:rsidR="007D507F" w:rsidRPr="004B6014" w:rsidRDefault="007D507F" w:rsidP="00CC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1660" w14:textId="77777777" w:rsidR="0020517F" w:rsidRDefault="0020517F">
      <w:r>
        <w:separator/>
      </w:r>
    </w:p>
  </w:footnote>
  <w:footnote w:type="continuationSeparator" w:id="0">
    <w:p w14:paraId="59B45EA3" w14:textId="77777777" w:rsidR="0020517F" w:rsidRDefault="0020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F3B0" w14:textId="77777777" w:rsidR="007D507F" w:rsidRDefault="0020517F">
    <w:pPr>
      <w:pStyle w:val="Header"/>
    </w:pPr>
    <w:sdt>
      <w:sdtPr>
        <w:id w:val="-2134159414"/>
        <w:temporary/>
        <w:showingPlcHdr/>
      </w:sdtPr>
      <w:sdtEndPr/>
      <w:sdtContent>
        <w:r w:rsidR="007D507F">
          <w:t>[Type text]</w:t>
        </w:r>
      </w:sdtContent>
    </w:sdt>
    <w:r w:rsidR="007D507F">
      <w:ptab w:relativeTo="margin" w:alignment="center" w:leader="none"/>
    </w:r>
    <w:sdt>
      <w:sdtPr>
        <w:id w:val="1589972152"/>
        <w:temporary/>
        <w:showingPlcHdr/>
      </w:sdtPr>
      <w:sdtEndPr/>
      <w:sdtContent>
        <w:r w:rsidR="007D507F">
          <w:t>[Type text]</w:t>
        </w:r>
      </w:sdtContent>
    </w:sdt>
    <w:r w:rsidR="007D507F">
      <w:ptab w:relativeTo="margin" w:alignment="right" w:leader="none"/>
    </w:r>
    <w:sdt>
      <w:sdtPr>
        <w:id w:val="1270279319"/>
        <w:temporary/>
        <w:showingPlcHdr/>
      </w:sdtPr>
      <w:sdtEndPr/>
      <w:sdtContent>
        <w:r w:rsidR="007D507F">
          <w:t>[Type text]</w:t>
        </w:r>
      </w:sdtContent>
    </w:sdt>
  </w:p>
  <w:p w14:paraId="07869BC1" w14:textId="77777777" w:rsidR="007D507F" w:rsidRDefault="007D5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7CC3" w14:textId="77777777" w:rsidR="007D507F" w:rsidRPr="00640328" w:rsidRDefault="007D507F" w:rsidP="00CC4B8F">
    <w:pPr>
      <w:pStyle w:val="Header"/>
      <w:rPr>
        <w:rFonts w:ascii="Titillium" w:hAnsi="Titillium"/>
        <w:color w:val="FFFFFF" w:themeColor="background1"/>
        <w:sz w:val="40"/>
        <w:szCs w:val="40"/>
      </w:rPr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9264" behindDoc="1" locked="1" layoutInCell="1" allowOverlap="1" wp14:anchorId="1C00F6DA" wp14:editId="6C0ABEC4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59675" cy="19481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F007C" w14:textId="77777777" w:rsidR="007D507F" w:rsidRDefault="007D5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B0AA" w14:textId="77777777" w:rsidR="007D507F" w:rsidRDefault="007D507F">
    <w:pPr>
      <w:pStyle w:val="Header"/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60288" behindDoc="1" locked="1" layoutInCell="1" allowOverlap="1" wp14:anchorId="73456088" wp14:editId="47954102">
          <wp:simplePos x="0" y="0"/>
          <wp:positionH relativeFrom="page">
            <wp:posOffset>-3810</wp:posOffset>
          </wp:positionH>
          <wp:positionV relativeFrom="page">
            <wp:posOffset>20320</wp:posOffset>
          </wp:positionV>
          <wp:extent cx="7559675" cy="194818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B98"/>
    <w:multiLevelType w:val="hybridMultilevel"/>
    <w:tmpl w:val="4D982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43C7D"/>
    <w:multiLevelType w:val="multilevel"/>
    <w:tmpl w:val="AB5A0E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678624">
    <w:abstractNumId w:val="0"/>
  </w:num>
  <w:num w:numId="2" w16cid:durableId="1323914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05"/>
    <w:rsid w:val="0000131D"/>
    <w:rsid w:val="00014A8F"/>
    <w:rsid w:val="00024AA2"/>
    <w:rsid w:val="00030F54"/>
    <w:rsid w:val="00041C05"/>
    <w:rsid w:val="000463C8"/>
    <w:rsid w:val="00050B98"/>
    <w:rsid w:val="00054DA8"/>
    <w:rsid w:val="00072F89"/>
    <w:rsid w:val="0007321C"/>
    <w:rsid w:val="000760DE"/>
    <w:rsid w:val="0008324E"/>
    <w:rsid w:val="00083731"/>
    <w:rsid w:val="0009349C"/>
    <w:rsid w:val="000A47DC"/>
    <w:rsid w:val="000A775F"/>
    <w:rsid w:val="000B4E01"/>
    <w:rsid w:val="000E5733"/>
    <w:rsid w:val="000F3C89"/>
    <w:rsid w:val="00107074"/>
    <w:rsid w:val="00130FC0"/>
    <w:rsid w:val="0013360C"/>
    <w:rsid w:val="001352FE"/>
    <w:rsid w:val="0014234D"/>
    <w:rsid w:val="00146089"/>
    <w:rsid w:val="00161AE3"/>
    <w:rsid w:val="00170569"/>
    <w:rsid w:val="001756D5"/>
    <w:rsid w:val="00180291"/>
    <w:rsid w:val="001812FC"/>
    <w:rsid w:val="00183991"/>
    <w:rsid w:val="001965D8"/>
    <w:rsid w:val="001D13AD"/>
    <w:rsid w:val="001D62AE"/>
    <w:rsid w:val="001E1C03"/>
    <w:rsid w:val="001E525E"/>
    <w:rsid w:val="001E6BBD"/>
    <w:rsid w:val="001F0F5E"/>
    <w:rsid w:val="0020517F"/>
    <w:rsid w:val="00206505"/>
    <w:rsid w:val="00210858"/>
    <w:rsid w:val="002179A2"/>
    <w:rsid w:val="00257A59"/>
    <w:rsid w:val="00290A61"/>
    <w:rsid w:val="00293C1B"/>
    <w:rsid w:val="00295358"/>
    <w:rsid w:val="002B03BB"/>
    <w:rsid w:val="002B185E"/>
    <w:rsid w:val="002D0E0A"/>
    <w:rsid w:val="002D3784"/>
    <w:rsid w:val="002E6CD6"/>
    <w:rsid w:val="0030117E"/>
    <w:rsid w:val="00323013"/>
    <w:rsid w:val="00324440"/>
    <w:rsid w:val="00325714"/>
    <w:rsid w:val="0034261B"/>
    <w:rsid w:val="0034637A"/>
    <w:rsid w:val="00352729"/>
    <w:rsid w:val="0035294D"/>
    <w:rsid w:val="00371B75"/>
    <w:rsid w:val="00381F2C"/>
    <w:rsid w:val="00383EC4"/>
    <w:rsid w:val="00384FB7"/>
    <w:rsid w:val="003866F7"/>
    <w:rsid w:val="00390CB2"/>
    <w:rsid w:val="003B1A90"/>
    <w:rsid w:val="003B1BDF"/>
    <w:rsid w:val="003B226D"/>
    <w:rsid w:val="003C2A3D"/>
    <w:rsid w:val="003D57DA"/>
    <w:rsid w:val="003D6D24"/>
    <w:rsid w:val="003E4AC0"/>
    <w:rsid w:val="004031CE"/>
    <w:rsid w:val="00405B42"/>
    <w:rsid w:val="00414129"/>
    <w:rsid w:val="00432D89"/>
    <w:rsid w:val="004409CA"/>
    <w:rsid w:val="00440FCA"/>
    <w:rsid w:val="00445014"/>
    <w:rsid w:val="00445A37"/>
    <w:rsid w:val="00456A51"/>
    <w:rsid w:val="004640D9"/>
    <w:rsid w:val="004662BA"/>
    <w:rsid w:val="00474D07"/>
    <w:rsid w:val="004A2199"/>
    <w:rsid w:val="004A3CE9"/>
    <w:rsid w:val="004C374B"/>
    <w:rsid w:val="004F43A9"/>
    <w:rsid w:val="00502867"/>
    <w:rsid w:val="00504FFF"/>
    <w:rsid w:val="0051490D"/>
    <w:rsid w:val="00523AD4"/>
    <w:rsid w:val="005264DC"/>
    <w:rsid w:val="00532B7F"/>
    <w:rsid w:val="00533320"/>
    <w:rsid w:val="005370F4"/>
    <w:rsid w:val="00554D3A"/>
    <w:rsid w:val="0055712A"/>
    <w:rsid w:val="005614B6"/>
    <w:rsid w:val="005657A9"/>
    <w:rsid w:val="005679EC"/>
    <w:rsid w:val="00570168"/>
    <w:rsid w:val="00572718"/>
    <w:rsid w:val="00576C96"/>
    <w:rsid w:val="00580AE6"/>
    <w:rsid w:val="00584BF4"/>
    <w:rsid w:val="0058585E"/>
    <w:rsid w:val="005952AE"/>
    <w:rsid w:val="005A1174"/>
    <w:rsid w:val="005A3F49"/>
    <w:rsid w:val="005D4B25"/>
    <w:rsid w:val="005E74F5"/>
    <w:rsid w:val="005F133A"/>
    <w:rsid w:val="005F333A"/>
    <w:rsid w:val="0060083B"/>
    <w:rsid w:val="00611785"/>
    <w:rsid w:val="0061401C"/>
    <w:rsid w:val="00614233"/>
    <w:rsid w:val="006204DE"/>
    <w:rsid w:val="006229E1"/>
    <w:rsid w:val="0062574A"/>
    <w:rsid w:val="00631D02"/>
    <w:rsid w:val="00634A14"/>
    <w:rsid w:val="006855B6"/>
    <w:rsid w:val="0069086B"/>
    <w:rsid w:val="006A22AD"/>
    <w:rsid w:val="006A2BA0"/>
    <w:rsid w:val="006A7E6C"/>
    <w:rsid w:val="006C446F"/>
    <w:rsid w:val="006D1287"/>
    <w:rsid w:val="006D53A6"/>
    <w:rsid w:val="006E56EF"/>
    <w:rsid w:val="00706E4C"/>
    <w:rsid w:val="007202C2"/>
    <w:rsid w:val="00721EFD"/>
    <w:rsid w:val="00730A6C"/>
    <w:rsid w:val="0074140A"/>
    <w:rsid w:val="00744BA1"/>
    <w:rsid w:val="00747E61"/>
    <w:rsid w:val="00751196"/>
    <w:rsid w:val="007667CB"/>
    <w:rsid w:val="00772D04"/>
    <w:rsid w:val="00783DBD"/>
    <w:rsid w:val="00793916"/>
    <w:rsid w:val="007A00AD"/>
    <w:rsid w:val="007A2F11"/>
    <w:rsid w:val="007B0998"/>
    <w:rsid w:val="007B1347"/>
    <w:rsid w:val="007B2213"/>
    <w:rsid w:val="007B4A62"/>
    <w:rsid w:val="007C2F56"/>
    <w:rsid w:val="007D2043"/>
    <w:rsid w:val="007D2744"/>
    <w:rsid w:val="007D507F"/>
    <w:rsid w:val="007D57A1"/>
    <w:rsid w:val="007D7661"/>
    <w:rsid w:val="007F1ABE"/>
    <w:rsid w:val="008121C7"/>
    <w:rsid w:val="00823AA3"/>
    <w:rsid w:val="00824338"/>
    <w:rsid w:val="00833B4A"/>
    <w:rsid w:val="008631A3"/>
    <w:rsid w:val="00867FB7"/>
    <w:rsid w:val="00887A73"/>
    <w:rsid w:val="00892F37"/>
    <w:rsid w:val="00893852"/>
    <w:rsid w:val="008A044B"/>
    <w:rsid w:val="008A2684"/>
    <w:rsid w:val="008A77C6"/>
    <w:rsid w:val="008B0D6C"/>
    <w:rsid w:val="008D78BC"/>
    <w:rsid w:val="008F3C48"/>
    <w:rsid w:val="008F5AF4"/>
    <w:rsid w:val="009033B2"/>
    <w:rsid w:val="009058CB"/>
    <w:rsid w:val="0090791D"/>
    <w:rsid w:val="009204E4"/>
    <w:rsid w:val="009262C1"/>
    <w:rsid w:val="009267F9"/>
    <w:rsid w:val="00927033"/>
    <w:rsid w:val="00932B97"/>
    <w:rsid w:val="00934A99"/>
    <w:rsid w:val="00946B78"/>
    <w:rsid w:val="00956CAC"/>
    <w:rsid w:val="009639F3"/>
    <w:rsid w:val="00964DD8"/>
    <w:rsid w:val="00981EFC"/>
    <w:rsid w:val="009821B6"/>
    <w:rsid w:val="00984518"/>
    <w:rsid w:val="00992023"/>
    <w:rsid w:val="009A21F0"/>
    <w:rsid w:val="009A4DD9"/>
    <w:rsid w:val="009A591C"/>
    <w:rsid w:val="009E2178"/>
    <w:rsid w:val="009F0F43"/>
    <w:rsid w:val="009F1C05"/>
    <w:rsid w:val="009F6A1B"/>
    <w:rsid w:val="00A00AB7"/>
    <w:rsid w:val="00A11284"/>
    <w:rsid w:val="00A17118"/>
    <w:rsid w:val="00A22261"/>
    <w:rsid w:val="00A22E3E"/>
    <w:rsid w:val="00A3009B"/>
    <w:rsid w:val="00A34EA2"/>
    <w:rsid w:val="00A35CA7"/>
    <w:rsid w:val="00A3618F"/>
    <w:rsid w:val="00A4179B"/>
    <w:rsid w:val="00A54F45"/>
    <w:rsid w:val="00A73A53"/>
    <w:rsid w:val="00A84166"/>
    <w:rsid w:val="00A92663"/>
    <w:rsid w:val="00A96BA8"/>
    <w:rsid w:val="00AA5F38"/>
    <w:rsid w:val="00AD61A6"/>
    <w:rsid w:val="00AD7FDD"/>
    <w:rsid w:val="00AF0E41"/>
    <w:rsid w:val="00AF22C0"/>
    <w:rsid w:val="00AF265B"/>
    <w:rsid w:val="00B05726"/>
    <w:rsid w:val="00B05A6A"/>
    <w:rsid w:val="00B14C62"/>
    <w:rsid w:val="00B16742"/>
    <w:rsid w:val="00B17340"/>
    <w:rsid w:val="00B55CE8"/>
    <w:rsid w:val="00B87CF3"/>
    <w:rsid w:val="00B93E4C"/>
    <w:rsid w:val="00BA66D2"/>
    <w:rsid w:val="00BC6537"/>
    <w:rsid w:val="00C01646"/>
    <w:rsid w:val="00C01D95"/>
    <w:rsid w:val="00C10687"/>
    <w:rsid w:val="00C128B9"/>
    <w:rsid w:val="00C167AF"/>
    <w:rsid w:val="00C17AE6"/>
    <w:rsid w:val="00C220C0"/>
    <w:rsid w:val="00C26AE3"/>
    <w:rsid w:val="00C37466"/>
    <w:rsid w:val="00C408AD"/>
    <w:rsid w:val="00C456FD"/>
    <w:rsid w:val="00C5532C"/>
    <w:rsid w:val="00C636A9"/>
    <w:rsid w:val="00C676CD"/>
    <w:rsid w:val="00C71435"/>
    <w:rsid w:val="00C9024C"/>
    <w:rsid w:val="00CB1318"/>
    <w:rsid w:val="00CC4118"/>
    <w:rsid w:val="00CC4B8F"/>
    <w:rsid w:val="00CD0B83"/>
    <w:rsid w:val="00CD48AC"/>
    <w:rsid w:val="00CD4C05"/>
    <w:rsid w:val="00CD4EA2"/>
    <w:rsid w:val="00CD5E62"/>
    <w:rsid w:val="00CE4CD8"/>
    <w:rsid w:val="00CE7E12"/>
    <w:rsid w:val="00CF7939"/>
    <w:rsid w:val="00D01EDF"/>
    <w:rsid w:val="00D05A6C"/>
    <w:rsid w:val="00D05B3C"/>
    <w:rsid w:val="00D13BB1"/>
    <w:rsid w:val="00D145CE"/>
    <w:rsid w:val="00D22ADC"/>
    <w:rsid w:val="00D26048"/>
    <w:rsid w:val="00D322CD"/>
    <w:rsid w:val="00D34142"/>
    <w:rsid w:val="00D35296"/>
    <w:rsid w:val="00D37C69"/>
    <w:rsid w:val="00D402AE"/>
    <w:rsid w:val="00D57BEC"/>
    <w:rsid w:val="00D63DF2"/>
    <w:rsid w:val="00D70B35"/>
    <w:rsid w:val="00DA178F"/>
    <w:rsid w:val="00DA2A17"/>
    <w:rsid w:val="00DA67D2"/>
    <w:rsid w:val="00DB3200"/>
    <w:rsid w:val="00DB7B2E"/>
    <w:rsid w:val="00DD21D5"/>
    <w:rsid w:val="00DD2A42"/>
    <w:rsid w:val="00DD4A84"/>
    <w:rsid w:val="00DE47DB"/>
    <w:rsid w:val="00DE6758"/>
    <w:rsid w:val="00E12212"/>
    <w:rsid w:val="00E12249"/>
    <w:rsid w:val="00E34F2B"/>
    <w:rsid w:val="00E36E85"/>
    <w:rsid w:val="00E50CB6"/>
    <w:rsid w:val="00EB2D81"/>
    <w:rsid w:val="00EB33ED"/>
    <w:rsid w:val="00EB4C60"/>
    <w:rsid w:val="00EC4AC9"/>
    <w:rsid w:val="00EE047E"/>
    <w:rsid w:val="00EE53F0"/>
    <w:rsid w:val="00EE5FCD"/>
    <w:rsid w:val="00EF3810"/>
    <w:rsid w:val="00EF5C97"/>
    <w:rsid w:val="00F00D93"/>
    <w:rsid w:val="00F1059D"/>
    <w:rsid w:val="00F12988"/>
    <w:rsid w:val="00F13902"/>
    <w:rsid w:val="00F21CDE"/>
    <w:rsid w:val="00F26906"/>
    <w:rsid w:val="00F5145C"/>
    <w:rsid w:val="00F55240"/>
    <w:rsid w:val="00F70A6B"/>
    <w:rsid w:val="00F962AC"/>
    <w:rsid w:val="00FC09AE"/>
    <w:rsid w:val="00FE06DF"/>
    <w:rsid w:val="00FE0D45"/>
    <w:rsid w:val="00FE4CCC"/>
    <w:rsid w:val="00FF26F6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CD1A"/>
  <w15:chartTrackingRefBased/>
  <w15:docId w15:val="{FCFC4781-5433-4625-AFFE-966E22B6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E0D4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E0D4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E0D4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6C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041C0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1C0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C05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5B6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639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78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785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85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E0D45"/>
  </w:style>
  <w:style w:type="character" w:customStyle="1" w:styleId="FootnoteTextChar">
    <w:name w:val="Footnote Text Char"/>
    <w:basedOn w:val="DefaultParagraphFont"/>
    <w:link w:val="FootnoteText"/>
    <w:uiPriority w:val="99"/>
    <w:rsid w:val="00FE0D45"/>
    <w:rPr>
      <w:rFonts w:ascii="Arial" w:eastAsia="Times New Roman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E0D45"/>
    <w:rPr>
      <w:vertAlign w:val="superscript"/>
    </w:rPr>
  </w:style>
  <w:style w:type="table" w:styleId="TableGrid">
    <w:name w:val="Table Grid"/>
    <w:basedOn w:val="TableNormal"/>
    <w:uiPriority w:val="59"/>
    <w:rsid w:val="00FE0D4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E0D45"/>
    <w:pPr>
      <w:jc w:val="both"/>
    </w:pPr>
    <w:rPr>
      <w:rFonts w:ascii="Tahoma" w:hAnsi="Tahoma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E0D45"/>
    <w:rPr>
      <w:rFonts w:ascii="Tahoma" w:eastAsia="Times New Roman" w:hAnsi="Tahoma" w:cs="Times New Roman"/>
      <w:sz w:val="26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FE0D4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E0D4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0D4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0D4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0D4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0D4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0D4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E0D4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2E6CD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5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napier.ac.uk/services/cit/OffCampusServices/Pages/Virtual-Desktop-Servi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connect.napier.ac.uk/mthrprod_ess/ess/dis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43BA0-2AED-4344-BA7A-2A33F9DE0D60}"/>
</file>

<file path=customXml/itemProps2.xml><?xml version="1.0" encoding="utf-8"?>
<ds:datastoreItem xmlns:ds="http://schemas.openxmlformats.org/officeDocument/2006/customXml" ds:itemID="{5F0CF5DF-0DA1-4904-BD55-DF6A5B8DB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7055D3-AF73-4746-A49D-15A1BB22C5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B97026-BB57-48C9-BFB8-8C3E29E50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Additional Annual Leave Purchase Scheme Aug 2022</dc:title>
  <dc:subject/>
  <dc:creator>Leonard, Caroline</dc:creator>
  <cp:keywords/>
  <dc:description/>
  <cp:lastModifiedBy>Bright, Sarah</cp:lastModifiedBy>
  <cp:revision>3</cp:revision>
  <cp:lastPrinted>2019-07-18T14:08:00Z</cp:lastPrinted>
  <dcterms:created xsi:type="dcterms:W3CDTF">2022-07-22T10:28:00Z</dcterms:created>
  <dcterms:modified xsi:type="dcterms:W3CDTF">2022-07-22T10:40:00Z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