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A8DA" w14:textId="66B628CA" w:rsidR="00BB38E6" w:rsidRDefault="00BB38E6" w:rsidP="00BB38E6">
      <w:pPr>
        <w:jc w:val="both"/>
        <w:rPr>
          <w:noProof/>
          <w:lang w:eastAsia="en-GB"/>
        </w:rPr>
      </w:pPr>
    </w:p>
    <w:p w14:paraId="345AEE17" w14:textId="77777777" w:rsidR="00B85438" w:rsidRDefault="00B85438" w:rsidP="00FD69F7">
      <w:pPr>
        <w:jc w:val="both"/>
        <w:rPr>
          <w:rFonts w:ascii="Titillium" w:hAnsi="Titillium"/>
          <w:b/>
          <w:bCs/>
          <w:noProof/>
          <w:sz w:val="36"/>
          <w:szCs w:val="36"/>
          <w:lang w:eastAsia="en-GB"/>
        </w:rPr>
      </w:pPr>
    </w:p>
    <w:p w14:paraId="02D152AF" w14:textId="77777777" w:rsidR="00910A04" w:rsidRPr="00B85438" w:rsidRDefault="00910A04" w:rsidP="00FD69F7">
      <w:pPr>
        <w:jc w:val="both"/>
        <w:rPr>
          <w:lang w:eastAsia="en-GB"/>
        </w:rPr>
      </w:pPr>
    </w:p>
    <w:p w14:paraId="1D7CD6C5" w14:textId="55CD221D" w:rsidR="00B85438" w:rsidRPr="00DF1B26" w:rsidRDefault="00B85438" w:rsidP="00FD69F7">
      <w:pPr>
        <w:pStyle w:val="Heading2"/>
        <w:jc w:val="both"/>
        <w:rPr>
          <w:color w:val="67B8E7"/>
        </w:rPr>
      </w:pPr>
      <w:r w:rsidRPr="00DF1B26">
        <w:rPr>
          <w:color w:val="67B8E7"/>
        </w:rPr>
        <w:t xml:space="preserve">Introduction </w:t>
      </w:r>
    </w:p>
    <w:p w14:paraId="594813AA" w14:textId="77777777" w:rsidR="00B85438" w:rsidRPr="00B85438" w:rsidRDefault="00B85438" w:rsidP="00FD69F7">
      <w:pPr>
        <w:jc w:val="both"/>
        <w:rPr>
          <w:rFonts w:ascii="Titillium" w:hAnsi="Titillium"/>
          <w:lang w:eastAsia="en-GB"/>
        </w:rPr>
      </w:pPr>
    </w:p>
    <w:p w14:paraId="3D274144" w14:textId="67915F0E" w:rsidR="00B85438" w:rsidRPr="00771D7E" w:rsidRDefault="00B85438" w:rsidP="00FD69F7">
      <w:pPr>
        <w:ind w:left="709" w:hanging="709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1.1</w:t>
      </w:r>
      <w:r w:rsidRPr="00771D7E">
        <w:rPr>
          <w:rFonts w:ascii="Titillium" w:hAnsi="Titillium"/>
          <w:lang w:eastAsia="en-GB"/>
        </w:rPr>
        <w:tab/>
      </w:r>
      <w:r w:rsidR="00086C12" w:rsidRPr="00771D7E">
        <w:rPr>
          <w:rFonts w:ascii="Titillium" w:hAnsi="Titillium"/>
          <w:lang w:eastAsia="en-GB"/>
        </w:rPr>
        <w:tab/>
      </w:r>
      <w:r w:rsidRPr="00771D7E">
        <w:rPr>
          <w:rFonts w:ascii="Titillium" w:hAnsi="Titillium"/>
          <w:lang w:eastAsia="en-GB"/>
        </w:rPr>
        <w:t xml:space="preserve">Acting-up and additional responsibility allowances are paid when a role holder takes on </w:t>
      </w:r>
      <w:r w:rsidR="00086C12" w:rsidRPr="00771D7E">
        <w:rPr>
          <w:rFonts w:ascii="Titillium" w:hAnsi="Titillium"/>
          <w:lang w:eastAsia="en-GB"/>
        </w:rPr>
        <w:tab/>
      </w:r>
      <w:r w:rsidRPr="00771D7E">
        <w:rPr>
          <w:rFonts w:ascii="Titillium" w:hAnsi="Titillium"/>
          <w:lang w:eastAsia="en-GB"/>
        </w:rPr>
        <w:t xml:space="preserve">additional duties or responsibilities of a higher graded role for a limited </w:t>
      </w:r>
      <w:proofErr w:type="gramStart"/>
      <w:r w:rsidRPr="00771D7E">
        <w:rPr>
          <w:rFonts w:ascii="Titillium" w:hAnsi="Titillium"/>
          <w:lang w:eastAsia="en-GB"/>
        </w:rPr>
        <w:t>period of time</w:t>
      </w:r>
      <w:proofErr w:type="gramEnd"/>
      <w:r w:rsidRPr="00771D7E">
        <w:rPr>
          <w:rFonts w:ascii="Titillium" w:hAnsi="Titillium"/>
          <w:lang w:eastAsia="en-GB"/>
        </w:rPr>
        <w:t xml:space="preserve">.  It </w:t>
      </w:r>
      <w:r w:rsidR="00086C12" w:rsidRPr="00771D7E">
        <w:rPr>
          <w:rFonts w:ascii="Titillium" w:hAnsi="Titillium"/>
          <w:lang w:eastAsia="en-GB"/>
        </w:rPr>
        <w:t xml:space="preserve">is </w:t>
      </w:r>
      <w:r w:rsidRPr="00771D7E">
        <w:rPr>
          <w:rFonts w:ascii="Titillium" w:hAnsi="Titillium"/>
          <w:lang w:eastAsia="en-GB"/>
        </w:rPr>
        <w:t xml:space="preserve">important that this policy is transparent and applied consistently and fairly across the University. </w:t>
      </w:r>
    </w:p>
    <w:p w14:paraId="5B865445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4B5BCAA2" w14:textId="4D847C30" w:rsidR="00B85438" w:rsidRPr="00DF1B26" w:rsidRDefault="00B85438" w:rsidP="00FD69F7">
      <w:pPr>
        <w:pStyle w:val="Heading2"/>
        <w:jc w:val="both"/>
        <w:rPr>
          <w:color w:val="67B8E7"/>
        </w:rPr>
      </w:pPr>
      <w:r w:rsidRPr="00DF1B26">
        <w:rPr>
          <w:color w:val="67B8E7"/>
        </w:rPr>
        <w:t>Definition of acting-up and additional responsibility allowance</w:t>
      </w:r>
    </w:p>
    <w:p w14:paraId="1B799473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2240D353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2.1</w:t>
      </w:r>
      <w:r w:rsidRPr="00771D7E">
        <w:rPr>
          <w:rFonts w:ascii="Titillium" w:hAnsi="Titillium"/>
          <w:lang w:eastAsia="en-GB"/>
        </w:rPr>
        <w:tab/>
        <w:t>Acting up allowance</w:t>
      </w:r>
    </w:p>
    <w:p w14:paraId="2BF7DEEF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5F30511C" w14:textId="77777777" w:rsidR="00B85438" w:rsidRPr="00771D7E" w:rsidRDefault="00B85438" w:rsidP="00771D7E">
      <w:pPr>
        <w:ind w:firstLine="426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An individual would receive an-acting up allowance if they are asked to:</w:t>
      </w:r>
    </w:p>
    <w:p w14:paraId="5BA49AA7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54CDDFB2" w14:textId="3C80302F" w:rsidR="00B85438" w:rsidRPr="00771D7E" w:rsidRDefault="00B85438" w:rsidP="00FD69F7">
      <w:pPr>
        <w:pStyle w:val="ListParagraph"/>
        <w:numPr>
          <w:ilvl w:val="0"/>
          <w:numId w:val="30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 xml:space="preserve">Undertake the full duties and responsibilities of a higher graded role for a continuous period which would normally be for a minimum of four weeks and a maximum of six months.    </w:t>
      </w:r>
    </w:p>
    <w:p w14:paraId="790B8022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493F9BB3" w14:textId="77777777" w:rsidR="00B85438" w:rsidRPr="00771D7E" w:rsidRDefault="00B85438" w:rsidP="00FD69F7">
      <w:pPr>
        <w:pStyle w:val="ListParagraph"/>
        <w:numPr>
          <w:ilvl w:val="0"/>
          <w:numId w:val="30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Examples when an acting-up allowance may be appropriate include:</w:t>
      </w:r>
    </w:p>
    <w:p w14:paraId="28450BE7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7BE669A4" w14:textId="1CC5572A" w:rsidR="00B85438" w:rsidRPr="00771D7E" w:rsidRDefault="00B85438" w:rsidP="00FD69F7">
      <w:pPr>
        <w:pStyle w:val="ListParagraph"/>
        <w:numPr>
          <w:ilvl w:val="0"/>
          <w:numId w:val="30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Taking on 100% of the higher graded job to cover sickness absence, maternity leave, career break or other extended periods of leave (but not annual leave)</w:t>
      </w:r>
    </w:p>
    <w:p w14:paraId="516FB8C8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073329C8" w14:textId="59ADA2CC" w:rsidR="00B85438" w:rsidRPr="00771D7E" w:rsidRDefault="00B85438" w:rsidP="00FD69F7">
      <w:pPr>
        <w:pStyle w:val="ListParagraph"/>
        <w:numPr>
          <w:ilvl w:val="0"/>
          <w:numId w:val="30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 xml:space="preserve">Taking on 100% of the higher graded job to cover a vacant post until it is filled on a permanent basis  </w:t>
      </w:r>
    </w:p>
    <w:p w14:paraId="50D68165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502EF22E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2.2</w:t>
      </w:r>
      <w:r w:rsidRPr="00771D7E">
        <w:rPr>
          <w:rFonts w:ascii="Titillium" w:hAnsi="Titillium"/>
          <w:lang w:eastAsia="en-GB"/>
        </w:rPr>
        <w:tab/>
        <w:t>Additional responsibility allowance</w:t>
      </w:r>
    </w:p>
    <w:p w14:paraId="340DBD88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0E2CD6B0" w14:textId="77777777" w:rsidR="00B85438" w:rsidRPr="00771D7E" w:rsidRDefault="00B85438" w:rsidP="00771D7E">
      <w:pPr>
        <w:ind w:left="426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An individual would receive an additional responsibility allowance if they are asked to:</w:t>
      </w:r>
    </w:p>
    <w:p w14:paraId="6934CDF7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29CE6721" w14:textId="1FAE17A3" w:rsidR="00B85438" w:rsidRPr="00771D7E" w:rsidRDefault="00B85438" w:rsidP="00FD69F7">
      <w:pPr>
        <w:pStyle w:val="ListParagraph"/>
        <w:numPr>
          <w:ilvl w:val="0"/>
          <w:numId w:val="28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Undertake part of the duties and responsibilities of a higher graded role for a continuous period which would normally be for a minimum of four weeks and a maximum of six months, or</w:t>
      </w:r>
    </w:p>
    <w:p w14:paraId="6E573421" w14:textId="50F9C925" w:rsidR="00B85438" w:rsidRPr="00771D7E" w:rsidRDefault="00B85438" w:rsidP="00FD69F7">
      <w:pPr>
        <w:ind w:firstLine="60"/>
        <w:jc w:val="both"/>
        <w:rPr>
          <w:rFonts w:ascii="Titillium" w:hAnsi="Titillium"/>
          <w:lang w:eastAsia="en-GB"/>
        </w:rPr>
      </w:pPr>
    </w:p>
    <w:p w14:paraId="2277B958" w14:textId="09E6C8C9" w:rsidR="00B85438" w:rsidRPr="00771D7E" w:rsidRDefault="00B85438" w:rsidP="00FD69F7">
      <w:pPr>
        <w:pStyle w:val="ListParagraph"/>
        <w:numPr>
          <w:ilvl w:val="0"/>
          <w:numId w:val="28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If there is a temporary need for specific business purposes for an individual to complete a specific piece of work.</w:t>
      </w:r>
    </w:p>
    <w:p w14:paraId="2483DA4D" w14:textId="77777777" w:rsid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5F05E846" w14:textId="1E344D1F" w:rsidR="00B85438" w:rsidRPr="00771D7E" w:rsidRDefault="00B85438" w:rsidP="00771D7E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lastRenderedPageBreak/>
        <w:t>Examples when an additional responsibility allowance may be appropriate include:</w:t>
      </w:r>
    </w:p>
    <w:p w14:paraId="00AC9F0C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795E4C20" w14:textId="4F045C91" w:rsidR="00B85438" w:rsidRPr="00771D7E" w:rsidRDefault="00B85438" w:rsidP="00FD69F7">
      <w:pPr>
        <w:pStyle w:val="ListParagraph"/>
        <w:numPr>
          <w:ilvl w:val="0"/>
          <w:numId w:val="29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Taking on part of a higher graded job, i.e. less than 100% of the duties and responsibilities, to cover sickness absence, maternity leave, career break or other extended periods of leave (but not annual leave)</w:t>
      </w:r>
    </w:p>
    <w:p w14:paraId="319B4D61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2DF45AE1" w14:textId="6513639F" w:rsidR="00B85438" w:rsidRPr="00771D7E" w:rsidRDefault="00B85438" w:rsidP="00FD69F7">
      <w:pPr>
        <w:pStyle w:val="ListParagraph"/>
        <w:numPr>
          <w:ilvl w:val="0"/>
          <w:numId w:val="29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 xml:space="preserve">Taking on part of the higher graded job to cover of a vacant post until it is filled on a permanent basis  </w:t>
      </w:r>
    </w:p>
    <w:p w14:paraId="124F3F03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0530FE55" w14:textId="484657D1" w:rsidR="00B85438" w:rsidRPr="00771D7E" w:rsidRDefault="00B85438" w:rsidP="00FD69F7">
      <w:pPr>
        <w:pStyle w:val="ListParagraph"/>
        <w:numPr>
          <w:ilvl w:val="0"/>
          <w:numId w:val="29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 xml:space="preserve">Completion of temporary projects </w:t>
      </w:r>
    </w:p>
    <w:p w14:paraId="4399A4BF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7852111E" w14:textId="32AA24EC" w:rsidR="00B85438" w:rsidRPr="00771D7E" w:rsidRDefault="00B85438" w:rsidP="00FD69F7">
      <w:pPr>
        <w:ind w:left="720" w:hanging="720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2.3</w:t>
      </w:r>
      <w:r w:rsidRPr="00771D7E">
        <w:rPr>
          <w:rFonts w:ascii="Titillium" w:hAnsi="Titillium"/>
          <w:lang w:eastAsia="en-GB"/>
        </w:rPr>
        <w:tab/>
        <w:t xml:space="preserve">Payment for acting up or additional responsibilities should not always be regarded as a first option for a manager.  Consideration should be given to ways in which the work might be re-organised on a temporary basis (up to a maximum of 4 weeks), so that the essential duties and responsibilities of the role are covered.  </w:t>
      </w:r>
    </w:p>
    <w:p w14:paraId="7F67B504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489843E1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2.4</w:t>
      </w:r>
      <w:r w:rsidRPr="00771D7E">
        <w:rPr>
          <w:rFonts w:ascii="Titillium" w:hAnsi="Titillium"/>
          <w:lang w:eastAsia="en-GB"/>
        </w:rPr>
        <w:tab/>
        <w:t>Posts may remain vacant or not be covered where the line manager decides this is appropriate.</w:t>
      </w:r>
    </w:p>
    <w:p w14:paraId="3A8D8CD7" w14:textId="77777777" w:rsidR="00086C12" w:rsidRPr="00771D7E" w:rsidRDefault="00086C12" w:rsidP="00FD69F7">
      <w:pPr>
        <w:jc w:val="both"/>
        <w:rPr>
          <w:rFonts w:ascii="Titillium" w:hAnsi="Titillium"/>
          <w:lang w:eastAsia="en-GB"/>
        </w:rPr>
      </w:pPr>
    </w:p>
    <w:p w14:paraId="64196D21" w14:textId="0F8C78F7" w:rsidR="00B85438" w:rsidRPr="00DF1B26" w:rsidRDefault="00B85438" w:rsidP="00FD69F7">
      <w:pPr>
        <w:pStyle w:val="Heading2"/>
        <w:jc w:val="both"/>
        <w:rPr>
          <w:color w:val="67B8E7"/>
          <w:lang w:eastAsia="en-GB"/>
        </w:rPr>
      </w:pPr>
      <w:r w:rsidRPr="00DF1B26">
        <w:rPr>
          <w:color w:val="67B8E7"/>
          <w:lang w:eastAsia="en-GB"/>
        </w:rPr>
        <w:tab/>
        <w:t>Duration of acting-up and additional responsibility allowances</w:t>
      </w:r>
    </w:p>
    <w:p w14:paraId="3E7C79E2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485CA659" w14:textId="77777777" w:rsidR="00B85438" w:rsidRPr="00086C12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  <w:r w:rsidRPr="00086C12">
        <w:rPr>
          <w:rFonts w:ascii="Titillium" w:hAnsi="Titillium"/>
          <w:sz w:val="22"/>
          <w:szCs w:val="22"/>
          <w:lang w:eastAsia="en-GB"/>
        </w:rPr>
        <w:t>3.1</w:t>
      </w:r>
      <w:r w:rsidRPr="00086C12">
        <w:rPr>
          <w:rFonts w:ascii="Titillium" w:hAnsi="Titillium"/>
          <w:sz w:val="22"/>
          <w:szCs w:val="22"/>
          <w:lang w:eastAsia="en-GB"/>
        </w:rPr>
        <w:tab/>
        <w:t>Acting-up beyond 6 months</w:t>
      </w:r>
    </w:p>
    <w:p w14:paraId="2566769B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66E0DCB7" w14:textId="77777777" w:rsidR="00B85438" w:rsidRPr="00B85438" w:rsidRDefault="00B85438" w:rsidP="00771D7E">
      <w:pPr>
        <w:ind w:left="709"/>
        <w:jc w:val="both"/>
        <w:rPr>
          <w:rFonts w:ascii="Titillium" w:hAnsi="Titillium"/>
          <w:sz w:val="22"/>
          <w:szCs w:val="22"/>
          <w:lang w:eastAsia="en-GB"/>
        </w:rPr>
      </w:pPr>
      <w:r w:rsidRPr="00B85438">
        <w:rPr>
          <w:rFonts w:ascii="Titillium" w:hAnsi="Titillium"/>
          <w:sz w:val="22"/>
          <w:szCs w:val="22"/>
          <w:lang w:eastAsia="en-GB"/>
        </w:rPr>
        <w:t>A month before the period of acting-up is due to finish a review should take place between the role holder and line manager</w:t>
      </w:r>
    </w:p>
    <w:p w14:paraId="5B805276" w14:textId="77777777" w:rsidR="00B85438" w:rsidRPr="00B85438" w:rsidRDefault="00B85438" w:rsidP="00771D7E">
      <w:pPr>
        <w:ind w:left="709"/>
        <w:jc w:val="both"/>
        <w:rPr>
          <w:rFonts w:ascii="Titillium" w:hAnsi="Titillium"/>
          <w:sz w:val="22"/>
          <w:szCs w:val="22"/>
          <w:lang w:eastAsia="en-GB"/>
        </w:rPr>
      </w:pPr>
    </w:p>
    <w:p w14:paraId="64E86DFA" w14:textId="3B22D735" w:rsidR="00B85438" w:rsidRPr="00B85438" w:rsidRDefault="00B85438" w:rsidP="00771D7E">
      <w:pPr>
        <w:ind w:left="709"/>
        <w:jc w:val="both"/>
        <w:rPr>
          <w:rFonts w:ascii="Titillium" w:hAnsi="Titillium"/>
          <w:sz w:val="22"/>
          <w:szCs w:val="22"/>
          <w:lang w:eastAsia="en-GB"/>
        </w:rPr>
      </w:pPr>
      <w:r w:rsidRPr="00B85438">
        <w:rPr>
          <w:rFonts w:ascii="Titillium" w:hAnsi="Titillium"/>
          <w:sz w:val="22"/>
          <w:szCs w:val="22"/>
          <w:lang w:eastAsia="en-GB"/>
        </w:rPr>
        <w:t xml:space="preserve">If it is anticipated that the requirement for acting-up will continue beyond the initial 6 month period, the line manager with guidance from the designated </w:t>
      </w:r>
      <w:r w:rsidR="00086C12">
        <w:rPr>
          <w:rFonts w:ascii="Titillium" w:hAnsi="Titillium"/>
          <w:sz w:val="22"/>
          <w:szCs w:val="22"/>
          <w:lang w:eastAsia="en-GB"/>
        </w:rPr>
        <w:t>People</w:t>
      </w:r>
      <w:r w:rsidRPr="00B85438">
        <w:rPr>
          <w:rFonts w:ascii="Titillium" w:hAnsi="Titillium"/>
          <w:sz w:val="22"/>
          <w:szCs w:val="22"/>
          <w:lang w:eastAsia="en-GB"/>
        </w:rPr>
        <w:t xml:space="preserve"> Partner should then </w:t>
      </w:r>
      <w:proofErr w:type="gramStart"/>
      <w:r w:rsidRPr="00B85438">
        <w:rPr>
          <w:rFonts w:ascii="Titillium" w:hAnsi="Titillium"/>
          <w:sz w:val="22"/>
          <w:szCs w:val="22"/>
          <w:lang w:eastAsia="en-GB"/>
        </w:rPr>
        <w:t>make a decision</w:t>
      </w:r>
      <w:proofErr w:type="gramEnd"/>
      <w:r w:rsidRPr="00B85438">
        <w:rPr>
          <w:rFonts w:ascii="Titillium" w:hAnsi="Titillium"/>
          <w:sz w:val="22"/>
          <w:szCs w:val="22"/>
          <w:lang w:eastAsia="en-GB"/>
        </w:rPr>
        <w:t xml:space="preserve"> whether the acting-up should become a secondment or advertised as a permanent post. </w:t>
      </w:r>
    </w:p>
    <w:p w14:paraId="46E669E6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27054AF2" w14:textId="77777777" w:rsidR="00B85438" w:rsidRPr="00086C12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  <w:r w:rsidRPr="00086C12">
        <w:rPr>
          <w:rFonts w:ascii="Titillium" w:hAnsi="Titillium"/>
          <w:sz w:val="22"/>
          <w:szCs w:val="22"/>
          <w:lang w:eastAsia="en-GB"/>
        </w:rPr>
        <w:t>3.2</w:t>
      </w:r>
      <w:r w:rsidRPr="00086C12">
        <w:rPr>
          <w:rFonts w:ascii="Titillium" w:hAnsi="Titillium"/>
          <w:sz w:val="22"/>
          <w:szCs w:val="22"/>
          <w:lang w:eastAsia="en-GB"/>
        </w:rPr>
        <w:tab/>
        <w:t>Additional responsibility beyond 6 months</w:t>
      </w:r>
    </w:p>
    <w:p w14:paraId="1118E1C9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029A9485" w14:textId="77777777" w:rsidR="00B85438" w:rsidRPr="00B85438" w:rsidRDefault="00B85438" w:rsidP="00771D7E">
      <w:pPr>
        <w:ind w:left="709"/>
        <w:jc w:val="both"/>
        <w:rPr>
          <w:rFonts w:ascii="Titillium" w:hAnsi="Titillium"/>
          <w:sz w:val="22"/>
          <w:szCs w:val="22"/>
          <w:lang w:eastAsia="en-GB"/>
        </w:rPr>
      </w:pPr>
      <w:r w:rsidRPr="00B85438">
        <w:rPr>
          <w:rFonts w:ascii="Titillium" w:hAnsi="Titillium"/>
          <w:sz w:val="22"/>
          <w:szCs w:val="22"/>
          <w:lang w:eastAsia="en-GB"/>
        </w:rPr>
        <w:t>A month before the period of additional responsibility is due to finish a review should take place between the role holder and line manager.</w:t>
      </w:r>
    </w:p>
    <w:p w14:paraId="7F406424" w14:textId="77777777" w:rsidR="00B85438" w:rsidRPr="00B85438" w:rsidRDefault="00B85438" w:rsidP="00771D7E">
      <w:pPr>
        <w:ind w:left="709"/>
        <w:jc w:val="both"/>
        <w:rPr>
          <w:rFonts w:ascii="Titillium" w:hAnsi="Titillium"/>
          <w:sz w:val="22"/>
          <w:szCs w:val="22"/>
          <w:lang w:eastAsia="en-GB"/>
        </w:rPr>
      </w:pPr>
    </w:p>
    <w:p w14:paraId="2327EB0D" w14:textId="5FC934AA" w:rsidR="00B85438" w:rsidRDefault="00B85438" w:rsidP="00771D7E">
      <w:pPr>
        <w:ind w:left="709"/>
        <w:jc w:val="both"/>
        <w:rPr>
          <w:rFonts w:ascii="Titillium" w:hAnsi="Titillium"/>
          <w:sz w:val="22"/>
          <w:szCs w:val="22"/>
          <w:lang w:eastAsia="en-GB"/>
        </w:rPr>
      </w:pPr>
      <w:r w:rsidRPr="00B85438">
        <w:rPr>
          <w:rFonts w:ascii="Titillium" w:hAnsi="Titillium"/>
          <w:sz w:val="22"/>
          <w:szCs w:val="22"/>
          <w:lang w:eastAsia="en-GB"/>
        </w:rPr>
        <w:t xml:space="preserve">If it is anticipated that the requirement for additional responsibility will continue beyond the initial 6 month period, the line manager with guidance from the designated </w:t>
      </w:r>
      <w:r w:rsidR="00086C12">
        <w:rPr>
          <w:rFonts w:ascii="Titillium" w:hAnsi="Titillium"/>
          <w:sz w:val="22"/>
          <w:szCs w:val="22"/>
          <w:lang w:eastAsia="en-GB"/>
        </w:rPr>
        <w:t>People</w:t>
      </w:r>
      <w:r w:rsidRPr="00B85438">
        <w:rPr>
          <w:rFonts w:ascii="Titillium" w:hAnsi="Titillium"/>
          <w:sz w:val="22"/>
          <w:szCs w:val="22"/>
          <w:lang w:eastAsia="en-GB"/>
        </w:rPr>
        <w:t xml:space="preserve"> Partner should </w:t>
      </w:r>
      <w:proofErr w:type="gramStart"/>
      <w:r w:rsidRPr="00B85438">
        <w:rPr>
          <w:rFonts w:ascii="Titillium" w:hAnsi="Titillium"/>
          <w:sz w:val="22"/>
          <w:szCs w:val="22"/>
          <w:lang w:eastAsia="en-GB"/>
        </w:rPr>
        <w:t>make a decision</w:t>
      </w:r>
      <w:proofErr w:type="gramEnd"/>
      <w:r w:rsidRPr="00B85438">
        <w:rPr>
          <w:rFonts w:ascii="Titillium" w:hAnsi="Titillium"/>
          <w:sz w:val="22"/>
          <w:szCs w:val="22"/>
          <w:lang w:eastAsia="en-GB"/>
        </w:rPr>
        <w:t xml:space="preserve"> whether these responsibilities are now a permanent requirement of the role. If this is the case, the role should be considered for re-grading.</w:t>
      </w:r>
    </w:p>
    <w:p w14:paraId="35805197" w14:textId="77777777" w:rsidR="00086C12" w:rsidRDefault="00086C12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39F355BF" w14:textId="750B14D9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472D4446" w14:textId="6CD446B6" w:rsidR="00B85438" w:rsidRPr="00DF1B26" w:rsidRDefault="00B85438" w:rsidP="00FD69F7">
      <w:pPr>
        <w:pStyle w:val="Heading2"/>
        <w:jc w:val="both"/>
        <w:rPr>
          <w:color w:val="67B8E7"/>
          <w:lang w:eastAsia="en-GB"/>
        </w:rPr>
      </w:pPr>
      <w:r w:rsidRPr="00DF1B26">
        <w:rPr>
          <w:color w:val="67B8E7"/>
          <w:lang w:eastAsia="en-GB"/>
        </w:rPr>
        <w:lastRenderedPageBreak/>
        <w:tab/>
        <w:t>Principles of Selection</w:t>
      </w:r>
    </w:p>
    <w:p w14:paraId="2EA0FAA3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70BC0472" w14:textId="77777777" w:rsidR="00B85438" w:rsidRPr="00771D7E" w:rsidRDefault="00B85438" w:rsidP="00771D7E">
      <w:pPr>
        <w:ind w:left="709" w:hanging="709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4.1</w:t>
      </w:r>
      <w:r w:rsidRPr="00771D7E">
        <w:rPr>
          <w:rFonts w:ascii="Titillium" w:hAnsi="Titillium"/>
          <w:lang w:eastAsia="en-GB"/>
        </w:rPr>
        <w:tab/>
        <w:t xml:space="preserve">Acting-up and taking on additional responsibilities provide an individual with the opportunity to develop new skills and experience, which may lead to enhanced career opportunities. </w:t>
      </w:r>
    </w:p>
    <w:p w14:paraId="78038352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39D1CF02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4.2</w:t>
      </w:r>
      <w:r w:rsidRPr="00771D7E">
        <w:rPr>
          <w:rFonts w:ascii="Titillium" w:hAnsi="Titillium"/>
          <w:lang w:eastAsia="en-GB"/>
        </w:rPr>
        <w:tab/>
        <w:t xml:space="preserve">The selection process must be systematic and objective, and may include:  </w:t>
      </w:r>
    </w:p>
    <w:p w14:paraId="40FF610F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203B546B" w14:textId="505E978B" w:rsidR="00B85438" w:rsidRPr="00771D7E" w:rsidRDefault="00B85438" w:rsidP="00FD69F7">
      <w:pPr>
        <w:pStyle w:val="ListParagraph"/>
        <w:numPr>
          <w:ilvl w:val="0"/>
          <w:numId w:val="31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The Professional Development Review action plan or</w:t>
      </w:r>
    </w:p>
    <w:p w14:paraId="1F2249CA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017597B7" w14:textId="57E890FA" w:rsidR="00B85438" w:rsidRPr="00771D7E" w:rsidRDefault="00B85438" w:rsidP="00FD69F7">
      <w:pPr>
        <w:pStyle w:val="ListParagraph"/>
        <w:numPr>
          <w:ilvl w:val="0"/>
          <w:numId w:val="31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An interview</w:t>
      </w:r>
    </w:p>
    <w:p w14:paraId="1749E5FB" w14:textId="77777777" w:rsidR="00B85438" w:rsidRPr="005C4AE3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09087EE4" w14:textId="555FAF1B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 xml:space="preserve">Records should be kept of the process and the reasons for selection forwarded to </w:t>
      </w:r>
      <w:r w:rsidR="00086C12" w:rsidRPr="00771D7E">
        <w:rPr>
          <w:rFonts w:ascii="Titillium" w:hAnsi="Titillium"/>
          <w:lang w:eastAsia="en-GB"/>
        </w:rPr>
        <w:t>The People Team</w:t>
      </w:r>
      <w:r w:rsidRPr="00771D7E">
        <w:rPr>
          <w:rFonts w:ascii="Titillium" w:hAnsi="Titillium"/>
          <w:lang w:eastAsia="en-GB"/>
        </w:rPr>
        <w:t>.</w:t>
      </w:r>
    </w:p>
    <w:p w14:paraId="25F8B25B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50DF0DC2" w14:textId="77777777" w:rsidR="00B85438" w:rsidRPr="00771D7E" w:rsidRDefault="00B85438" w:rsidP="00FD69F7">
      <w:pPr>
        <w:ind w:left="720" w:hanging="720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4.3</w:t>
      </w:r>
      <w:r w:rsidRPr="00771D7E">
        <w:rPr>
          <w:rFonts w:ascii="Titillium" w:hAnsi="Titillium"/>
          <w:lang w:eastAsia="en-GB"/>
        </w:rPr>
        <w:tab/>
        <w:t xml:space="preserve">To ensure equity and fairness consideration should be given initially to suitable staff within the School/Service area.  Should suitable individuals not be identified then consideration should be widened to /University level.  </w:t>
      </w:r>
    </w:p>
    <w:p w14:paraId="181FB29E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05FD0201" w14:textId="1B93D3F7" w:rsidR="00B85438" w:rsidRPr="00771D7E" w:rsidRDefault="00B85438" w:rsidP="00FD69F7">
      <w:pPr>
        <w:ind w:left="720" w:hanging="720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4.4</w:t>
      </w:r>
      <w:r w:rsidRPr="00771D7E">
        <w:rPr>
          <w:rFonts w:ascii="Titillium" w:hAnsi="Titillium"/>
          <w:lang w:eastAsia="en-GB"/>
        </w:rPr>
        <w:tab/>
        <w:t xml:space="preserve">If more than one person falls within the pool of staff suitable for acting up or additional responsibility, then a formal selection process must be adopted in line with University policy. </w:t>
      </w:r>
    </w:p>
    <w:p w14:paraId="56428F1E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527958ED" w14:textId="692206D2" w:rsidR="00B85438" w:rsidRPr="00DF1B26" w:rsidRDefault="00B85438" w:rsidP="00FD69F7">
      <w:pPr>
        <w:pStyle w:val="Heading2"/>
        <w:jc w:val="both"/>
        <w:rPr>
          <w:color w:val="67B8E7"/>
          <w:lang w:eastAsia="en-GB"/>
        </w:rPr>
      </w:pPr>
      <w:r w:rsidRPr="00DF1B26">
        <w:rPr>
          <w:color w:val="67B8E7"/>
          <w:lang w:eastAsia="en-GB"/>
        </w:rPr>
        <w:tab/>
        <w:t>Payment</w:t>
      </w:r>
    </w:p>
    <w:p w14:paraId="14554C93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27675A07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5.1</w:t>
      </w:r>
      <w:r w:rsidRPr="00771D7E">
        <w:rPr>
          <w:rFonts w:ascii="Titillium" w:hAnsi="Titillium"/>
          <w:lang w:eastAsia="en-GB"/>
        </w:rPr>
        <w:tab/>
        <w:t>Acting- up allowance</w:t>
      </w:r>
    </w:p>
    <w:p w14:paraId="42F581FB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5F883FF1" w14:textId="0679EB7B" w:rsidR="00B85438" w:rsidRPr="00771D7E" w:rsidRDefault="00B85438" w:rsidP="00771D7E">
      <w:pPr>
        <w:ind w:left="709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 xml:space="preserve">For the duration of the acting up period, the </w:t>
      </w:r>
      <w:r w:rsidR="00F148CE" w:rsidRPr="00771D7E">
        <w:rPr>
          <w:rFonts w:ascii="Titillium" w:hAnsi="Titillium"/>
          <w:lang w:eastAsia="en-GB"/>
        </w:rPr>
        <w:t>colleague</w:t>
      </w:r>
      <w:r w:rsidRPr="00771D7E">
        <w:rPr>
          <w:rFonts w:ascii="Titillium" w:hAnsi="Titillium"/>
          <w:lang w:eastAsia="en-GB"/>
        </w:rPr>
        <w:t xml:space="preserve"> will be paid on the minimum point of the evaluated grade for the role that they are carrying out 100% of the duties and responsibilities for. </w:t>
      </w:r>
    </w:p>
    <w:p w14:paraId="0909DE84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5AAA18E3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5.2</w:t>
      </w:r>
      <w:r w:rsidRPr="00771D7E">
        <w:rPr>
          <w:rFonts w:ascii="Titillium" w:hAnsi="Titillium"/>
          <w:lang w:eastAsia="en-GB"/>
        </w:rPr>
        <w:tab/>
        <w:t>Additional responsibility allowance</w:t>
      </w:r>
    </w:p>
    <w:p w14:paraId="4A899960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1BCDDAB5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The additional responsibility allowance payment will be calculated based on:</w:t>
      </w:r>
    </w:p>
    <w:p w14:paraId="434C1BA2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59CCF370" w14:textId="55CB36E6" w:rsidR="00B85438" w:rsidRPr="00771D7E" w:rsidRDefault="00B85438" w:rsidP="00F148CE">
      <w:pPr>
        <w:pStyle w:val="ListParagraph"/>
        <w:numPr>
          <w:ilvl w:val="0"/>
          <w:numId w:val="32"/>
        </w:numPr>
        <w:ind w:left="709" w:hanging="349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The percentage of the duties and responsibilities being undertaken at the higher grade</w:t>
      </w:r>
    </w:p>
    <w:p w14:paraId="26A3E482" w14:textId="62F277A0" w:rsidR="00B85438" w:rsidRPr="00771D7E" w:rsidRDefault="00B85438" w:rsidP="00F148CE">
      <w:pPr>
        <w:pStyle w:val="ListParagraph"/>
        <w:numPr>
          <w:ilvl w:val="0"/>
          <w:numId w:val="32"/>
        </w:numPr>
        <w:ind w:left="709" w:hanging="349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 xml:space="preserve">The difference between the </w:t>
      </w:r>
      <w:r w:rsidR="00F148CE" w:rsidRPr="00771D7E">
        <w:rPr>
          <w:rFonts w:ascii="Titillium" w:hAnsi="Titillium"/>
          <w:lang w:eastAsia="en-GB"/>
        </w:rPr>
        <w:t>colleague</w:t>
      </w:r>
      <w:r w:rsidRPr="00771D7E">
        <w:rPr>
          <w:rFonts w:ascii="Titillium" w:hAnsi="Titillium"/>
          <w:lang w:eastAsia="en-GB"/>
        </w:rPr>
        <w:t>’s current salary and the bottom point of the evaluated</w:t>
      </w:r>
      <w:r w:rsidR="00F148CE" w:rsidRPr="00771D7E">
        <w:rPr>
          <w:rFonts w:ascii="Titillium" w:hAnsi="Titillium"/>
          <w:lang w:eastAsia="en-GB"/>
        </w:rPr>
        <w:t xml:space="preserve"> </w:t>
      </w:r>
      <w:r w:rsidRPr="00771D7E">
        <w:rPr>
          <w:rFonts w:ascii="Titillium" w:hAnsi="Titillium"/>
          <w:lang w:eastAsia="en-GB"/>
        </w:rPr>
        <w:t>grade</w:t>
      </w:r>
    </w:p>
    <w:p w14:paraId="78821A60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323ADC32" w14:textId="0A74FFF3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lastRenderedPageBreak/>
        <w:t xml:space="preserve">If the additional responsibility is for a specific piece of work </w:t>
      </w:r>
      <w:r w:rsidR="00086C12" w:rsidRPr="00771D7E">
        <w:rPr>
          <w:rFonts w:ascii="Titillium" w:hAnsi="Titillium"/>
          <w:lang w:eastAsia="en-GB"/>
        </w:rPr>
        <w:t>The People Team</w:t>
      </w:r>
      <w:r w:rsidRPr="00771D7E">
        <w:rPr>
          <w:rFonts w:ascii="Titillium" w:hAnsi="Titillium"/>
          <w:lang w:eastAsia="en-GB"/>
        </w:rPr>
        <w:t xml:space="preserve"> will advise on the amount of allowance which would be appropriate. This allowance will be calculated based on an assessment of:</w:t>
      </w:r>
    </w:p>
    <w:p w14:paraId="171E45CE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7F68A8EE" w14:textId="201B6E4C" w:rsidR="00B85438" w:rsidRPr="00771D7E" w:rsidRDefault="00B85438" w:rsidP="00FD69F7">
      <w:pPr>
        <w:pStyle w:val="ListParagraph"/>
        <w:numPr>
          <w:ilvl w:val="0"/>
          <w:numId w:val="33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Level of work i.e. complexity, size of responsibility</w:t>
      </w:r>
    </w:p>
    <w:p w14:paraId="6D259C08" w14:textId="576327AF" w:rsidR="00B85438" w:rsidRPr="00771D7E" w:rsidRDefault="00B85438" w:rsidP="00FD69F7">
      <w:pPr>
        <w:pStyle w:val="ListParagraph"/>
        <w:numPr>
          <w:ilvl w:val="0"/>
          <w:numId w:val="33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An estimation of the amount of time to complete the piece of work</w:t>
      </w:r>
    </w:p>
    <w:p w14:paraId="56DFDC8F" w14:textId="11F648C2" w:rsidR="00B85438" w:rsidRPr="00771D7E" w:rsidRDefault="00B85438" w:rsidP="00FD69F7">
      <w:pPr>
        <w:pStyle w:val="ListParagraph"/>
        <w:numPr>
          <w:ilvl w:val="0"/>
          <w:numId w:val="33"/>
        </w:num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Existing practice within the University to ensure consistency</w:t>
      </w:r>
    </w:p>
    <w:p w14:paraId="651D4B50" w14:textId="77777777" w:rsidR="00B85438" w:rsidRPr="00771D7E" w:rsidRDefault="00B85438" w:rsidP="00FD69F7">
      <w:pPr>
        <w:jc w:val="both"/>
        <w:rPr>
          <w:rFonts w:ascii="Titillium" w:hAnsi="Titillium"/>
          <w:lang w:eastAsia="en-GB"/>
        </w:rPr>
      </w:pPr>
    </w:p>
    <w:p w14:paraId="2FDF3573" w14:textId="4BF3B73B" w:rsidR="00B85438" w:rsidRPr="00771D7E" w:rsidRDefault="00086C12" w:rsidP="00FD69F7">
      <w:pPr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The People Team</w:t>
      </w:r>
      <w:r w:rsidR="00B85438" w:rsidRPr="00771D7E">
        <w:rPr>
          <w:rFonts w:ascii="Titillium" w:hAnsi="Titillium"/>
          <w:lang w:eastAsia="en-GB"/>
        </w:rPr>
        <w:t xml:space="preserve"> will confirm to the line manager what the allowance will be and this will be applied as a recurring payment each month for the agreed </w:t>
      </w:r>
      <w:proofErr w:type="gramStart"/>
      <w:r w:rsidR="00B85438" w:rsidRPr="00771D7E">
        <w:rPr>
          <w:rFonts w:ascii="Titillium" w:hAnsi="Titillium"/>
          <w:lang w:eastAsia="en-GB"/>
        </w:rPr>
        <w:t>period of time</w:t>
      </w:r>
      <w:proofErr w:type="gramEnd"/>
      <w:r w:rsidR="00B85438" w:rsidRPr="00771D7E">
        <w:rPr>
          <w:rFonts w:ascii="Titillium" w:hAnsi="Titillium"/>
          <w:lang w:eastAsia="en-GB"/>
        </w:rPr>
        <w:t>.</w:t>
      </w:r>
    </w:p>
    <w:p w14:paraId="534D6E37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5C8A067A" w14:textId="7FC2CCB5" w:rsidR="00B85438" w:rsidRPr="00DF1B26" w:rsidRDefault="00B85438" w:rsidP="00FD69F7">
      <w:pPr>
        <w:pStyle w:val="Heading2"/>
        <w:jc w:val="both"/>
        <w:rPr>
          <w:color w:val="67B8E7"/>
          <w:lang w:eastAsia="en-GB"/>
        </w:rPr>
      </w:pPr>
      <w:r w:rsidRPr="00DF1B26">
        <w:rPr>
          <w:color w:val="67B8E7"/>
          <w:lang w:eastAsia="en-GB"/>
        </w:rPr>
        <w:tab/>
        <w:t>Approval</w:t>
      </w:r>
    </w:p>
    <w:p w14:paraId="36274FA3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1D26E779" w14:textId="27CCEA8C" w:rsidR="00B85438" w:rsidRPr="00771D7E" w:rsidRDefault="00B85438" w:rsidP="00FD69F7">
      <w:pPr>
        <w:ind w:left="720" w:hanging="720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>6.1</w:t>
      </w:r>
      <w:r w:rsidRPr="00771D7E">
        <w:rPr>
          <w:rFonts w:ascii="Titillium" w:hAnsi="Titillium"/>
          <w:lang w:eastAsia="en-GB"/>
        </w:rPr>
        <w:tab/>
        <w:t xml:space="preserve">All acting up and additional responsibility payments must be approved using the staffing authorisation procedure, in advance of the duties being undertaken.  </w:t>
      </w:r>
    </w:p>
    <w:p w14:paraId="14FEC447" w14:textId="77777777" w:rsidR="00086C12" w:rsidRPr="00B85438" w:rsidRDefault="00086C12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6AE75BA9" w14:textId="50F1DA9D" w:rsidR="00B85438" w:rsidRPr="00DF1B26" w:rsidRDefault="00B85438" w:rsidP="00FD69F7">
      <w:pPr>
        <w:pStyle w:val="Heading2"/>
        <w:jc w:val="both"/>
        <w:rPr>
          <w:color w:val="67B8E7"/>
          <w:lang w:eastAsia="en-GB"/>
        </w:rPr>
      </w:pPr>
      <w:r w:rsidRPr="00DF1B26">
        <w:rPr>
          <w:color w:val="67B8E7"/>
          <w:lang w:eastAsia="en-GB"/>
        </w:rPr>
        <w:tab/>
        <w:t>Review</w:t>
      </w:r>
    </w:p>
    <w:p w14:paraId="48B4527D" w14:textId="77777777" w:rsidR="00B85438" w:rsidRPr="00B85438" w:rsidRDefault="00B85438" w:rsidP="00FD69F7">
      <w:pPr>
        <w:jc w:val="both"/>
        <w:rPr>
          <w:rFonts w:ascii="Titillium" w:hAnsi="Titillium"/>
          <w:sz w:val="22"/>
          <w:szCs w:val="22"/>
          <w:lang w:eastAsia="en-GB"/>
        </w:rPr>
      </w:pPr>
    </w:p>
    <w:p w14:paraId="48CD6C23" w14:textId="2CDE2432" w:rsidR="00B85438" w:rsidRPr="00771D7E" w:rsidRDefault="00B85438" w:rsidP="00FD69F7">
      <w:pPr>
        <w:pStyle w:val="ListParagraph"/>
        <w:numPr>
          <w:ilvl w:val="1"/>
          <w:numId w:val="25"/>
        </w:numPr>
        <w:ind w:left="709"/>
        <w:jc w:val="both"/>
        <w:rPr>
          <w:rFonts w:ascii="Titillium" w:hAnsi="Titillium"/>
          <w:lang w:eastAsia="en-GB"/>
        </w:rPr>
      </w:pPr>
      <w:r w:rsidRPr="00771D7E">
        <w:rPr>
          <w:rFonts w:ascii="Titillium" w:hAnsi="Titillium"/>
          <w:lang w:eastAsia="en-GB"/>
        </w:rPr>
        <w:t xml:space="preserve">As part of the Professional Development Review plan the line manager should meet with the role holder regularly to monitor progress, in line with the </w:t>
      </w:r>
      <w:r w:rsidR="00833C1B">
        <w:rPr>
          <w:rFonts w:ascii="Titillium" w:hAnsi="Titillium"/>
          <w:lang w:eastAsia="en-GB"/>
        </w:rPr>
        <w:t>colleague’s</w:t>
      </w:r>
      <w:r w:rsidRPr="00771D7E">
        <w:rPr>
          <w:rFonts w:ascii="Titillium" w:hAnsi="Titillium"/>
          <w:lang w:eastAsia="en-GB"/>
        </w:rPr>
        <w:t xml:space="preserve"> professional development review plan.</w:t>
      </w:r>
    </w:p>
    <w:sectPr w:rsidR="00B85438" w:rsidRPr="00771D7E" w:rsidSect="002D01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1985" w:right="1134" w:bottom="1701" w:left="1134" w:header="0" w:footer="0" w:gutter="0"/>
      <w:pgNumType w:start="1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3B9E" w14:textId="77777777" w:rsidR="007A72C5" w:rsidRDefault="007A72C5" w:rsidP="00EC31D5">
      <w:r>
        <w:separator/>
      </w:r>
    </w:p>
    <w:p w14:paraId="3A360CB7" w14:textId="77777777" w:rsidR="007A72C5" w:rsidRDefault="007A72C5"/>
    <w:p w14:paraId="4692AD09" w14:textId="77777777" w:rsidR="007A72C5" w:rsidRDefault="007A72C5" w:rsidP="00E2701B"/>
  </w:endnote>
  <w:endnote w:type="continuationSeparator" w:id="0">
    <w:p w14:paraId="4F4FAF9F" w14:textId="77777777" w:rsidR="007A72C5" w:rsidRDefault="007A72C5" w:rsidP="00EC31D5">
      <w:r>
        <w:continuationSeparator/>
      </w:r>
    </w:p>
    <w:p w14:paraId="3F114433" w14:textId="77777777" w:rsidR="007A72C5" w:rsidRDefault="007A72C5"/>
    <w:p w14:paraId="14721F6A" w14:textId="77777777" w:rsidR="007A72C5" w:rsidRDefault="007A72C5" w:rsidP="00E27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-Semibold">
    <w:altName w:val="Titill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45 Light">
    <w:charset w:val="00"/>
    <w:family w:val="swiss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26395625"/>
      <w:docPartObj>
        <w:docPartGallery w:val="Page Numbers (Bottom of Page)"/>
        <w:docPartUnique/>
      </w:docPartObj>
    </w:sdtPr>
    <w:sdtContent>
      <w:p w14:paraId="3509FDE5" w14:textId="3F1FD786" w:rsidR="00064BDC" w:rsidRDefault="00064BDC" w:rsidP="00EE26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11B462" w14:textId="77777777" w:rsidR="00064BDC" w:rsidRDefault="00064BDC" w:rsidP="00064BDC">
    <w:pPr>
      <w:pStyle w:val="Footer"/>
      <w:ind w:right="360"/>
    </w:pPr>
  </w:p>
  <w:p w14:paraId="2838A0B1" w14:textId="77777777" w:rsidR="00A9528A" w:rsidRDefault="00A9528A"/>
  <w:p w14:paraId="22B98D81" w14:textId="77777777" w:rsidR="00A9528A" w:rsidRDefault="00A9528A" w:rsidP="00E270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53006551"/>
      <w:docPartObj>
        <w:docPartGallery w:val="Page Numbers (Bottom of Page)"/>
        <w:docPartUnique/>
      </w:docPartObj>
    </w:sdtPr>
    <w:sdtEndPr>
      <w:rPr>
        <w:rStyle w:val="PageNumber"/>
        <w:rFonts w:ascii="Titillium" w:hAnsi="Titillium"/>
        <w:sz w:val="21"/>
        <w:szCs w:val="21"/>
      </w:rPr>
    </w:sdtEndPr>
    <w:sdtContent>
      <w:p w14:paraId="06998160" w14:textId="06190553" w:rsidR="00064BDC" w:rsidRPr="00064BDC" w:rsidRDefault="00064BDC" w:rsidP="00064BDC">
        <w:pPr>
          <w:pStyle w:val="Footer"/>
          <w:framePr w:wrap="none" w:vAnchor="text" w:hAnchor="page" w:x="10647" w:y="7"/>
          <w:rPr>
            <w:rStyle w:val="PageNumber"/>
            <w:rFonts w:ascii="Titillium" w:hAnsi="Titillium"/>
            <w:color w:val="859EA4"/>
            <w:sz w:val="21"/>
            <w:szCs w:val="21"/>
          </w:rPr>
        </w:pPr>
        <w:r w:rsidRPr="00E2701B">
          <w:rPr>
            <w:rStyle w:val="PageNumber"/>
            <w:rFonts w:ascii="Titillium" w:hAnsi="Titillium"/>
            <w:sz w:val="21"/>
            <w:szCs w:val="21"/>
          </w:rPr>
          <w:fldChar w:fldCharType="begin"/>
        </w:r>
        <w:r w:rsidRPr="00E2701B">
          <w:rPr>
            <w:rStyle w:val="PageNumber"/>
            <w:rFonts w:ascii="Titillium" w:hAnsi="Titillium"/>
            <w:sz w:val="21"/>
            <w:szCs w:val="21"/>
          </w:rPr>
          <w:instrText xml:space="preserve"> PAGE </w:instrText>
        </w:r>
        <w:r w:rsidRPr="00E2701B">
          <w:rPr>
            <w:rStyle w:val="PageNumber"/>
            <w:rFonts w:ascii="Titillium" w:hAnsi="Titillium"/>
            <w:sz w:val="21"/>
            <w:szCs w:val="21"/>
          </w:rPr>
          <w:fldChar w:fldCharType="separate"/>
        </w:r>
        <w:r w:rsidRPr="00E2701B">
          <w:rPr>
            <w:rStyle w:val="PageNumber"/>
            <w:rFonts w:ascii="Titillium" w:hAnsi="Titillium"/>
            <w:noProof/>
            <w:sz w:val="21"/>
            <w:szCs w:val="21"/>
          </w:rPr>
          <w:t>1</w:t>
        </w:r>
        <w:r w:rsidRPr="00E2701B">
          <w:rPr>
            <w:rStyle w:val="PageNumber"/>
            <w:rFonts w:ascii="Titillium" w:hAnsi="Titillium"/>
            <w:sz w:val="21"/>
            <w:szCs w:val="21"/>
          </w:rPr>
          <w:fldChar w:fldCharType="end"/>
        </w:r>
      </w:p>
    </w:sdtContent>
  </w:sdt>
  <w:p w14:paraId="102BF2DC" w14:textId="589EB1AC" w:rsidR="005D14A3" w:rsidRPr="00582850" w:rsidRDefault="00064BDC" w:rsidP="00064BDC">
    <w:pPr>
      <w:pStyle w:val="Footer"/>
      <w:ind w:right="360"/>
      <w:jc w:val="center"/>
      <w:rPr>
        <w:rFonts w:ascii="Titillium" w:hAnsi="Titillium"/>
        <w:caps/>
        <w:noProof/>
        <w:sz w:val="22"/>
        <w:szCs w:val="22"/>
      </w:rPr>
    </w:pPr>
    <w:r>
      <w:rPr>
        <w:rFonts w:ascii="Titillium" w:hAnsi="Titillium"/>
        <w:caps/>
        <w:noProof/>
        <w:sz w:val="22"/>
        <w:szCs w:val="22"/>
      </w:rPr>
      <mc:AlternateContent>
        <mc:Choice Requires="wps">
          <w:drawing>
            <wp:inline distT="0" distB="0" distL="0" distR="0" wp14:anchorId="5B12F710" wp14:editId="7B7AF8E0">
              <wp:extent cx="6273165" cy="349321"/>
              <wp:effectExtent l="0" t="0" r="0" b="0"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3493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7096" w14:textId="081DC441" w:rsidR="00064BDC" w:rsidRPr="00064BDC" w:rsidRDefault="00B85438">
                          <w:pPr>
                            <w:rPr>
                              <w:color w:val="859EA4"/>
                            </w:rPr>
                          </w:pPr>
                          <w:r w:rsidRPr="00B85438">
                            <w:rPr>
                              <w:rFonts w:ascii="Titillium" w:hAnsi="Titillium"/>
                              <w:b/>
                              <w:bCs/>
                              <w:i/>
                              <w:iCs/>
                              <w:color w:val="5F5F5F" w:themeColor="accent5"/>
                              <w:sz w:val="21"/>
                              <w:szCs w:val="21"/>
                            </w:rPr>
                            <w:t xml:space="preserve">Acting-Up </w:t>
                          </w:r>
                          <w:r>
                            <w:rPr>
                              <w:rFonts w:ascii="Titillium" w:hAnsi="Titillium"/>
                              <w:b/>
                              <w:bCs/>
                              <w:i/>
                              <w:iCs/>
                              <w:color w:val="5F5F5F" w:themeColor="accent5"/>
                              <w:sz w:val="21"/>
                              <w:szCs w:val="21"/>
                            </w:rPr>
                            <w:t>a</w:t>
                          </w:r>
                          <w:r w:rsidRPr="00B85438">
                            <w:rPr>
                              <w:rFonts w:ascii="Titillium" w:hAnsi="Titillium"/>
                              <w:b/>
                              <w:bCs/>
                              <w:i/>
                              <w:iCs/>
                              <w:color w:val="5F5F5F" w:themeColor="accent5"/>
                              <w:sz w:val="21"/>
                              <w:szCs w:val="21"/>
                            </w:rPr>
                            <w:t>nd Additional Responsibility Allowance</w:t>
                          </w:r>
                          <w:r>
                            <w:rPr>
                              <w:rFonts w:ascii="Titillium" w:hAnsi="Titillium"/>
                              <w:b/>
                              <w:bCs/>
                              <w:i/>
                              <w:iCs/>
                              <w:color w:val="5F5F5F" w:themeColor="accent5"/>
                              <w:sz w:val="21"/>
                              <w:szCs w:val="21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12F71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width:493.9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" filled="f" stroked="f" strokeweight=".5pt">
              <v:textbox>
                <w:txbxContent>
                  <w:p w14:paraId="131E7096" w14:textId="081DC441" w:rsidR="00064BDC" w:rsidRPr="00064BDC" w:rsidRDefault="00B85438">
                    <w:pPr>
                      <w:rPr>
                        <w:color w:val="859EA4"/>
                      </w:rPr>
                    </w:pPr>
                    <w:r w:rsidRPr="00B85438">
                      <w:rPr>
                        <w:rFonts w:ascii="Titillium" w:hAnsi="Titillium"/>
                        <w:b/>
                        <w:bCs/>
                        <w:i/>
                        <w:iCs/>
                        <w:color w:val="5F5F5F" w:themeColor="accent5"/>
                        <w:sz w:val="21"/>
                        <w:szCs w:val="21"/>
                      </w:rPr>
                      <w:t xml:space="preserve">Acting-Up </w:t>
                    </w:r>
                    <w:r>
                      <w:rPr>
                        <w:rFonts w:ascii="Titillium" w:hAnsi="Titillium"/>
                        <w:b/>
                        <w:bCs/>
                        <w:i/>
                        <w:iCs/>
                        <w:color w:val="5F5F5F" w:themeColor="accent5"/>
                        <w:sz w:val="21"/>
                        <w:szCs w:val="21"/>
                      </w:rPr>
                      <w:t>a</w:t>
                    </w:r>
                    <w:r w:rsidRPr="00B85438">
                      <w:rPr>
                        <w:rFonts w:ascii="Titillium" w:hAnsi="Titillium"/>
                        <w:b/>
                        <w:bCs/>
                        <w:i/>
                        <w:iCs/>
                        <w:color w:val="5F5F5F" w:themeColor="accent5"/>
                        <w:sz w:val="21"/>
                        <w:szCs w:val="21"/>
                      </w:rPr>
                      <w:t>nd Additional Responsibility Allowance</w:t>
                    </w:r>
                    <w:r>
                      <w:rPr>
                        <w:rFonts w:ascii="Titillium" w:hAnsi="Titillium"/>
                        <w:b/>
                        <w:bCs/>
                        <w:i/>
                        <w:iCs/>
                        <w:color w:val="5F5F5F" w:themeColor="accent5"/>
                        <w:sz w:val="21"/>
                        <w:szCs w:val="21"/>
                      </w:rPr>
                      <w:t xml:space="preserve"> Policy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F969384" w14:textId="77777777" w:rsidR="005D14A3" w:rsidRDefault="005D14A3">
    <w:pPr>
      <w:pStyle w:val="Footer"/>
    </w:pPr>
  </w:p>
  <w:p w14:paraId="1279B881" w14:textId="77777777" w:rsidR="00A9528A" w:rsidRDefault="00A9528A"/>
  <w:p w14:paraId="159EE0A6" w14:textId="77777777" w:rsidR="00A9528A" w:rsidRDefault="00A9528A" w:rsidP="00E270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BBC9" w14:textId="77777777" w:rsidR="00D72294" w:rsidRDefault="00D72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9929D" w14:textId="77777777" w:rsidR="007A72C5" w:rsidRDefault="007A72C5" w:rsidP="00EC31D5">
      <w:r>
        <w:separator/>
      </w:r>
    </w:p>
    <w:p w14:paraId="16AA5599" w14:textId="77777777" w:rsidR="007A72C5" w:rsidRDefault="007A72C5"/>
    <w:p w14:paraId="1FA289C7" w14:textId="77777777" w:rsidR="007A72C5" w:rsidRDefault="007A72C5" w:rsidP="00E2701B"/>
  </w:footnote>
  <w:footnote w:type="continuationSeparator" w:id="0">
    <w:p w14:paraId="58F75863" w14:textId="77777777" w:rsidR="007A72C5" w:rsidRDefault="007A72C5" w:rsidP="00EC31D5">
      <w:r>
        <w:continuationSeparator/>
      </w:r>
    </w:p>
    <w:p w14:paraId="2406C2C8" w14:textId="77777777" w:rsidR="007A72C5" w:rsidRDefault="007A72C5"/>
    <w:p w14:paraId="326B2CF4" w14:textId="77777777" w:rsidR="007A72C5" w:rsidRDefault="007A72C5" w:rsidP="00E27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16B1" w14:textId="77777777" w:rsidR="005D14A3" w:rsidRDefault="00000000">
    <w:pPr>
      <w:pStyle w:val="Header"/>
    </w:pPr>
    <w:sdt>
      <w:sdtPr>
        <w:id w:val="196288142"/>
        <w:placeholder>
          <w:docPart w:val="3F2B03ACD5DCCB409DA6B025703A710A"/>
        </w:placeholder>
        <w:temporary/>
        <w:showingPlcHdr/>
      </w:sdtPr>
      <w:sdtContent>
        <w:r w:rsidR="005D14A3">
          <w:t>[Type text]</w:t>
        </w:r>
      </w:sdtContent>
    </w:sdt>
    <w:r w:rsidR="005D14A3">
      <w:ptab w:relativeTo="margin" w:alignment="center" w:leader="none"/>
    </w:r>
    <w:sdt>
      <w:sdtPr>
        <w:id w:val="1926532305"/>
        <w:placeholder>
          <w:docPart w:val="CFACCB42C3B3404CAA11B9BB648C050E"/>
        </w:placeholder>
        <w:temporary/>
        <w:showingPlcHdr/>
      </w:sdtPr>
      <w:sdtContent>
        <w:r w:rsidR="005D14A3">
          <w:t>[Type text]</w:t>
        </w:r>
      </w:sdtContent>
    </w:sdt>
    <w:r w:rsidR="005D14A3">
      <w:ptab w:relativeTo="margin" w:alignment="right" w:leader="none"/>
    </w:r>
    <w:sdt>
      <w:sdtPr>
        <w:id w:val="-1643106329"/>
        <w:placeholder>
          <w:docPart w:val="EAB493A49408F545AC98EEFF5D8D7889"/>
        </w:placeholder>
        <w:temporary/>
        <w:showingPlcHdr/>
      </w:sdtPr>
      <w:sdtContent>
        <w:r w:rsidR="005D14A3">
          <w:t>[Type text]</w:t>
        </w:r>
      </w:sdtContent>
    </w:sdt>
  </w:p>
  <w:p w14:paraId="3C7F53CD" w14:textId="77777777" w:rsidR="005D14A3" w:rsidRDefault="005D14A3">
    <w:pPr>
      <w:pStyle w:val="Header"/>
    </w:pPr>
  </w:p>
  <w:p w14:paraId="173418AB" w14:textId="77777777" w:rsidR="00A9528A" w:rsidRDefault="00A9528A"/>
  <w:p w14:paraId="21E03F7A" w14:textId="77777777" w:rsidR="00A9528A" w:rsidRDefault="00A9528A" w:rsidP="00E270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CA18" w14:textId="2D738F24" w:rsidR="005D14A3" w:rsidRPr="00640328" w:rsidRDefault="00D72294" w:rsidP="00640328">
    <w:pPr>
      <w:pStyle w:val="Header"/>
      <w:rPr>
        <w:rFonts w:ascii="Titillium" w:hAnsi="Titillium"/>
        <w:color w:val="FFFFFF" w:themeColor="background1"/>
        <w:sz w:val="40"/>
        <w:szCs w:val="40"/>
      </w:rPr>
    </w:pPr>
    <w:r>
      <w:rPr>
        <w:rFonts w:ascii="Titillium" w:hAnsi="Titillium"/>
        <w:noProof/>
        <w:color w:val="FFFFFF" w:themeColor="background1"/>
        <w:sz w:val="40"/>
        <w:szCs w:val="40"/>
        <w:lang w:eastAsia="en-GB"/>
      </w:rPr>
      <w:drawing>
        <wp:anchor distT="0" distB="0" distL="114300" distR="114300" simplePos="0" relativeHeight="251672576" behindDoc="1" locked="0" layoutInCell="1" allowOverlap="1" wp14:anchorId="45471E10" wp14:editId="52A07A65">
          <wp:simplePos x="0" y="0"/>
          <wp:positionH relativeFrom="column">
            <wp:posOffset>-723522</wp:posOffset>
          </wp:positionH>
          <wp:positionV relativeFrom="paragraph">
            <wp:posOffset>0</wp:posOffset>
          </wp:positionV>
          <wp:extent cx="7564539" cy="750014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39" cy="750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DEC">
      <w:rPr>
        <w:rFonts w:ascii="Titillium" w:hAnsi="Titillium"/>
        <w:noProof/>
        <w:color w:val="FFFFFF" w:themeColor="background1"/>
        <w:sz w:val="40"/>
        <w:szCs w:val="40"/>
      </w:rPr>
      <w:drawing>
        <wp:anchor distT="0" distB="0" distL="114300" distR="114300" simplePos="0" relativeHeight="251663360" behindDoc="1" locked="0" layoutInCell="1" allowOverlap="1" wp14:anchorId="5FE62397" wp14:editId="28ED2A11">
          <wp:simplePos x="0" y="0"/>
          <wp:positionH relativeFrom="column">
            <wp:posOffset>-720091</wp:posOffset>
          </wp:positionH>
          <wp:positionV relativeFrom="paragraph">
            <wp:posOffset>-781571</wp:posOffset>
          </wp:positionV>
          <wp:extent cx="7564539" cy="750014"/>
          <wp:effectExtent l="0" t="0" r="5080" b="0"/>
          <wp:wrapNone/>
          <wp:docPr id="1991263658" name="Picture 19912636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39" cy="750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4A3" w:rsidRPr="00054539">
      <w:rPr>
        <w:noProof/>
        <w:lang w:eastAsia="en-GB"/>
      </w:rPr>
      <w:t xml:space="preserve"> </w:t>
    </w:r>
  </w:p>
  <w:p w14:paraId="66FF6D09" w14:textId="32215B5A" w:rsidR="005D14A3" w:rsidRDefault="005D14A3" w:rsidP="009D06B5">
    <w:pPr>
      <w:pStyle w:val="Header"/>
    </w:pPr>
  </w:p>
  <w:p w14:paraId="20239B7F" w14:textId="77777777" w:rsidR="00A9528A" w:rsidRDefault="00A9528A"/>
  <w:p w14:paraId="2BCB647F" w14:textId="77777777" w:rsidR="00A9528A" w:rsidRDefault="00A9528A" w:rsidP="00E270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E8CF" w14:textId="6B7939A5" w:rsidR="005D14A3" w:rsidRDefault="00910A04" w:rsidP="00083BD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4A55406" wp14:editId="7561F0F2">
              <wp:simplePos x="0" y="0"/>
              <wp:positionH relativeFrom="column">
                <wp:posOffset>-396240</wp:posOffset>
              </wp:positionH>
              <wp:positionV relativeFrom="paragraph">
                <wp:posOffset>962025</wp:posOffset>
              </wp:positionV>
              <wp:extent cx="70675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F56FE" w14:textId="31D619A1" w:rsidR="00910A04" w:rsidRPr="00910A04" w:rsidRDefault="00910A04" w:rsidP="00910A04">
                          <w:pPr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10A04">
                            <w:rPr>
                              <w:rFonts w:ascii="Titillium" w:hAnsi="Titillium"/>
                              <w:b/>
                              <w:bCs/>
                              <w:sz w:val="36"/>
                              <w:szCs w:val="36"/>
                            </w:rPr>
                            <w:t>Acting-Up and Additional Responsibility Allowance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A554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1.2pt;margin-top:75.75pt;width:556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" filled="f" stroked="f">
              <v:textbox style="mso-fit-shape-to-text:t">
                <w:txbxContent>
                  <w:p w14:paraId="74BF56FE" w14:textId="31D619A1" w:rsidR="00910A04" w:rsidRPr="00910A04" w:rsidRDefault="00910A04" w:rsidP="00910A04">
                    <w:pPr>
                      <w:jc w:val="center"/>
                      <w:rPr>
                        <w:rFonts w:ascii="Titillium" w:hAnsi="Titillium"/>
                        <w:b/>
                        <w:bCs/>
                        <w:sz w:val="36"/>
                        <w:szCs w:val="36"/>
                      </w:rPr>
                    </w:pPr>
                    <w:r w:rsidRPr="00910A04">
                      <w:rPr>
                        <w:rFonts w:ascii="Titillium" w:hAnsi="Titillium"/>
                        <w:b/>
                        <w:bCs/>
                        <w:sz w:val="36"/>
                        <w:szCs w:val="36"/>
                      </w:rPr>
                      <w:t>Acting-Up and Additional Responsibility Allowance 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6C260C5B" wp14:editId="1B8EEF21">
          <wp:simplePos x="0" y="0"/>
          <wp:positionH relativeFrom="column">
            <wp:posOffset>-752475</wp:posOffset>
          </wp:positionH>
          <wp:positionV relativeFrom="paragraph">
            <wp:posOffset>44</wp:posOffset>
          </wp:positionV>
          <wp:extent cx="7566246" cy="1533525"/>
          <wp:effectExtent l="0" t="0" r="0" b="0"/>
          <wp:wrapNone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246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8" type="#_x0000_t75" style="width:1040.8pt;height:1040.8pt" o:bullet="t">
        <v:imagedata r:id="rId1" o:title="Tick-01"/>
      </v:shape>
    </w:pict>
  </w:numPicBullet>
  <w:abstractNum w:abstractNumId="0" w15:restartNumberingAfterBreak="0">
    <w:nsid w:val="015C5627"/>
    <w:multiLevelType w:val="hybridMultilevel"/>
    <w:tmpl w:val="BDD6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3F8"/>
    <w:multiLevelType w:val="hybridMultilevel"/>
    <w:tmpl w:val="94109C7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9BD"/>
    <w:multiLevelType w:val="hybridMultilevel"/>
    <w:tmpl w:val="3B0EF44E"/>
    <w:lvl w:ilvl="0" w:tplc="EF88C05A">
      <w:start w:val="1"/>
      <w:numFmt w:val="decimal"/>
      <w:pStyle w:val="ContentsPagesNumber"/>
      <w:lvlText w:val="%1."/>
      <w:lvlJc w:val="left"/>
      <w:pPr>
        <w:ind w:left="678" w:hanging="360"/>
      </w:pPr>
      <w:rPr>
        <w:rFonts w:ascii="Titillium" w:hAnsi="Titilliu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57710BF"/>
    <w:multiLevelType w:val="hybridMultilevel"/>
    <w:tmpl w:val="59D4A5D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5A9"/>
    <w:multiLevelType w:val="hybridMultilevel"/>
    <w:tmpl w:val="F03A659E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CA4"/>
    <w:multiLevelType w:val="hybridMultilevel"/>
    <w:tmpl w:val="A3C2CB5A"/>
    <w:lvl w:ilvl="0" w:tplc="C76ABA8A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EE7249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D375EC8"/>
    <w:multiLevelType w:val="hybridMultilevel"/>
    <w:tmpl w:val="C5109BCE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6932"/>
    <w:multiLevelType w:val="hybridMultilevel"/>
    <w:tmpl w:val="4FF24756"/>
    <w:lvl w:ilvl="0" w:tplc="460CC9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F2DD7"/>
    <w:multiLevelType w:val="hybridMultilevel"/>
    <w:tmpl w:val="806E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0C41"/>
    <w:multiLevelType w:val="hybridMultilevel"/>
    <w:tmpl w:val="7EFE6DCC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12937"/>
    <w:multiLevelType w:val="hybridMultilevel"/>
    <w:tmpl w:val="D7E4D09C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3E2D"/>
    <w:multiLevelType w:val="hybridMultilevel"/>
    <w:tmpl w:val="FB4ACF28"/>
    <w:lvl w:ilvl="0" w:tplc="460CC9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187"/>
    <w:multiLevelType w:val="hybridMultilevel"/>
    <w:tmpl w:val="5ABEBA6E"/>
    <w:lvl w:ilvl="0" w:tplc="460CC9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14371"/>
    <w:multiLevelType w:val="hybridMultilevel"/>
    <w:tmpl w:val="2F38D618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97A60"/>
    <w:multiLevelType w:val="hybridMultilevel"/>
    <w:tmpl w:val="125CD87A"/>
    <w:lvl w:ilvl="0" w:tplc="460CC9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F3FF8"/>
    <w:multiLevelType w:val="hybridMultilevel"/>
    <w:tmpl w:val="E75A1430"/>
    <w:lvl w:ilvl="0" w:tplc="F9469C12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EE7249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44B76B3A"/>
    <w:multiLevelType w:val="hybridMultilevel"/>
    <w:tmpl w:val="A706022E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30C35"/>
    <w:multiLevelType w:val="hybridMultilevel"/>
    <w:tmpl w:val="E3944E90"/>
    <w:lvl w:ilvl="0" w:tplc="31363C20">
      <w:start w:val="1"/>
      <w:numFmt w:val="bullet"/>
      <w:lvlText w:val=""/>
      <w:lvlPicBulletId w:val="0"/>
      <w:lvlJc w:val="left"/>
      <w:pPr>
        <w:ind w:left="1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8" w15:restartNumberingAfterBreak="0">
    <w:nsid w:val="50D71C54"/>
    <w:multiLevelType w:val="hybridMultilevel"/>
    <w:tmpl w:val="427E6DD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5345"/>
    <w:multiLevelType w:val="hybridMultilevel"/>
    <w:tmpl w:val="AEC425A6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43F10"/>
    <w:multiLevelType w:val="hybridMultilevel"/>
    <w:tmpl w:val="F678DD68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511BA"/>
    <w:multiLevelType w:val="multilevel"/>
    <w:tmpl w:val="E9B2DCC0"/>
    <w:lvl w:ilvl="0">
      <w:start w:val="1"/>
      <w:numFmt w:val="decimal"/>
      <w:pStyle w:val="Heading2"/>
      <w:lvlText w:val="%1."/>
      <w:lvlJc w:val="left"/>
      <w:pPr>
        <w:ind w:left="360" w:firstLine="0"/>
      </w:pPr>
      <w:rPr>
        <w:rFonts w:ascii="Titillium" w:hAnsi="Titillium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2F2837"/>
    <w:multiLevelType w:val="hybridMultilevel"/>
    <w:tmpl w:val="D6A2AEB8"/>
    <w:lvl w:ilvl="0" w:tplc="74067E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EE724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14872"/>
    <w:multiLevelType w:val="hybridMultilevel"/>
    <w:tmpl w:val="1116E2B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26C7F"/>
    <w:multiLevelType w:val="hybridMultilevel"/>
    <w:tmpl w:val="2466A4FE"/>
    <w:lvl w:ilvl="0" w:tplc="460CC9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A001E"/>
    <w:multiLevelType w:val="hybridMultilevel"/>
    <w:tmpl w:val="1FC41DD6"/>
    <w:lvl w:ilvl="0" w:tplc="1AE41346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EE7249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74DF567B"/>
    <w:multiLevelType w:val="hybridMultilevel"/>
    <w:tmpl w:val="DFCAE8FA"/>
    <w:lvl w:ilvl="0" w:tplc="460CC9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3485A"/>
    <w:multiLevelType w:val="hybridMultilevel"/>
    <w:tmpl w:val="D0A01510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4344"/>
    <w:multiLevelType w:val="hybridMultilevel"/>
    <w:tmpl w:val="A50EB222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D694E"/>
    <w:multiLevelType w:val="hybridMultilevel"/>
    <w:tmpl w:val="378077E6"/>
    <w:lvl w:ilvl="0" w:tplc="31363C2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78C3233A"/>
    <w:multiLevelType w:val="hybridMultilevel"/>
    <w:tmpl w:val="38EAD2C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F1663"/>
    <w:multiLevelType w:val="hybridMultilevel"/>
    <w:tmpl w:val="1CE49B4C"/>
    <w:lvl w:ilvl="0" w:tplc="31363C2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A4160C"/>
    <w:multiLevelType w:val="multilevel"/>
    <w:tmpl w:val="FB9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3255139">
    <w:abstractNumId w:val="0"/>
  </w:num>
  <w:num w:numId="2" w16cid:durableId="1640453108">
    <w:abstractNumId w:val="23"/>
  </w:num>
  <w:num w:numId="3" w16cid:durableId="545794179">
    <w:abstractNumId w:val="29"/>
  </w:num>
  <w:num w:numId="4" w16cid:durableId="1308122459">
    <w:abstractNumId w:val="25"/>
  </w:num>
  <w:num w:numId="5" w16cid:durableId="1908802327">
    <w:abstractNumId w:val="5"/>
  </w:num>
  <w:num w:numId="6" w16cid:durableId="573929812">
    <w:abstractNumId w:val="9"/>
  </w:num>
  <w:num w:numId="7" w16cid:durableId="436028122">
    <w:abstractNumId w:val="18"/>
  </w:num>
  <w:num w:numId="8" w16cid:durableId="670377140">
    <w:abstractNumId w:val="3"/>
  </w:num>
  <w:num w:numId="9" w16cid:durableId="1688018991">
    <w:abstractNumId w:val="17"/>
  </w:num>
  <w:num w:numId="10" w16cid:durableId="2111774175">
    <w:abstractNumId w:val="30"/>
  </w:num>
  <w:num w:numId="11" w16cid:durableId="23216760">
    <w:abstractNumId w:val="4"/>
  </w:num>
  <w:num w:numId="12" w16cid:durableId="1863086576">
    <w:abstractNumId w:val="27"/>
  </w:num>
  <w:num w:numId="13" w16cid:durableId="1714499751">
    <w:abstractNumId w:val="10"/>
  </w:num>
  <w:num w:numId="14" w16cid:durableId="855508005">
    <w:abstractNumId w:val="28"/>
  </w:num>
  <w:num w:numId="15" w16cid:durableId="207036480">
    <w:abstractNumId w:val="20"/>
  </w:num>
  <w:num w:numId="16" w16cid:durableId="1685475108">
    <w:abstractNumId w:val="31"/>
  </w:num>
  <w:num w:numId="17" w16cid:durableId="1744984259">
    <w:abstractNumId w:val="13"/>
  </w:num>
  <w:num w:numId="18" w16cid:durableId="1114788264">
    <w:abstractNumId w:val="19"/>
  </w:num>
  <w:num w:numId="19" w16cid:durableId="255022347">
    <w:abstractNumId w:val="15"/>
  </w:num>
  <w:num w:numId="20" w16cid:durableId="1893345536">
    <w:abstractNumId w:val="16"/>
  </w:num>
  <w:num w:numId="21" w16cid:durableId="27729737">
    <w:abstractNumId w:val="1"/>
  </w:num>
  <w:num w:numId="22" w16cid:durableId="637223566">
    <w:abstractNumId w:val="6"/>
  </w:num>
  <w:num w:numId="23" w16cid:durableId="2050495946">
    <w:abstractNumId w:val="22"/>
  </w:num>
  <w:num w:numId="24" w16cid:durableId="842823360">
    <w:abstractNumId w:val="2"/>
  </w:num>
  <w:num w:numId="25" w16cid:durableId="1103113468">
    <w:abstractNumId w:val="21"/>
  </w:num>
  <w:num w:numId="26" w16cid:durableId="1651400673">
    <w:abstractNumId w:val="32"/>
  </w:num>
  <w:num w:numId="27" w16cid:durableId="1157303310">
    <w:abstractNumId w:val="8"/>
  </w:num>
  <w:num w:numId="28" w16cid:durableId="1632781486">
    <w:abstractNumId w:val="7"/>
  </w:num>
  <w:num w:numId="29" w16cid:durableId="2049525285">
    <w:abstractNumId w:val="11"/>
  </w:num>
  <w:num w:numId="30" w16cid:durableId="444932794">
    <w:abstractNumId w:val="26"/>
  </w:num>
  <w:num w:numId="31" w16cid:durableId="2048142259">
    <w:abstractNumId w:val="12"/>
  </w:num>
  <w:num w:numId="32" w16cid:durableId="1823152068">
    <w:abstractNumId w:val="24"/>
  </w:num>
  <w:num w:numId="33" w16cid:durableId="149248181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9A"/>
    <w:rsid w:val="00001596"/>
    <w:rsid w:val="000072BB"/>
    <w:rsid w:val="00010A5E"/>
    <w:rsid w:val="00010F51"/>
    <w:rsid w:val="0001129F"/>
    <w:rsid w:val="00013CFA"/>
    <w:rsid w:val="000179AA"/>
    <w:rsid w:val="00022079"/>
    <w:rsid w:val="00023556"/>
    <w:rsid w:val="00023576"/>
    <w:rsid w:val="00025E53"/>
    <w:rsid w:val="00031846"/>
    <w:rsid w:val="000334FC"/>
    <w:rsid w:val="00035FDD"/>
    <w:rsid w:val="000373F2"/>
    <w:rsid w:val="00043EE5"/>
    <w:rsid w:val="000516ED"/>
    <w:rsid w:val="00052B79"/>
    <w:rsid w:val="000537B2"/>
    <w:rsid w:val="00054539"/>
    <w:rsid w:val="00056176"/>
    <w:rsid w:val="000631B9"/>
    <w:rsid w:val="00064BDC"/>
    <w:rsid w:val="00070C7B"/>
    <w:rsid w:val="000713AF"/>
    <w:rsid w:val="000750D6"/>
    <w:rsid w:val="00076EC9"/>
    <w:rsid w:val="0008233E"/>
    <w:rsid w:val="00083BD3"/>
    <w:rsid w:val="000842DB"/>
    <w:rsid w:val="00086C12"/>
    <w:rsid w:val="00087160"/>
    <w:rsid w:val="00092208"/>
    <w:rsid w:val="00094039"/>
    <w:rsid w:val="000954D5"/>
    <w:rsid w:val="000A1C41"/>
    <w:rsid w:val="000A3BB2"/>
    <w:rsid w:val="000A57FF"/>
    <w:rsid w:val="000B5BCA"/>
    <w:rsid w:val="000B772A"/>
    <w:rsid w:val="000C2F9A"/>
    <w:rsid w:val="000C498A"/>
    <w:rsid w:val="000C77FB"/>
    <w:rsid w:val="000D57D9"/>
    <w:rsid w:val="000E5CF6"/>
    <w:rsid w:val="000E749D"/>
    <w:rsid w:val="000F1498"/>
    <w:rsid w:val="000F1C67"/>
    <w:rsid w:val="000F229B"/>
    <w:rsid w:val="000F3816"/>
    <w:rsid w:val="000F42C5"/>
    <w:rsid w:val="000F7788"/>
    <w:rsid w:val="001001E1"/>
    <w:rsid w:val="00102C79"/>
    <w:rsid w:val="00104F20"/>
    <w:rsid w:val="00120ABF"/>
    <w:rsid w:val="00122D9B"/>
    <w:rsid w:val="00126623"/>
    <w:rsid w:val="0013285A"/>
    <w:rsid w:val="001363D5"/>
    <w:rsid w:val="00141BDE"/>
    <w:rsid w:val="00142D3D"/>
    <w:rsid w:val="00154F14"/>
    <w:rsid w:val="00165734"/>
    <w:rsid w:val="001719E9"/>
    <w:rsid w:val="00171C80"/>
    <w:rsid w:val="001724F5"/>
    <w:rsid w:val="001733B7"/>
    <w:rsid w:val="0017403E"/>
    <w:rsid w:val="0017528E"/>
    <w:rsid w:val="00187F4F"/>
    <w:rsid w:val="00192969"/>
    <w:rsid w:val="00194518"/>
    <w:rsid w:val="0019676B"/>
    <w:rsid w:val="00197B07"/>
    <w:rsid w:val="001A072E"/>
    <w:rsid w:val="001A4E44"/>
    <w:rsid w:val="001B18FC"/>
    <w:rsid w:val="001B1CB0"/>
    <w:rsid w:val="001B489D"/>
    <w:rsid w:val="001B6579"/>
    <w:rsid w:val="001B6BA7"/>
    <w:rsid w:val="001C0DF2"/>
    <w:rsid w:val="001C27D2"/>
    <w:rsid w:val="001C5088"/>
    <w:rsid w:val="001C7FF6"/>
    <w:rsid w:val="001D12B5"/>
    <w:rsid w:val="001D3727"/>
    <w:rsid w:val="001D4224"/>
    <w:rsid w:val="001E0D8F"/>
    <w:rsid w:val="001E1204"/>
    <w:rsid w:val="001E4C37"/>
    <w:rsid w:val="001F1F85"/>
    <w:rsid w:val="001F3710"/>
    <w:rsid w:val="002061F2"/>
    <w:rsid w:val="0020658E"/>
    <w:rsid w:val="00207E21"/>
    <w:rsid w:val="00210BEA"/>
    <w:rsid w:val="00213EAC"/>
    <w:rsid w:val="0021440B"/>
    <w:rsid w:val="00216A4C"/>
    <w:rsid w:val="002200B6"/>
    <w:rsid w:val="0022284C"/>
    <w:rsid w:val="00225396"/>
    <w:rsid w:val="00226C3A"/>
    <w:rsid w:val="002340E7"/>
    <w:rsid w:val="00234D0E"/>
    <w:rsid w:val="00236BC8"/>
    <w:rsid w:val="002377CB"/>
    <w:rsid w:val="00243C37"/>
    <w:rsid w:val="00243E32"/>
    <w:rsid w:val="002450AF"/>
    <w:rsid w:val="00245748"/>
    <w:rsid w:val="002529E3"/>
    <w:rsid w:val="00260A7A"/>
    <w:rsid w:val="00261662"/>
    <w:rsid w:val="00261732"/>
    <w:rsid w:val="00264777"/>
    <w:rsid w:val="002766E9"/>
    <w:rsid w:val="0028149A"/>
    <w:rsid w:val="00282416"/>
    <w:rsid w:val="0028639B"/>
    <w:rsid w:val="00286DAF"/>
    <w:rsid w:val="00290859"/>
    <w:rsid w:val="0029159D"/>
    <w:rsid w:val="00291F58"/>
    <w:rsid w:val="0029255E"/>
    <w:rsid w:val="002A18C6"/>
    <w:rsid w:val="002A2102"/>
    <w:rsid w:val="002A369C"/>
    <w:rsid w:val="002B3956"/>
    <w:rsid w:val="002C0436"/>
    <w:rsid w:val="002C0D92"/>
    <w:rsid w:val="002C7B1D"/>
    <w:rsid w:val="002D0192"/>
    <w:rsid w:val="002D12F0"/>
    <w:rsid w:val="002D19E3"/>
    <w:rsid w:val="002D576F"/>
    <w:rsid w:val="002E0639"/>
    <w:rsid w:val="002E1BE3"/>
    <w:rsid w:val="002E21BD"/>
    <w:rsid w:val="002E6E3D"/>
    <w:rsid w:val="002F5A43"/>
    <w:rsid w:val="002F6B3F"/>
    <w:rsid w:val="0030138F"/>
    <w:rsid w:val="003045E6"/>
    <w:rsid w:val="00306518"/>
    <w:rsid w:val="0031060B"/>
    <w:rsid w:val="00317BE5"/>
    <w:rsid w:val="00320496"/>
    <w:rsid w:val="003238E4"/>
    <w:rsid w:val="00330D46"/>
    <w:rsid w:val="00334B6F"/>
    <w:rsid w:val="0033779E"/>
    <w:rsid w:val="003407C1"/>
    <w:rsid w:val="00344C85"/>
    <w:rsid w:val="00345276"/>
    <w:rsid w:val="00346724"/>
    <w:rsid w:val="00350E46"/>
    <w:rsid w:val="00351611"/>
    <w:rsid w:val="00353ADB"/>
    <w:rsid w:val="00356728"/>
    <w:rsid w:val="003606E9"/>
    <w:rsid w:val="00372519"/>
    <w:rsid w:val="00374325"/>
    <w:rsid w:val="00381161"/>
    <w:rsid w:val="00381CDB"/>
    <w:rsid w:val="0039045B"/>
    <w:rsid w:val="00391F3D"/>
    <w:rsid w:val="00395C0B"/>
    <w:rsid w:val="00396A78"/>
    <w:rsid w:val="003B2C11"/>
    <w:rsid w:val="003B31AD"/>
    <w:rsid w:val="003B6C5C"/>
    <w:rsid w:val="003C33B2"/>
    <w:rsid w:val="003C33CE"/>
    <w:rsid w:val="003C5A33"/>
    <w:rsid w:val="003C654F"/>
    <w:rsid w:val="003D52A1"/>
    <w:rsid w:val="003E2237"/>
    <w:rsid w:val="003E2271"/>
    <w:rsid w:val="003E2C2B"/>
    <w:rsid w:val="003E6C33"/>
    <w:rsid w:val="003E765A"/>
    <w:rsid w:val="003F20ED"/>
    <w:rsid w:val="003F46AD"/>
    <w:rsid w:val="003F5799"/>
    <w:rsid w:val="0040343E"/>
    <w:rsid w:val="00405FBE"/>
    <w:rsid w:val="00414C26"/>
    <w:rsid w:val="004153AB"/>
    <w:rsid w:val="00416845"/>
    <w:rsid w:val="00417A66"/>
    <w:rsid w:val="00423E5E"/>
    <w:rsid w:val="00426161"/>
    <w:rsid w:val="0043209D"/>
    <w:rsid w:val="004364BF"/>
    <w:rsid w:val="004404E9"/>
    <w:rsid w:val="00440D12"/>
    <w:rsid w:val="00443148"/>
    <w:rsid w:val="004505BE"/>
    <w:rsid w:val="00451894"/>
    <w:rsid w:val="0045403F"/>
    <w:rsid w:val="00455789"/>
    <w:rsid w:val="004606A8"/>
    <w:rsid w:val="00461073"/>
    <w:rsid w:val="0046232C"/>
    <w:rsid w:val="00464503"/>
    <w:rsid w:val="0047431A"/>
    <w:rsid w:val="004748E9"/>
    <w:rsid w:val="00480977"/>
    <w:rsid w:val="004810AB"/>
    <w:rsid w:val="00481D4E"/>
    <w:rsid w:val="004850B6"/>
    <w:rsid w:val="004920F4"/>
    <w:rsid w:val="00497E8C"/>
    <w:rsid w:val="004A4C3D"/>
    <w:rsid w:val="004A5566"/>
    <w:rsid w:val="004A6E49"/>
    <w:rsid w:val="004B37B2"/>
    <w:rsid w:val="004B45EB"/>
    <w:rsid w:val="004B46A6"/>
    <w:rsid w:val="004B5C3F"/>
    <w:rsid w:val="004B6014"/>
    <w:rsid w:val="004B6CAC"/>
    <w:rsid w:val="004B6E84"/>
    <w:rsid w:val="004C27A8"/>
    <w:rsid w:val="004C7172"/>
    <w:rsid w:val="004D0F18"/>
    <w:rsid w:val="004D1B58"/>
    <w:rsid w:val="004D2E49"/>
    <w:rsid w:val="004D3679"/>
    <w:rsid w:val="004D443E"/>
    <w:rsid w:val="004D48C2"/>
    <w:rsid w:val="004D6611"/>
    <w:rsid w:val="004D77AA"/>
    <w:rsid w:val="004E10E6"/>
    <w:rsid w:val="004E140E"/>
    <w:rsid w:val="004E303E"/>
    <w:rsid w:val="004F2E9B"/>
    <w:rsid w:val="004F3AD4"/>
    <w:rsid w:val="004F3AF2"/>
    <w:rsid w:val="004F774B"/>
    <w:rsid w:val="005005C6"/>
    <w:rsid w:val="0050101B"/>
    <w:rsid w:val="0050569E"/>
    <w:rsid w:val="00506224"/>
    <w:rsid w:val="00506A88"/>
    <w:rsid w:val="0051093E"/>
    <w:rsid w:val="005137AB"/>
    <w:rsid w:val="0052078B"/>
    <w:rsid w:val="00534A63"/>
    <w:rsid w:val="005362D5"/>
    <w:rsid w:val="00540228"/>
    <w:rsid w:val="00540320"/>
    <w:rsid w:val="00540B65"/>
    <w:rsid w:val="00543470"/>
    <w:rsid w:val="005452D9"/>
    <w:rsid w:val="0054764A"/>
    <w:rsid w:val="00552E16"/>
    <w:rsid w:val="00562956"/>
    <w:rsid w:val="00564ACC"/>
    <w:rsid w:val="00564D9C"/>
    <w:rsid w:val="005704D1"/>
    <w:rsid w:val="00576291"/>
    <w:rsid w:val="00576BC4"/>
    <w:rsid w:val="00580AB0"/>
    <w:rsid w:val="00582850"/>
    <w:rsid w:val="00584078"/>
    <w:rsid w:val="00584D7A"/>
    <w:rsid w:val="00590452"/>
    <w:rsid w:val="005939B1"/>
    <w:rsid w:val="0059633B"/>
    <w:rsid w:val="005A0F47"/>
    <w:rsid w:val="005A466D"/>
    <w:rsid w:val="005B0472"/>
    <w:rsid w:val="005B525C"/>
    <w:rsid w:val="005C2872"/>
    <w:rsid w:val="005C4AE3"/>
    <w:rsid w:val="005D0021"/>
    <w:rsid w:val="005D14A3"/>
    <w:rsid w:val="005D2474"/>
    <w:rsid w:val="005D6210"/>
    <w:rsid w:val="005D6F3B"/>
    <w:rsid w:val="005E3A95"/>
    <w:rsid w:val="005E4E40"/>
    <w:rsid w:val="005E6725"/>
    <w:rsid w:val="005F0C9C"/>
    <w:rsid w:val="005F3561"/>
    <w:rsid w:val="005F7161"/>
    <w:rsid w:val="00600C15"/>
    <w:rsid w:val="00602903"/>
    <w:rsid w:val="00605443"/>
    <w:rsid w:val="006059C2"/>
    <w:rsid w:val="006121E8"/>
    <w:rsid w:val="006142C7"/>
    <w:rsid w:val="00615A32"/>
    <w:rsid w:val="006223A7"/>
    <w:rsid w:val="00625483"/>
    <w:rsid w:val="006256F7"/>
    <w:rsid w:val="00626308"/>
    <w:rsid w:val="0062663A"/>
    <w:rsid w:val="0063269C"/>
    <w:rsid w:val="006343B8"/>
    <w:rsid w:val="00636F47"/>
    <w:rsid w:val="00640328"/>
    <w:rsid w:val="00640B6D"/>
    <w:rsid w:val="006418EB"/>
    <w:rsid w:val="00643736"/>
    <w:rsid w:val="00654607"/>
    <w:rsid w:val="00655832"/>
    <w:rsid w:val="0066188E"/>
    <w:rsid w:val="0066463B"/>
    <w:rsid w:val="00665E80"/>
    <w:rsid w:val="006710A2"/>
    <w:rsid w:val="00672C60"/>
    <w:rsid w:val="00676C01"/>
    <w:rsid w:val="00684265"/>
    <w:rsid w:val="00685D2B"/>
    <w:rsid w:val="00690EDD"/>
    <w:rsid w:val="0069485C"/>
    <w:rsid w:val="006972D9"/>
    <w:rsid w:val="006A280F"/>
    <w:rsid w:val="006A2A5E"/>
    <w:rsid w:val="006A391E"/>
    <w:rsid w:val="006A6839"/>
    <w:rsid w:val="006B1D7D"/>
    <w:rsid w:val="006B2DF2"/>
    <w:rsid w:val="006B31D3"/>
    <w:rsid w:val="006B3F7D"/>
    <w:rsid w:val="006B47BE"/>
    <w:rsid w:val="006B6FB5"/>
    <w:rsid w:val="006C0AC2"/>
    <w:rsid w:val="006C5321"/>
    <w:rsid w:val="006C6347"/>
    <w:rsid w:val="006D0A6A"/>
    <w:rsid w:val="006D1883"/>
    <w:rsid w:val="006D2140"/>
    <w:rsid w:val="006D5AD4"/>
    <w:rsid w:val="006E0A38"/>
    <w:rsid w:val="006E1227"/>
    <w:rsid w:val="006E20F5"/>
    <w:rsid w:val="006E7CDA"/>
    <w:rsid w:val="006F402B"/>
    <w:rsid w:val="006F6F84"/>
    <w:rsid w:val="007009B8"/>
    <w:rsid w:val="00701F69"/>
    <w:rsid w:val="00710DDD"/>
    <w:rsid w:val="00712395"/>
    <w:rsid w:val="00721283"/>
    <w:rsid w:val="00724D24"/>
    <w:rsid w:val="007329D6"/>
    <w:rsid w:val="00736A8A"/>
    <w:rsid w:val="00736E09"/>
    <w:rsid w:val="00751AD8"/>
    <w:rsid w:val="007535D2"/>
    <w:rsid w:val="00755AF1"/>
    <w:rsid w:val="00760C30"/>
    <w:rsid w:val="00762A32"/>
    <w:rsid w:val="00767018"/>
    <w:rsid w:val="00767559"/>
    <w:rsid w:val="00771D7E"/>
    <w:rsid w:val="0077695F"/>
    <w:rsid w:val="00783D56"/>
    <w:rsid w:val="007840AF"/>
    <w:rsid w:val="00786BBB"/>
    <w:rsid w:val="00787800"/>
    <w:rsid w:val="0079014A"/>
    <w:rsid w:val="00790B9D"/>
    <w:rsid w:val="00793CA9"/>
    <w:rsid w:val="007A72C5"/>
    <w:rsid w:val="007B72F3"/>
    <w:rsid w:val="007C07CB"/>
    <w:rsid w:val="007C0DF5"/>
    <w:rsid w:val="007C0E8D"/>
    <w:rsid w:val="007C6A58"/>
    <w:rsid w:val="007D11D0"/>
    <w:rsid w:val="007D2455"/>
    <w:rsid w:val="007D36C4"/>
    <w:rsid w:val="007D5AAE"/>
    <w:rsid w:val="007D66F6"/>
    <w:rsid w:val="007D6D7B"/>
    <w:rsid w:val="007E0518"/>
    <w:rsid w:val="007F3765"/>
    <w:rsid w:val="007F3DB7"/>
    <w:rsid w:val="008037FB"/>
    <w:rsid w:val="0080567B"/>
    <w:rsid w:val="0081185D"/>
    <w:rsid w:val="008201CF"/>
    <w:rsid w:val="00820872"/>
    <w:rsid w:val="008209E2"/>
    <w:rsid w:val="0082166C"/>
    <w:rsid w:val="00823C28"/>
    <w:rsid w:val="0082522B"/>
    <w:rsid w:val="00825947"/>
    <w:rsid w:val="008271F4"/>
    <w:rsid w:val="008320ED"/>
    <w:rsid w:val="00833861"/>
    <w:rsid w:val="00833C1B"/>
    <w:rsid w:val="00834FED"/>
    <w:rsid w:val="008351AE"/>
    <w:rsid w:val="00837FE9"/>
    <w:rsid w:val="008416F1"/>
    <w:rsid w:val="0084488E"/>
    <w:rsid w:val="008469CB"/>
    <w:rsid w:val="008469E2"/>
    <w:rsid w:val="00854008"/>
    <w:rsid w:val="008541A9"/>
    <w:rsid w:val="008560E2"/>
    <w:rsid w:val="008639E7"/>
    <w:rsid w:val="00865141"/>
    <w:rsid w:val="0086709C"/>
    <w:rsid w:val="00870DE5"/>
    <w:rsid w:val="0087781B"/>
    <w:rsid w:val="008810CD"/>
    <w:rsid w:val="008834D9"/>
    <w:rsid w:val="00884924"/>
    <w:rsid w:val="008904B7"/>
    <w:rsid w:val="008915CA"/>
    <w:rsid w:val="0089311B"/>
    <w:rsid w:val="00893414"/>
    <w:rsid w:val="00896882"/>
    <w:rsid w:val="008A2266"/>
    <w:rsid w:val="008A4462"/>
    <w:rsid w:val="008B3BBE"/>
    <w:rsid w:val="008C47BF"/>
    <w:rsid w:val="008C622A"/>
    <w:rsid w:val="008C7EF6"/>
    <w:rsid w:val="008D2013"/>
    <w:rsid w:val="008E2088"/>
    <w:rsid w:val="008E30CA"/>
    <w:rsid w:val="008E30D4"/>
    <w:rsid w:val="008E326F"/>
    <w:rsid w:val="008E3B09"/>
    <w:rsid w:val="008E6288"/>
    <w:rsid w:val="008E721E"/>
    <w:rsid w:val="008E78E3"/>
    <w:rsid w:val="008F0BEA"/>
    <w:rsid w:val="008F1B53"/>
    <w:rsid w:val="008F1C74"/>
    <w:rsid w:val="008F5021"/>
    <w:rsid w:val="008F6130"/>
    <w:rsid w:val="00900EBB"/>
    <w:rsid w:val="00902960"/>
    <w:rsid w:val="00905C6E"/>
    <w:rsid w:val="00910A04"/>
    <w:rsid w:val="009124CF"/>
    <w:rsid w:val="00914B0C"/>
    <w:rsid w:val="00915D84"/>
    <w:rsid w:val="00916677"/>
    <w:rsid w:val="009236C1"/>
    <w:rsid w:val="00930845"/>
    <w:rsid w:val="0093752E"/>
    <w:rsid w:val="00940495"/>
    <w:rsid w:val="00942DC8"/>
    <w:rsid w:val="00943A9B"/>
    <w:rsid w:val="00944F77"/>
    <w:rsid w:val="00945E52"/>
    <w:rsid w:val="00947950"/>
    <w:rsid w:val="0095091A"/>
    <w:rsid w:val="009531C7"/>
    <w:rsid w:val="00954A71"/>
    <w:rsid w:val="0096631E"/>
    <w:rsid w:val="00970CF7"/>
    <w:rsid w:val="00973A58"/>
    <w:rsid w:val="0097570B"/>
    <w:rsid w:val="00976337"/>
    <w:rsid w:val="00976AED"/>
    <w:rsid w:val="0097793D"/>
    <w:rsid w:val="00982404"/>
    <w:rsid w:val="00983469"/>
    <w:rsid w:val="00983FD1"/>
    <w:rsid w:val="009848DE"/>
    <w:rsid w:val="00996352"/>
    <w:rsid w:val="009967DA"/>
    <w:rsid w:val="009968B3"/>
    <w:rsid w:val="009969AF"/>
    <w:rsid w:val="009A067B"/>
    <w:rsid w:val="009A7DEC"/>
    <w:rsid w:val="009B514E"/>
    <w:rsid w:val="009B6013"/>
    <w:rsid w:val="009C1D21"/>
    <w:rsid w:val="009C6EA4"/>
    <w:rsid w:val="009D06B5"/>
    <w:rsid w:val="009D3BE0"/>
    <w:rsid w:val="009D48E2"/>
    <w:rsid w:val="009E07B2"/>
    <w:rsid w:val="009E223F"/>
    <w:rsid w:val="009E28F1"/>
    <w:rsid w:val="009E427B"/>
    <w:rsid w:val="009F5480"/>
    <w:rsid w:val="009F5625"/>
    <w:rsid w:val="00A05209"/>
    <w:rsid w:val="00A0673E"/>
    <w:rsid w:val="00A1524B"/>
    <w:rsid w:val="00A316FC"/>
    <w:rsid w:val="00A37912"/>
    <w:rsid w:val="00A551CD"/>
    <w:rsid w:val="00A66003"/>
    <w:rsid w:val="00A718AD"/>
    <w:rsid w:val="00A71BA5"/>
    <w:rsid w:val="00A76705"/>
    <w:rsid w:val="00A76E0D"/>
    <w:rsid w:val="00A816A8"/>
    <w:rsid w:val="00A81DBC"/>
    <w:rsid w:val="00A82E7D"/>
    <w:rsid w:val="00A83657"/>
    <w:rsid w:val="00A86369"/>
    <w:rsid w:val="00A87867"/>
    <w:rsid w:val="00A94480"/>
    <w:rsid w:val="00A9528A"/>
    <w:rsid w:val="00AA0606"/>
    <w:rsid w:val="00AA1A78"/>
    <w:rsid w:val="00AA24AC"/>
    <w:rsid w:val="00AA3EAE"/>
    <w:rsid w:val="00AA556D"/>
    <w:rsid w:val="00AB6B74"/>
    <w:rsid w:val="00AC223A"/>
    <w:rsid w:val="00AC3016"/>
    <w:rsid w:val="00AC664C"/>
    <w:rsid w:val="00AC6EDE"/>
    <w:rsid w:val="00AE09BD"/>
    <w:rsid w:val="00AE3FDC"/>
    <w:rsid w:val="00AE53BA"/>
    <w:rsid w:val="00AE7D5F"/>
    <w:rsid w:val="00AF0B18"/>
    <w:rsid w:val="00AF2F22"/>
    <w:rsid w:val="00AF7942"/>
    <w:rsid w:val="00B03824"/>
    <w:rsid w:val="00B14695"/>
    <w:rsid w:val="00B153BA"/>
    <w:rsid w:val="00B222EB"/>
    <w:rsid w:val="00B239DF"/>
    <w:rsid w:val="00B25874"/>
    <w:rsid w:val="00B276BC"/>
    <w:rsid w:val="00B30B98"/>
    <w:rsid w:val="00B35B1E"/>
    <w:rsid w:val="00B37196"/>
    <w:rsid w:val="00B417A6"/>
    <w:rsid w:val="00B42963"/>
    <w:rsid w:val="00B4311E"/>
    <w:rsid w:val="00B46F52"/>
    <w:rsid w:val="00B47310"/>
    <w:rsid w:val="00B53721"/>
    <w:rsid w:val="00B623C7"/>
    <w:rsid w:val="00B63693"/>
    <w:rsid w:val="00B70EE8"/>
    <w:rsid w:val="00B7289E"/>
    <w:rsid w:val="00B742C1"/>
    <w:rsid w:val="00B81409"/>
    <w:rsid w:val="00B81636"/>
    <w:rsid w:val="00B82138"/>
    <w:rsid w:val="00B85438"/>
    <w:rsid w:val="00B85B2A"/>
    <w:rsid w:val="00B863AB"/>
    <w:rsid w:val="00B97095"/>
    <w:rsid w:val="00BA390A"/>
    <w:rsid w:val="00BA3A59"/>
    <w:rsid w:val="00BA75BA"/>
    <w:rsid w:val="00BB38E6"/>
    <w:rsid w:val="00BB5CC2"/>
    <w:rsid w:val="00BB7942"/>
    <w:rsid w:val="00BC39A0"/>
    <w:rsid w:val="00BC3F89"/>
    <w:rsid w:val="00BC66D1"/>
    <w:rsid w:val="00BC6B1B"/>
    <w:rsid w:val="00BD00B3"/>
    <w:rsid w:val="00BD1067"/>
    <w:rsid w:val="00BD6CFD"/>
    <w:rsid w:val="00BE1596"/>
    <w:rsid w:val="00BE1860"/>
    <w:rsid w:val="00BE2EDC"/>
    <w:rsid w:val="00BE509F"/>
    <w:rsid w:val="00BE7B15"/>
    <w:rsid w:val="00BF1729"/>
    <w:rsid w:val="00BF31C2"/>
    <w:rsid w:val="00BF31F3"/>
    <w:rsid w:val="00BF66F7"/>
    <w:rsid w:val="00BF7F3D"/>
    <w:rsid w:val="00C01BF9"/>
    <w:rsid w:val="00C03622"/>
    <w:rsid w:val="00C05A27"/>
    <w:rsid w:val="00C07021"/>
    <w:rsid w:val="00C0794D"/>
    <w:rsid w:val="00C12C68"/>
    <w:rsid w:val="00C141B8"/>
    <w:rsid w:val="00C147BE"/>
    <w:rsid w:val="00C15344"/>
    <w:rsid w:val="00C306A0"/>
    <w:rsid w:val="00C33390"/>
    <w:rsid w:val="00C41175"/>
    <w:rsid w:val="00C53B0B"/>
    <w:rsid w:val="00C6169E"/>
    <w:rsid w:val="00C64FED"/>
    <w:rsid w:val="00C665D3"/>
    <w:rsid w:val="00C75B55"/>
    <w:rsid w:val="00C83FB9"/>
    <w:rsid w:val="00C862B7"/>
    <w:rsid w:val="00C864A2"/>
    <w:rsid w:val="00C8657E"/>
    <w:rsid w:val="00C877E9"/>
    <w:rsid w:val="00C87991"/>
    <w:rsid w:val="00C94449"/>
    <w:rsid w:val="00C94653"/>
    <w:rsid w:val="00C96C62"/>
    <w:rsid w:val="00C9723A"/>
    <w:rsid w:val="00CA41F9"/>
    <w:rsid w:val="00CB4579"/>
    <w:rsid w:val="00CB7F9A"/>
    <w:rsid w:val="00CC0616"/>
    <w:rsid w:val="00CD3BE0"/>
    <w:rsid w:val="00CE099E"/>
    <w:rsid w:val="00CE64C8"/>
    <w:rsid w:val="00CF097D"/>
    <w:rsid w:val="00CF37BA"/>
    <w:rsid w:val="00CF57C8"/>
    <w:rsid w:val="00CF7E1D"/>
    <w:rsid w:val="00D02C2B"/>
    <w:rsid w:val="00D032F7"/>
    <w:rsid w:val="00D0460F"/>
    <w:rsid w:val="00D12245"/>
    <w:rsid w:val="00D12902"/>
    <w:rsid w:val="00D17498"/>
    <w:rsid w:val="00D17D98"/>
    <w:rsid w:val="00D205BE"/>
    <w:rsid w:val="00D2595C"/>
    <w:rsid w:val="00D314D6"/>
    <w:rsid w:val="00D323A6"/>
    <w:rsid w:val="00D40D56"/>
    <w:rsid w:val="00D412C2"/>
    <w:rsid w:val="00D46212"/>
    <w:rsid w:val="00D47231"/>
    <w:rsid w:val="00D550B0"/>
    <w:rsid w:val="00D6007E"/>
    <w:rsid w:val="00D605C1"/>
    <w:rsid w:val="00D60F4C"/>
    <w:rsid w:val="00D62EF1"/>
    <w:rsid w:val="00D72294"/>
    <w:rsid w:val="00D73412"/>
    <w:rsid w:val="00D751BD"/>
    <w:rsid w:val="00D8020B"/>
    <w:rsid w:val="00D82B65"/>
    <w:rsid w:val="00D82EC9"/>
    <w:rsid w:val="00D85313"/>
    <w:rsid w:val="00D85E08"/>
    <w:rsid w:val="00D92326"/>
    <w:rsid w:val="00D957C8"/>
    <w:rsid w:val="00DA13A9"/>
    <w:rsid w:val="00DA1AA5"/>
    <w:rsid w:val="00DA6015"/>
    <w:rsid w:val="00DB73DA"/>
    <w:rsid w:val="00DC1426"/>
    <w:rsid w:val="00DC1A8D"/>
    <w:rsid w:val="00DC28E9"/>
    <w:rsid w:val="00DC39ED"/>
    <w:rsid w:val="00DC6285"/>
    <w:rsid w:val="00DC7ABA"/>
    <w:rsid w:val="00DE0811"/>
    <w:rsid w:val="00DE15DF"/>
    <w:rsid w:val="00DE5277"/>
    <w:rsid w:val="00DE5BFC"/>
    <w:rsid w:val="00DF1B26"/>
    <w:rsid w:val="00E04299"/>
    <w:rsid w:val="00E11661"/>
    <w:rsid w:val="00E13264"/>
    <w:rsid w:val="00E14929"/>
    <w:rsid w:val="00E1720C"/>
    <w:rsid w:val="00E23202"/>
    <w:rsid w:val="00E24581"/>
    <w:rsid w:val="00E251FE"/>
    <w:rsid w:val="00E2701B"/>
    <w:rsid w:val="00E3427B"/>
    <w:rsid w:val="00E423C6"/>
    <w:rsid w:val="00E45C2E"/>
    <w:rsid w:val="00E47509"/>
    <w:rsid w:val="00E4759E"/>
    <w:rsid w:val="00E52EAC"/>
    <w:rsid w:val="00E551C0"/>
    <w:rsid w:val="00E5632B"/>
    <w:rsid w:val="00E6027F"/>
    <w:rsid w:val="00E61768"/>
    <w:rsid w:val="00E662F3"/>
    <w:rsid w:val="00E74D07"/>
    <w:rsid w:val="00E778DF"/>
    <w:rsid w:val="00E81B27"/>
    <w:rsid w:val="00E84EC6"/>
    <w:rsid w:val="00E8793B"/>
    <w:rsid w:val="00E91279"/>
    <w:rsid w:val="00EA75BA"/>
    <w:rsid w:val="00EB081A"/>
    <w:rsid w:val="00EB5EBE"/>
    <w:rsid w:val="00EB6640"/>
    <w:rsid w:val="00EC0583"/>
    <w:rsid w:val="00EC0BE7"/>
    <w:rsid w:val="00EC31D5"/>
    <w:rsid w:val="00EC6246"/>
    <w:rsid w:val="00ED5C89"/>
    <w:rsid w:val="00EE260F"/>
    <w:rsid w:val="00EE451E"/>
    <w:rsid w:val="00EF0683"/>
    <w:rsid w:val="00EF3ACF"/>
    <w:rsid w:val="00EF44C3"/>
    <w:rsid w:val="00EF6AAA"/>
    <w:rsid w:val="00F069F9"/>
    <w:rsid w:val="00F1267F"/>
    <w:rsid w:val="00F12787"/>
    <w:rsid w:val="00F148CE"/>
    <w:rsid w:val="00F23601"/>
    <w:rsid w:val="00F23A11"/>
    <w:rsid w:val="00F30B06"/>
    <w:rsid w:val="00F44CE4"/>
    <w:rsid w:val="00F44E6F"/>
    <w:rsid w:val="00F47ED9"/>
    <w:rsid w:val="00F52332"/>
    <w:rsid w:val="00F606B5"/>
    <w:rsid w:val="00F6297C"/>
    <w:rsid w:val="00F70483"/>
    <w:rsid w:val="00F73488"/>
    <w:rsid w:val="00F75F0B"/>
    <w:rsid w:val="00F77E4A"/>
    <w:rsid w:val="00F85243"/>
    <w:rsid w:val="00F90018"/>
    <w:rsid w:val="00F917AF"/>
    <w:rsid w:val="00F95CD0"/>
    <w:rsid w:val="00F97972"/>
    <w:rsid w:val="00FA0C38"/>
    <w:rsid w:val="00FA50F6"/>
    <w:rsid w:val="00FB3282"/>
    <w:rsid w:val="00FB373D"/>
    <w:rsid w:val="00FB447F"/>
    <w:rsid w:val="00FB56E2"/>
    <w:rsid w:val="00FB7961"/>
    <w:rsid w:val="00FC160B"/>
    <w:rsid w:val="00FC4BCC"/>
    <w:rsid w:val="00FC7B42"/>
    <w:rsid w:val="00FD30E7"/>
    <w:rsid w:val="00FD34CB"/>
    <w:rsid w:val="00FD69F7"/>
    <w:rsid w:val="00FE0522"/>
    <w:rsid w:val="00FE1837"/>
    <w:rsid w:val="00FF0CEE"/>
    <w:rsid w:val="00FF35D8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C9B660"/>
  <w15:docId w15:val="{77731AD2-F7D3-3643-BC96-18199297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01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01B"/>
    <w:pPr>
      <w:jc w:val="both"/>
      <w:outlineLvl w:val="0"/>
    </w:pPr>
    <w:rPr>
      <w:rFonts w:ascii="Titillium" w:hAnsi="Titillium"/>
      <w:b/>
      <w:bCs/>
      <w:noProof/>
      <w:sz w:val="44"/>
      <w:szCs w:val="44"/>
      <w:lang w:eastAsia="en-GB"/>
    </w:rPr>
  </w:style>
  <w:style w:type="paragraph" w:styleId="Heading2">
    <w:name w:val="heading 2"/>
    <w:basedOn w:val="ListParagraph"/>
    <w:link w:val="Heading2Char"/>
    <w:uiPriority w:val="9"/>
    <w:qFormat/>
    <w:rsid w:val="008E30D4"/>
    <w:pPr>
      <w:numPr>
        <w:numId w:val="25"/>
      </w:numPr>
      <w:ind w:hanging="360"/>
      <w:outlineLvl w:val="1"/>
    </w:pPr>
    <w:rPr>
      <w:rFonts w:ascii="Titillium" w:hAnsi="Titillium"/>
      <w:b/>
      <w:color w:val="E5233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E30D4"/>
    <w:pPr>
      <w:outlineLvl w:val="2"/>
    </w:pPr>
    <w:rPr>
      <w:rFonts w:ascii="Titillium-Semibold" w:hAnsi="Titillium-Semibold" w:cs="Titillium-Semibold"/>
      <w:color w:val="E5233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C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3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A55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C31D5"/>
  </w:style>
  <w:style w:type="character" w:customStyle="1" w:styleId="FootnoteTextChar">
    <w:name w:val="Footnote Text Char"/>
    <w:basedOn w:val="DefaultParagraphFont"/>
    <w:link w:val="FootnoteText"/>
    <w:uiPriority w:val="99"/>
    <w:rsid w:val="00EC31D5"/>
    <w:rPr>
      <w:rFonts w:ascii="Arial" w:eastAsia="Times New Roman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EC31D5"/>
    <w:rPr>
      <w:vertAlign w:val="superscript"/>
    </w:rPr>
  </w:style>
  <w:style w:type="paragraph" w:styleId="Header">
    <w:name w:val="header"/>
    <w:next w:val="Normal"/>
    <w:link w:val="HeaderChar"/>
    <w:uiPriority w:val="99"/>
    <w:unhideWhenUsed/>
    <w:rsid w:val="008201CF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8201C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3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1D5"/>
    <w:rPr>
      <w:rFonts w:ascii="Arial" w:eastAsia="Times New Roman" w:hAnsi="Arial" w:cs="Arial"/>
    </w:rPr>
  </w:style>
  <w:style w:type="character" w:customStyle="1" w:styleId="highlight">
    <w:name w:val="highlight"/>
    <w:basedOn w:val="DefaultParagraphFont"/>
    <w:rsid w:val="004D3679"/>
  </w:style>
  <w:style w:type="table" w:styleId="TableGrid">
    <w:name w:val="Table Grid"/>
    <w:basedOn w:val="TableNormal"/>
    <w:uiPriority w:val="59"/>
    <w:rsid w:val="0088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2C68"/>
    <w:rPr>
      <w:color w:val="5F5F5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2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5799"/>
    <w:rPr>
      <w:color w:val="919191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3F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82850"/>
  </w:style>
  <w:style w:type="paragraph" w:customStyle="1" w:styleId="Default">
    <w:name w:val="Default"/>
    <w:rsid w:val="00E24581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</w:rPr>
  </w:style>
  <w:style w:type="paragraph" w:styleId="BodyText">
    <w:name w:val="Body Text"/>
    <w:basedOn w:val="Normal"/>
    <w:link w:val="BodyTextChar"/>
    <w:rsid w:val="008416F1"/>
    <w:pPr>
      <w:jc w:val="both"/>
    </w:pPr>
    <w:rPr>
      <w:rFonts w:ascii="Tahoma" w:hAnsi="Tahoma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8416F1"/>
    <w:rPr>
      <w:rFonts w:ascii="Tahoma" w:eastAsia="Times New Roman" w:hAnsi="Tahoma" w:cs="Times New Roman"/>
      <w:sz w:val="26"/>
      <w:szCs w:val="20"/>
    </w:rPr>
  </w:style>
  <w:style w:type="paragraph" w:styleId="List3">
    <w:name w:val="List 3"/>
    <w:basedOn w:val="Normal"/>
    <w:rsid w:val="008416F1"/>
    <w:pPr>
      <w:ind w:left="849" w:hanging="283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2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80F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80F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1B58"/>
    <w:rPr>
      <w:rFonts w:ascii="Times New Roman" w:hAnsi="Times New Roman" w:cs="Times New Roman"/>
    </w:rPr>
  </w:style>
  <w:style w:type="table" w:customStyle="1" w:styleId="TableGrid3">
    <w:name w:val="Table Grid3"/>
    <w:basedOn w:val="TableNormal"/>
    <w:next w:val="TableGrid"/>
    <w:uiPriority w:val="59"/>
    <w:rsid w:val="00BB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B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30D4"/>
    <w:rPr>
      <w:rFonts w:ascii="Titillium" w:eastAsia="Times New Roman" w:hAnsi="Titillium" w:cs="Arial"/>
      <w:b/>
      <w:color w:val="E5233F"/>
      <w:sz w:val="32"/>
      <w:szCs w:val="32"/>
    </w:rPr>
  </w:style>
  <w:style w:type="character" w:styleId="Strong">
    <w:name w:val="Strong"/>
    <w:basedOn w:val="DefaultParagraphFont"/>
    <w:uiPriority w:val="22"/>
    <w:qFormat/>
    <w:rsid w:val="009D3BE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E30D4"/>
    <w:rPr>
      <w:rFonts w:ascii="Titillium-Semibold" w:hAnsi="Titillium-Semibold" w:cs="Titillium-Semibold"/>
      <w:color w:val="E5233F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64BDC"/>
  </w:style>
  <w:style w:type="character" w:styleId="UnresolvedMention">
    <w:name w:val="Unresolved Mention"/>
    <w:basedOn w:val="DefaultParagraphFont"/>
    <w:uiPriority w:val="99"/>
    <w:semiHidden/>
    <w:unhideWhenUsed/>
    <w:rsid w:val="009B60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1B"/>
    <w:rPr>
      <w:rFonts w:ascii="Titillium" w:eastAsia="Times New Roman" w:hAnsi="Titillium" w:cs="Arial"/>
      <w:b/>
      <w:bCs/>
      <w:noProof/>
      <w:sz w:val="44"/>
      <w:szCs w:val="44"/>
      <w:lang w:eastAsia="en-GB"/>
    </w:rPr>
  </w:style>
  <w:style w:type="paragraph" w:customStyle="1" w:styleId="ContentsPagesNumber">
    <w:name w:val="Contents Pages Number"/>
    <w:basedOn w:val="ListParagraph"/>
    <w:link w:val="ContentsPagesNumberChar"/>
    <w:qFormat/>
    <w:rsid w:val="00E2701B"/>
    <w:pPr>
      <w:framePr w:hSpace="180" w:wrap="around" w:vAnchor="text" w:hAnchor="text" w:y="1"/>
      <w:numPr>
        <w:numId w:val="24"/>
      </w:numPr>
      <w:autoSpaceDE w:val="0"/>
      <w:autoSpaceDN w:val="0"/>
      <w:adjustRightInd w:val="0"/>
      <w:spacing w:line="360" w:lineRule="auto"/>
      <w:suppressOverlap/>
    </w:pPr>
    <w:rPr>
      <w:rFonts w:ascii="Titillium-Semibold" w:eastAsiaTheme="minorEastAsia" w:hAnsi="Titillium-Semibold" w:cs="Titillium-Semibold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701B"/>
    <w:rPr>
      <w:rFonts w:ascii="Arial" w:eastAsia="Times New Roman" w:hAnsi="Arial" w:cs="Arial"/>
    </w:rPr>
  </w:style>
  <w:style w:type="character" w:customStyle="1" w:styleId="ContentsPagesNumberChar">
    <w:name w:val="Contents Pages Number Char"/>
    <w:basedOn w:val="ListParagraphChar"/>
    <w:link w:val="ContentsPagesNumber"/>
    <w:rsid w:val="00E2701B"/>
    <w:rPr>
      <w:rFonts w:ascii="Titillium-Semibold" w:eastAsia="Times New Roman" w:hAnsi="Titillium-Semibold" w:cs="Titillium-Semibol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804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020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4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50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28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8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7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34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00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126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9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41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19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2B03ACD5DCCB409DA6B025703A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9164-30BC-B540-90A3-F8DD7E84B8E1}"/>
      </w:docPartPr>
      <w:docPartBody>
        <w:p w:rsidR="00E6420B" w:rsidRDefault="00E6420B" w:rsidP="00E6420B">
          <w:pPr>
            <w:pStyle w:val="3F2B03ACD5DCCB409DA6B025703A710A"/>
          </w:pPr>
          <w:r>
            <w:t>[Type text]</w:t>
          </w:r>
        </w:p>
      </w:docPartBody>
    </w:docPart>
    <w:docPart>
      <w:docPartPr>
        <w:name w:val="CFACCB42C3B3404CAA11B9BB648C0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0DC1-FE02-494D-A754-5E1B203D1AD0}"/>
      </w:docPartPr>
      <w:docPartBody>
        <w:p w:rsidR="00E6420B" w:rsidRDefault="00E6420B" w:rsidP="00E6420B">
          <w:pPr>
            <w:pStyle w:val="CFACCB42C3B3404CAA11B9BB648C050E"/>
          </w:pPr>
          <w:r>
            <w:t>[Type text]</w:t>
          </w:r>
        </w:p>
      </w:docPartBody>
    </w:docPart>
    <w:docPart>
      <w:docPartPr>
        <w:name w:val="EAB493A49408F545AC98EEFF5D8D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F2D1-535B-2A4F-96DE-6F0640DA8E13}"/>
      </w:docPartPr>
      <w:docPartBody>
        <w:p w:rsidR="00E6420B" w:rsidRDefault="00E6420B" w:rsidP="00E6420B">
          <w:pPr>
            <w:pStyle w:val="EAB493A49408F545AC98EEFF5D8D788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-Semibold">
    <w:altName w:val="Titill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45 Light">
    <w:charset w:val="00"/>
    <w:family w:val="swiss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0B"/>
    <w:rsid w:val="000751DB"/>
    <w:rsid w:val="000A1A60"/>
    <w:rsid w:val="00250B62"/>
    <w:rsid w:val="002D576F"/>
    <w:rsid w:val="002E3351"/>
    <w:rsid w:val="00320E10"/>
    <w:rsid w:val="00334B6F"/>
    <w:rsid w:val="00391F3D"/>
    <w:rsid w:val="003F619B"/>
    <w:rsid w:val="004A2683"/>
    <w:rsid w:val="004D094E"/>
    <w:rsid w:val="005058D9"/>
    <w:rsid w:val="00541CD1"/>
    <w:rsid w:val="005C1EB8"/>
    <w:rsid w:val="005D0AE1"/>
    <w:rsid w:val="005E6725"/>
    <w:rsid w:val="006703CF"/>
    <w:rsid w:val="00733210"/>
    <w:rsid w:val="008037FB"/>
    <w:rsid w:val="008A4462"/>
    <w:rsid w:val="008A542F"/>
    <w:rsid w:val="009C30D2"/>
    <w:rsid w:val="00A42EAC"/>
    <w:rsid w:val="00A964BE"/>
    <w:rsid w:val="00B02716"/>
    <w:rsid w:val="00BD2A4D"/>
    <w:rsid w:val="00BD6CFD"/>
    <w:rsid w:val="00CA3CCD"/>
    <w:rsid w:val="00D0019E"/>
    <w:rsid w:val="00E6420B"/>
    <w:rsid w:val="00EA4F15"/>
    <w:rsid w:val="00EE14CD"/>
    <w:rsid w:val="00EF0A53"/>
    <w:rsid w:val="00EF33C6"/>
    <w:rsid w:val="00F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2B03ACD5DCCB409DA6B025703A710A">
    <w:name w:val="3F2B03ACD5DCCB409DA6B025703A710A"/>
    <w:rsid w:val="00E6420B"/>
  </w:style>
  <w:style w:type="paragraph" w:customStyle="1" w:styleId="CFACCB42C3B3404CAA11B9BB648C050E">
    <w:name w:val="CFACCB42C3B3404CAA11B9BB648C050E"/>
    <w:rsid w:val="00E6420B"/>
  </w:style>
  <w:style w:type="paragraph" w:customStyle="1" w:styleId="EAB493A49408F545AC98EEFF5D8D7889">
    <w:name w:val="EAB493A49408F545AC98EEFF5D8D7889"/>
    <w:rsid w:val="00E64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F8E08ACC15149987F27117DD23089" ma:contentTypeVersion="94" ma:contentTypeDescription="Create a new document." ma:contentTypeScope="" ma:versionID="0ca8d1e0dd22d111a7782c4ebdecef70">
  <xsd:schema xmlns:xsd="http://www.w3.org/2001/XMLSchema" xmlns:xs="http://www.w3.org/2001/XMLSchema" xmlns:p="http://schemas.microsoft.com/office/2006/metadata/properties" xmlns:ns1="http://schemas.microsoft.com/sharepoint/v3" xmlns:ns2="034498f0-af88-4ead-8ff8-8771186303f3" targetNamespace="http://schemas.microsoft.com/office/2006/metadata/properties" ma:root="true" ma:fieldsID="d78bdaa633c2daa314a07a34caa8c900" ns1:_="" ns2:_="">
    <xsd:import namespace="http://schemas.microsoft.com/sharepoint/v3"/>
    <xsd:import namespace="034498f0-af88-4ead-8ff8-8771186303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98f0-af88-4ead-8ff8-877118630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A32E4C-881E-4376-9256-626477FDBBA7}">
  <ds:schemaRefs>
    <ds:schemaRef ds:uri="http://schemas.microsoft.com/office/2006/metadata/properties"/>
    <ds:schemaRef ds:uri="http://schemas.microsoft.com/office/infopath/2007/PartnerControls"/>
    <ds:schemaRef ds:uri="61e05e3d-61ed-4561-addd-dcd97b453233"/>
    <ds:schemaRef ds:uri="9b103751-d83b-4d14-8377-da6c251ff194"/>
  </ds:schemaRefs>
</ds:datastoreItem>
</file>

<file path=customXml/itemProps2.xml><?xml version="1.0" encoding="utf-8"?>
<ds:datastoreItem xmlns:ds="http://schemas.openxmlformats.org/officeDocument/2006/customXml" ds:itemID="{D7440EA2-0A6B-4E1C-AEDD-9E80E0089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E3297-9091-4EBF-9BA8-BA6427667385}"/>
</file>

<file path=customXml/itemProps4.xml><?xml version="1.0" encoding="utf-8"?>
<ds:datastoreItem xmlns:ds="http://schemas.openxmlformats.org/officeDocument/2006/customXml" ds:itemID="{66A5BA16-594C-461F-85B2-D20E2323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Yorgos Panagopoulos</dc:creator>
  <cp:keywords/>
  <dc:description/>
  <cp:lastModifiedBy>Arnot, Louise</cp:lastModifiedBy>
  <cp:revision>12</cp:revision>
  <cp:lastPrinted>2024-07-10T10:34:00Z</cp:lastPrinted>
  <dcterms:created xsi:type="dcterms:W3CDTF">2024-07-09T10:58:00Z</dcterms:created>
  <dcterms:modified xsi:type="dcterms:W3CDTF">2024-07-26T12:34:00Z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0x0101004E2F8E08ACC15149987F27117DD23089</vt:lpwstr>
  </property>
</Properties>
</file>