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DA8DA" w14:textId="17AADDD4" w:rsidR="00BB38E6" w:rsidRPr="00135449" w:rsidRDefault="00BB38E6" w:rsidP="00BB38E6">
      <w:pPr>
        <w:jc w:val="both"/>
        <w:rPr>
          <w:noProof/>
          <w:sz w:val="12"/>
          <w:lang w:eastAsia="en-GB"/>
        </w:rPr>
      </w:pPr>
    </w:p>
    <w:p w14:paraId="1B3397D4" w14:textId="77777777" w:rsidR="00BB38E6" w:rsidRPr="00BB38E6" w:rsidRDefault="00BB38E6" w:rsidP="00BB38E6">
      <w:pPr>
        <w:jc w:val="both"/>
        <w:rPr>
          <w:noProof/>
          <w:lang w:eastAsia="en-GB"/>
        </w:rPr>
      </w:pPr>
    </w:p>
    <w:p w14:paraId="051B58AD" w14:textId="1832BF22" w:rsidR="005D14A3" w:rsidRPr="004B46A6" w:rsidRDefault="00493F41" w:rsidP="005D14A3">
      <w:pPr>
        <w:pStyle w:val="ListParagraph"/>
        <w:numPr>
          <w:ilvl w:val="0"/>
          <w:numId w:val="25"/>
        </w:numPr>
        <w:ind w:hanging="360"/>
        <w:rPr>
          <w:b/>
          <w:color w:val="67B8E7"/>
        </w:rPr>
      </w:pPr>
      <w:r>
        <w:rPr>
          <w:rFonts w:ascii="Titillium" w:hAnsi="Titillium"/>
          <w:b/>
          <w:color w:val="67B8E7"/>
          <w:sz w:val="32"/>
          <w:szCs w:val="32"/>
        </w:rPr>
        <w:t>Background</w:t>
      </w:r>
    </w:p>
    <w:p w14:paraId="1825A416" w14:textId="445981C7" w:rsidR="005D14A3" w:rsidRPr="005D14A3" w:rsidRDefault="005D14A3" w:rsidP="005D14A3">
      <w:pPr>
        <w:pStyle w:val="ListParagraph"/>
        <w:ind w:left="360"/>
        <w:rPr>
          <w:rFonts w:ascii="Titillium" w:hAnsi="Titillium"/>
          <w:b/>
          <w:color w:val="579FBB"/>
        </w:rPr>
      </w:pPr>
    </w:p>
    <w:p w14:paraId="3FBA6079" w14:textId="719ED2A0" w:rsidR="00506224" w:rsidRPr="00EF218F" w:rsidRDefault="00493F41" w:rsidP="00BB38E6">
      <w:pPr>
        <w:jc w:val="both"/>
        <w:rPr>
          <w:rFonts w:ascii="Titillium" w:hAnsi="Titillium"/>
        </w:rPr>
      </w:pPr>
      <w:r w:rsidRPr="00EF218F">
        <w:rPr>
          <w:rFonts w:ascii="Titillium" w:hAnsi="Titillium"/>
        </w:rPr>
        <w:t>At the University there is often a genuine need to use casual workers i.e.</w:t>
      </w:r>
      <w:r w:rsidR="000A450B" w:rsidRPr="00EF218F">
        <w:rPr>
          <w:rFonts w:ascii="Titillium" w:hAnsi="Titillium"/>
        </w:rPr>
        <w:t xml:space="preserve"> </w:t>
      </w:r>
      <w:r w:rsidR="009F344F" w:rsidRPr="00EF218F">
        <w:rPr>
          <w:rFonts w:ascii="Titillium" w:hAnsi="Titillium"/>
        </w:rPr>
        <w:t xml:space="preserve"> Invigilators, E</w:t>
      </w:r>
      <w:r w:rsidR="000A450B" w:rsidRPr="00EF218F">
        <w:rPr>
          <w:rFonts w:ascii="Titillium" w:hAnsi="Titillium"/>
        </w:rPr>
        <w:t>xternal Examiners, Student Ambassadors or in order to fill very short-term needs or cover (maximum 4 weeks). However, managers should ensure that casual workers do not work regular hours or complete work on a regular basis. If this is the case, managers must consider the options such as using fixed term or permanent contract.  Please contact the HR Service Team for advice, if required.</w:t>
      </w:r>
    </w:p>
    <w:p w14:paraId="679746F8" w14:textId="77777777" w:rsidR="005D14A3" w:rsidRPr="00BB38E6" w:rsidRDefault="005D14A3" w:rsidP="00BB38E6">
      <w:pPr>
        <w:jc w:val="both"/>
        <w:rPr>
          <w:rFonts w:ascii="Titillium" w:hAnsi="Titillium"/>
        </w:rPr>
      </w:pPr>
    </w:p>
    <w:p w14:paraId="0BB683E3" w14:textId="19BA0BAF" w:rsidR="00EE451E" w:rsidRPr="004B46A6" w:rsidRDefault="00493F41" w:rsidP="00EE451E">
      <w:pPr>
        <w:pStyle w:val="ListParagraph"/>
        <w:numPr>
          <w:ilvl w:val="0"/>
          <w:numId w:val="25"/>
        </w:numPr>
        <w:ind w:hanging="360"/>
        <w:rPr>
          <w:b/>
          <w:color w:val="67B8E7"/>
        </w:rPr>
      </w:pPr>
      <w:r>
        <w:rPr>
          <w:rFonts w:ascii="Titillium" w:hAnsi="Titillium"/>
          <w:b/>
          <w:color w:val="67B8E7"/>
          <w:sz w:val="32"/>
          <w:szCs w:val="32"/>
        </w:rPr>
        <w:t>Process</w:t>
      </w:r>
    </w:p>
    <w:p w14:paraId="03C8A7C2" w14:textId="512DE82C" w:rsidR="00EE451E" w:rsidRPr="00EF218F" w:rsidRDefault="00EE451E" w:rsidP="00EE451E">
      <w:pPr>
        <w:jc w:val="both"/>
        <w:rPr>
          <w:rFonts w:ascii="Titillium" w:hAnsi="Titillium"/>
          <w:szCs w:val="22"/>
        </w:rPr>
      </w:pPr>
    </w:p>
    <w:p w14:paraId="0BE29EFD" w14:textId="5A5FC6CA" w:rsidR="00493F41" w:rsidRPr="00EF218F" w:rsidRDefault="00493F41" w:rsidP="00493F41">
      <w:pPr>
        <w:shd w:val="clear" w:color="auto" w:fill="FFFFFF"/>
        <w:spacing w:line="384" w:lineRule="atLeast"/>
        <w:rPr>
          <w:rFonts w:ascii="Titillium" w:hAnsi="Titillium" w:cs="Tahoma"/>
          <w:lang w:eastAsia="en-GB"/>
        </w:rPr>
      </w:pPr>
      <w:r w:rsidRPr="00EF218F">
        <w:rPr>
          <w:rFonts w:ascii="Titillium" w:hAnsi="Titillium" w:cs="Tahoma"/>
          <w:lang w:eastAsia="en-GB"/>
        </w:rPr>
        <w:t>All new casual workers* require an approved SAF and will be required to complete a Casual Appointment Form.  The Appointment Form should be completed by the casual worker and their Host Manager, who is the University contact who co-ordinates casual workers in the relevant area or the person who the casual worker reports directly to when undertaking work for the University. On the Casual appointment form an end date must be supplied. Should the casual position be extended, a further SAF is required.</w:t>
      </w:r>
    </w:p>
    <w:p w14:paraId="0FFA00FE" w14:textId="77777777" w:rsidR="00493F41" w:rsidRPr="00B12F65" w:rsidRDefault="00493F41" w:rsidP="00493F41">
      <w:pPr>
        <w:shd w:val="clear" w:color="auto" w:fill="FFFFFF"/>
        <w:spacing w:line="384" w:lineRule="atLeast"/>
        <w:rPr>
          <w:rFonts w:ascii="Tahoma" w:hAnsi="Tahoma" w:cs="Tahoma"/>
          <w:color w:val="666666"/>
          <w:lang w:eastAsia="en-GB"/>
        </w:rPr>
      </w:pPr>
    </w:p>
    <w:p w14:paraId="0504C2C7" w14:textId="50FC418A" w:rsidR="00493F41" w:rsidRPr="00EF218F" w:rsidRDefault="00493F41" w:rsidP="00493F41">
      <w:pPr>
        <w:shd w:val="clear" w:color="auto" w:fill="FFFFFF"/>
        <w:spacing w:line="384" w:lineRule="atLeast"/>
        <w:rPr>
          <w:rFonts w:ascii="Titillium" w:hAnsi="Titillium" w:cs="Tahoma"/>
          <w:lang w:eastAsia="en-GB"/>
        </w:rPr>
      </w:pPr>
      <w:r w:rsidRPr="00EF218F">
        <w:rPr>
          <w:rFonts w:ascii="Titillium" w:hAnsi="Titillium" w:cs="Tahoma"/>
          <w:lang w:eastAsia="en-GB"/>
        </w:rPr>
        <w:t xml:space="preserve">The Casual Appointment Form must be completed in advance of any work being undertaken by the casual worker. Additionally, all the necessary document checks must be completed, to ensure that the worker has the right to work in the UK and to verify their personal details. Right to Work checks are carried out by the HR Services Team who can be contacted </w:t>
      </w:r>
      <w:r w:rsidR="008D7EBD" w:rsidRPr="00EF218F">
        <w:rPr>
          <w:rFonts w:ascii="Titillium" w:hAnsi="Titillium" w:cs="Tahoma"/>
          <w:lang w:eastAsia="en-GB"/>
        </w:rPr>
        <w:t xml:space="preserve">at </w:t>
      </w:r>
      <w:hyperlink r:id="rId8" w:history="1">
        <w:r w:rsidR="008D7EBD" w:rsidRPr="008D7EBD">
          <w:rPr>
            <w:rFonts w:ascii="Titillium" w:eastAsiaTheme="minorEastAsia" w:hAnsi="Titillium" w:cs="Titillium-Semibold"/>
            <w:color w:val="67B8E7"/>
            <w:szCs w:val="22"/>
            <w:u w:val="single"/>
          </w:rPr>
          <w:t>HumanResources@napier.ac.uk</w:t>
        </w:r>
      </w:hyperlink>
      <w:r w:rsidR="008D7EBD">
        <w:rPr>
          <w:rFonts w:ascii="Titillium" w:eastAsiaTheme="minorEastAsia" w:hAnsi="Titillium" w:cs="Titillium-Semibold"/>
          <w:color w:val="67B8E7"/>
          <w:sz w:val="22"/>
          <w:szCs w:val="22"/>
          <w:u w:val="single"/>
        </w:rPr>
        <w:t xml:space="preserve"> </w:t>
      </w:r>
      <w:r w:rsidRPr="00EF218F">
        <w:rPr>
          <w:rFonts w:ascii="Titillium" w:hAnsi="Titillium" w:cs="Tahoma"/>
          <w:lang w:eastAsia="en-GB"/>
        </w:rPr>
        <w:t xml:space="preserve">to arrange this. </w:t>
      </w:r>
    </w:p>
    <w:p w14:paraId="22B1101B" w14:textId="77777777" w:rsidR="00493F41" w:rsidRPr="00B21B89" w:rsidRDefault="00493F41" w:rsidP="00493F41">
      <w:pPr>
        <w:shd w:val="clear" w:color="auto" w:fill="FFFFFF"/>
        <w:spacing w:line="384" w:lineRule="atLeast"/>
        <w:rPr>
          <w:rFonts w:ascii="Tahoma" w:hAnsi="Tahoma" w:cs="Tahoma"/>
          <w:color w:val="666666"/>
          <w:lang w:eastAsia="en-GB"/>
        </w:rPr>
      </w:pPr>
      <w:r w:rsidRPr="00B21B89">
        <w:rPr>
          <w:rFonts w:ascii="Tahoma" w:hAnsi="Tahoma" w:cs="Tahoma"/>
          <w:color w:val="666666"/>
          <w:lang w:eastAsia="en-GB"/>
        </w:rPr>
        <w:t> </w:t>
      </w:r>
    </w:p>
    <w:p w14:paraId="7DC39E0B" w14:textId="77777777" w:rsidR="00493F41" w:rsidRPr="00EF218F" w:rsidRDefault="00493F41" w:rsidP="00493F41">
      <w:pPr>
        <w:shd w:val="clear" w:color="auto" w:fill="FFFFFF"/>
        <w:spacing w:line="384" w:lineRule="atLeast"/>
        <w:rPr>
          <w:rFonts w:ascii="Titillium" w:hAnsi="Titillium" w:cs="Tahoma"/>
          <w:lang w:eastAsia="en-GB"/>
        </w:rPr>
      </w:pPr>
      <w:r w:rsidRPr="00EF218F">
        <w:rPr>
          <w:rFonts w:ascii="Titillium" w:hAnsi="Titillium" w:cs="Tahoma"/>
          <w:lang w:eastAsia="en-GB"/>
        </w:rPr>
        <w:t>In the case of external examiners, please contact your School’s Academic Quality department who will be able to assist you with the process.</w:t>
      </w:r>
    </w:p>
    <w:p w14:paraId="5492FBB7" w14:textId="77777777" w:rsidR="00493F41" w:rsidRPr="00EF218F" w:rsidRDefault="00493F41" w:rsidP="00493F41">
      <w:pPr>
        <w:shd w:val="clear" w:color="auto" w:fill="FFFFFF"/>
        <w:spacing w:line="384" w:lineRule="atLeast"/>
        <w:rPr>
          <w:rFonts w:ascii="Titillium" w:hAnsi="Titillium" w:cs="Tahoma"/>
          <w:lang w:eastAsia="en-GB"/>
        </w:rPr>
      </w:pPr>
      <w:r w:rsidRPr="00EF218F">
        <w:rPr>
          <w:rFonts w:ascii="Calibri" w:hAnsi="Calibri" w:cs="Calibri"/>
          <w:lang w:eastAsia="en-GB"/>
        </w:rPr>
        <w:t>  </w:t>
      </w:r>
    </w:p>
    <w:p w14:paraId="25CF6EBA" w14:textId="77777777" w:rsidR="00493F41" w:rsidRPr="00EF218F" w:rsidRDefault="00493F41" w:rsidP="00493F41">
      <w:pPr>
        <w:shd w:val="clear" w:color="auto" w:fill="FFFFFF"/>
        <w:spacing w:line="384" w:lineRule="atLeast"/>
        <w:rPr>
          <w:rFonts w:ascii="Titillium" w:hAnsi="Titillium" w:cs="Tahoma"/>
          <w:lang w:eastAsia="en-GB"/>
        </w:rPr>
      </w:pPr>
      <w:r w:rsidRPr="00EF218F">
        <w:rPr>
          <w:rFonts w:ascii="Titillium" w:hAnsi="Titillium" w:cs="Tahoma"/>
          <w:lang w:eastAsia="en-GB"/>
        </w:rPr>
        <w:t>When the HR Services Team have received the completed Casual Appointment Form and Right to Work Check, the casual worker will then be added onto HR Connect and Terms of Engagement will be sent to the casual worker by email.</w:t>
      </w:r>
      <w:r w:rsidRPr="00EF218F">
        <w:rPr>
          <w:rFonts w:ascii="Calibri" w:hAnsi="Calibri" w:cs="Calibri"/>
          <w:lang w:eastAsia="en-GB"/>
        </w:rPr>
        <w:t>  </w:t>
      </w:r>
      <w:r w:rsidRPr="00EF218F">
        <w:rPr>
          <w:rFonts w:ascii="Titillium" w:hAnsi="Titillium" w:cs="Tahoma"/>
          <w:lang w:eastAsia="en-GB"/>
        </w:rPr>
        <w:t xml:space="preserve"> If the Host Manager has People Manager Access they will be able to view the casual worker's record.</w:t>
      </w:r>
    </w:p>
    <w:p w14:paraId="5A650E48" w14:textId="77777777" w:rsidR="00EF218F" w:rsidRPr="00EF218F" w:rsidRDefault="00EF218F" w:rsidP="00493F41">
      <w:pPr>
        <w:shd w:val="clear" w:color="auto" w:fill="FFFFFF"/>
        <w:spacing w:line="384" w:lineRule="atLeast"/>
        <w:rPr>
          <w:rFonts w:ascii="Titillium" w:hAnsi="Titillium" w:cs="Tahoma"/>
          <w:color w:val="666666"/>
          <w:lang w:eastAsia="en-GB"/>
        </w:rPr>
      </w:pPr>
    </w:p>
    <w:p w14:paraId="694ECDE0" w14:textId="112BDA5E" w:rsidR="00493F41" w:rsidRPr="00EF218F" w:rsidRDefault="00493F41" w:rsidP="00493F41">
      <w:pPr>
        <w:shd w:val="clear" w:color="auto" w:fill="FFFFFF"/>
        <w:spacing w:line="384" w:lineRule="atLeast"/>
        <w:rPr>
          <w:rFonts w:ascii="Titillium" w:hAnsi="Titillium" w:cs="Tahoma"/>
          <w:lang w:eastAsia="en-GB"/>
        </w:rPr>
      </w:pPr>
      <w:r w:rsidRPr="00EF218F">
        <w:rPr>
          <w:rFonts w:ascii="Titillium" w:hAnsi="Titillium" w:cs="Tahoma"/>
          <w:lang w:eastAsia="en-GB"/>
        </w:rPr>
        <w:t>If the casual worker needs access to student information they must complete the Oath of Confidentiality Form.</w:t>
      </w:r>
    </w:p>
    <w:p w14:paraId="0AA5F4AD" w14:textId="2ACEEEB0" w:rsidR="00EE451E" w:rsidRPr="00EF218F" w:rsidRDefault="00EE451E" w:rsidP="00493F41">
      <w:pPr>
        <w:jc w:val="both"/>
        <w:rPr>
          <w:rFonts w:ascii="Titillium" w:hAnsi="Titillium"/>
          <w:b/>
          <w:szCs w:val="32"/>
        </w:rPr>
      </w:pPr>
    </w:p>
    <w:p w14:paraId="7D7D868D" w14:textId="77777777" w:rsidR="00493F41" w:rsidRPr="00EF218F" w:rsidRDefault="00493F41" w:rsidP="00493F41">
      <w:pPr>
        <w:shd w:val="clear" w:color="auto" w:fill="FFFFFF"/>
        <w:spacing w:line="384" w:lineRule="atLeast"/>
        <w:rPr>
          <w:rFonts w:ascii="Titillium" w:hAnsi="Titillium" w:cs="Tahoma"/>
          <w:lang w:eastAsia="en-GB"/>
        </w:rPr>
      </w:pPr>
      <w:r w:rsidRPr="00EF218F">
        <w:rPr>
          <w:rFonts w:ascii="Titillium" w:hAnsi="Titillium" w:cs="Tahoma"/>
          <w:lang w:eastAsia="en-GB"/>
        </w:rPr>
        <w:t>Should</w:t>
      </w:r>
      <w:r w:rsidRPr="00EF218F">
        <w:rPr>
          <w:rFonts w:ascii="Calibri" w:hAnsi="Calibri" w:cs="Calibri"/>
          <w:lang w:eastAsia="en-GB"/>
        </w:rPr>
        <w:t> </w:t>
      </w:r>
      <w:r w:rsidRPr="00EF218F">
        <w:rPr>
          <w:rFonts w:ascii="Titillium" w:hAnsi="Titillium" w:cs="Tahoma"/>
          <w:lang w:eastAsia="en-GB"/>
        </w:rPr>
        <w:t>a casual worker not receive a payment for a period of 13 months, they will be actioned as a leaver and removed from HR Connect. The casual worker would have to complete a new Casual Appointment Form and complete the</w:t>
      </w:r>
      <w:r w:rsidRPr="00EF218F">
        <w:rPr>
          <w:rFonts w:ascii="Calibri" w:hAnsi="Calibri" w:cs="Calibri"/>
          <w:lang w:eastAsia="en-GB"/>
        </w:rPr>
        <w:t> </w:t>
      </w:r>
      <w:r w:rsidRPr="00EF218F">
        <w:rPr>
          <w:rFonts w:ascii="Titillium" w:hAnsi="Titillium" w:cs="Tahoma"/>
          <w:lang w:eastAsia="en-GB"/>
        </w:rPr>
        <w:t>Right</w:t>
      </w:r>
      <w:r w:rsidRPr="00EF218F">
        <w:rPr>
          <w:rFonts w:ascii="Calibri" w:hAnsi="Calibri" w:cs="Calibri"/>
          <w:lang w:eastAsia="en-GB"/>
        </w:rPr>
        <w:t> </w:t>
      </w:r>
      <w:r w:rsidRPr="00EF218F">
        <w:rPr>
          <w:rFonts w:ascii="Titillium" w:hAnsi="Titillium" w:cs="Tahoma"/>
          <w:lang w:eastAsia="en-GB"/>
        </w:rPr>
        <w:t>to Work check again</w:t>
      </w:r>
      <w:r w:rsidRPr="00EF218F">
        <w:rPr>
          <w:rFonts w:ascii="Calibri" w:hAnsi="Calibri" w:cs="Calibri"/>
          <w:lang w:eastAsia="en-GB"/>
        </w:rPr>
        <w:t> </w:t>
      </w:r>
      <w:r w:rsidRPr="00EF218F">
        <w:rPr>
          <w:rFonts w:ascii="Titillium" w:hAnsi="Titillium" w:cs="Tahoma"/>
          <w:lang w:eastAsia="en-GB"/>
        </w:rPr>
        <w:t>should they be required to complete casual work for the University again.</w:t>
      </w:r>
    </w:p>
    <w:p w14:paraId="5FA79B9F" w14:textId="77777777" w:rsidR="00493F41" w:rsidRPr="00EF218F" w:rsidRDefault="00493F41" w:rsidP="00493F41">
      <w:pPr>
        <w:jc w:val="both"/>
        <w:rPr>
          <w:rFonts w:ascii="Titillium" w:hAnsi="Titillium"/>
          <w:b/>
          <w:color w:val="579FBB"/>
          <w:szCs w:val="32"/>
        </w:rPr>
      </w:pPr>
    </w:p>
    <w:p w14:paraId="33FEAF64" w14:textId="3E24633C" w:rsidR="00BB38E6" w:rsidRPr="004B46A6" w:rsidRDefault="00493F41" w:rsidP="00120ABF">
      <w:pPr>
        <w:pStyle w:val="ListParagraph"/>
        <w:numPr>
          <w:ilvl w:val="0"/>
          <w:numId w:val="25"/>
        </w:numPr>
        <w:ind w:left="426" w:hanging="426"/>
        <w:jc w:val="both"/>
        <w:rPr>
          <w:rFonts w:ascii="Titillium" w:hAnsi="Titillium"/>
          <w:b/>
          <w:color w:val="67B8E7"/>
          <w:sz w:val="32"/>
          <w:szCs w:val="32"/>
        </w:rPr>
      </w:pPr>
      <w:r>
        <w:rPr>
          <w:rFonts w:ascii="Titillium" w:hAnsi="Titillium"/>
          <w:b/>
          <w:color w:val="67B8E7"/>
          <w:sz w:val="32"/>
          <w:szCs w:val="32"/>
        </w:rPr>
        <w:t>Paying the Casual Worker</w:t>
      </w:r>
    </w:p>
    <w:p w14:paraId="516EA1CA" w14:textId="45D9F58F" w:rsidR="00EE451E" w:rsidRDefault="00EE451E" w:rsidP="00EE451E">
      <w:pPr>
        <w:jc w:val="both"/>
        <w:rPr>
          <w:rFonts w:ascii="Titillium" w:hAnsi="Titillium"/>
          <w:b/>
          <w:color w:val="859EA4"/>
        </w:rPr>
      </w:pPr>
    </w:p>
    <w:p w14:paraId="0F99DCEF" w14:textId="77777777" w:rsidR="00493F41" w:rsidRPr="00EF218F" w:rsidRDefault="00493F41" w:rsidP="00493F41">
      <w:pPr>
        <w:shd w:val="clear" w:color="auto" w:fill="FFFFFF"/>
        <w:spacing w:line="384" w:lineRule="atLeast"/>
        <w:rPr>
          <w:rFonts w:ascii="Titillium" w:hAnsi="Titillium" w:cs="Tahoma"/>
          <w:lang w:eastAsia="en-GB"/>
        </w:rPr>
      </w:pPr>
      <w:r w:rsidRPr="00EF218F">
        <w:rPr>
          <w:rFonts w:ascii="Titillium" w:hAnsi="Titillium"/>
        </w:rPr>
        <w:t xml:space="preserve">The casual workers should </w:t>
      </w:r>
      <w:r w:rsidRPr="00EF218F">
        <w:rPr>
          <w:rFonts w:ascii="Titillium" w:hAnsi="Titillium" w:cs="Tahoma"/>
          <w:lang w:eastAsia="en-GB"/>
        </w:rPr>
        <w:t>complete the appropriate casual payment claim form detailing the hours they have completed, which should be signed by the line manager and the senior manager with responsibility for the budget from which the payment is requested. This must be sent to Payroll by the 10th of the month for payment in that month. Please note: in order to be paid in that month, the worker's details must already be on HR Connect</w:t>
      </w:r>
      <w:r w:rsidRPr="00EF218F">
        <w:rPr>
          <w:rFonts w:ascii="Calibri" w:hAnsi="Calibri" w:cs="Calibri"/>
          <w:lang w:eastAsia="en-GB"/>
        </w:rPr>
        <w:t> </w:t>
      </w:r>
      <w:r w:rsidRPr="00EF218F">
        <w:rPr>
          <w:rFonts w:ascii="Titillium" w:hAnsi="Titillium" w:cs="Tahoma"/>
          <w:lang w:eastAsia="en-GB"/>
        </w:rPr>
        <w:t>(the HR system). If an Appointment Form, along with an</w:t>
      </w:r>
      <w:r w:rsidRPr="00EF218F">
        <w:rPr>
          <w:rFonts w:ascii="Calibri" w:hAnsi="Calibri" w:cs="Calibri"/>
          <w:lang w:eastAsia="en-GB"/>
        </w:rPr>
        <w:t> </w:t>
      </w:r>
      <w:r w:rsidRPr="00EF218F">
        <w:rPr>
          <w:rFonts w:ascii="Titillium" w:hAnsi="Titillium" w:cs="Tahoma"/>
          <w:lang w:eastAsia="en-GB"/>
        </w:rPr>
        <w:t>individual's</w:t>
      </w:r>
      <w:r w:rsidRPr="00EF218F">
        <w:rPr>
          <w:rFonts w:ascii="Calibri" w:hAnsi="Calibri" w:cs="Calibri"/>
          <w:lang w:eastAsia="en-GB"/>
        </w:rPr>
        <w:t> </w:t>
      </w:r>
      <w:r w:rsidRPr="00EF218F">
        <w:rPr>
          <w:rFonts w:ascii="Titillium" w:hAnsi="Titillium" w:cs="Tahoma"/>
          <w:lang w:eastAsia="en-GB"/>
        </w:rPr>
        <w:t>Right to Work in the UK ID,</w:t>
      </w:r>
      <w:r w:rsidRPr="00EF218F">
        <w:rPr>
          <w:rFonts w:ascii="Calibri" w:hAnsi="Calibri" w:cs="Calibri"/>
          <w:lang w:eastAsia="en-GB"/>
        </w:rPr>
        <w:t> </w:t>
      </w:r>
      <w:r w:rsidRPr="00EF218F">
        <w:rPr>
          <w:rFonts w:ascii="Titillium" w:hAnsi="Titillium" w:cs="Tahoma"/>
          <w:lang w:eastAsia="en-GB"/>
        </w:rPr>
        <w:t>has not been received by the HR Services team prior to receipt of the casual payment form, payment cannot and will not be made. Casual workers must submit claim</w:t>
      </w:r>
      <w:r w:rsidRPr="00EF218F">
        <w:rPr>
          <w:rFonts w:ascii="Calibri" w:hAnsi="Calibri" w:cs="Calibri"/>
          <w:lang w:eastAsia="en-GB"/>
        </w:rPr>
        <w:t> </w:t>
      </w:r>
      <w:r w:rsidRPr="00EF218F">
        <w:rPr>
          <w:rFonts w:ascii="Titillium" w:hAnsi="Titillium" w:cs="Tahoma"/>
          <w:lang w:eastAsia="en-GB"/>
        </w:rPr>
        <w:t>forms as outlined above for each month worked as soon as possible once the work has been completed for that month.</w:t>
      </w:r>
    </w:p>
    <w:p w14:paraId="1CBD6956" w14:textId="77777777" w:rsidR="00493F41" w:rsidRPr="00EF218F" w:rsidRDefault="00493F41" w:rsidP="00493F41">
      <w:pPr>
        <w:shd w:val="clear" w:color="auto" w:fill="FFFFFF"/>
        <w:spacing w:line="384" w:lineRule="atLeast"/>
        <w:rPr>
          <w:rFonts w:ascii="Titillium" w:hAnsi="Titillium" w:cs="Tahoma"/>
          <w:lang w:eastAsia="en-GB"/>
        </w:rPr>
      </w:pPr>
      <w:r w:rsidRPr="00EF218F">
        <w:rPr>
          <w:rFonts w:ascii="Calibri" w:hAnsi="Calibri" w:cs="Calibri"/>
          <w:lang w:eastAsia="en-GB"/>
        </w:rPr>
        <w:t> </w:t>
      </w:r>
    </w:p>
    <w:p w14:paraId="40DBBD3D" w14:textId="20E5F814" w:rsidR="009D3BE0" w:rsidRPr="00EF218F" w:rsidRDefault="00493F41" w:rsidP="00EF218F">
      <w:pPr>
        <w:shd w:val="clear" w:color="auto" w:fill="FFFFFF"/>
        <w:spacing w:line="384" w:lineRule="atLeast"/>
        <w:rPr>
          <w:rFonts w:ascii="Titillium" w:hAnsi="Titillium" w:cs="Tahoma"/>
          <w:lang w:eastAsia="en-GB"/>
        </w:rPr>
      </w:pPr>
      <w:r w:rsidRPr="00EF218F">
        <w:rPr>
          <w:rFonts w:ascii="Titillium" w:hAnsi="Titillium" w:cs="Tahoma"/>
          <w:lang w:eastAsia="en-GB"/>
        </w:rPr>
        <w:t>The casual worker will receive an e-payslip confirming their payment details and should refer to the Terms of Engagement e-mail for password details.</w:t>
      </w:r>
    </w:p>
    <w:p w14:paraId="52C72389" w14:textId="7F11E3BF" w:rsidR="00D314D6" w:rsidRPr="00EF218F" w:rsidRDefault="00D314D6" w:rsidP="00BB38E6">
      <w:pPr>
        <w:jc w:val="both"/>
        <w:rPr>
          <w:rFonts w:ascii="Titillium" w:hAnsi="Titillium"/>
          <w:szCs w:val="22"/>
        </w:rPr>
      </w:pPr>
    </w:p>
    <w:p w14:paraId="7BCCFC99" w14:textId="360CC3F2" w:rsidR="00BB38E6" w:rsidRPr="004B46A6" w:rsidRDefault="00493F41" w:rsidP="005D14A3">
      <w:pPr>
        <w:pStyle w:val="ListParagraph"/>
        <w:numPr>
          <w:ilvl w:val="0"/>
          <w:numId w:val="25"/>
        </w:numPr>
        <w:tabs>
          <w:tab w:val="left" w:pos="567"/>
          <w:tab w:val="left" w:pos="709"/>
        </w:tabs>
        <w:ind w:hanging="360"/>
        <w:rPr>
          <w:rFonts w:ascii="Titillium" w:hAnsi="Titillium"/>
          <w:b/>
          <w:noProof/>
          <w:color w:val="67B8E7"/>
          <w:sz w:val="32"/>
          <w:szCs w:val="32"/>
          <w:lang w:val="en-US"/>
        </w:rPr>
      </w:pPr>
      <w:r>
        <w:rPr>
          <w:rFonts w:ascii="Titillium" w:hAnsi="Titillium"/>
          <w:b/>
          <w:noProof/>
          <w:color w:val="67B8E7"/>
          <w:sz w:val="32"/>
          <w:szCs w:val="32"/>
          <w:lang w:val="en-US"/>
        </w:rPr>
        <w:t>Useful links</w:t>
      </w:r>
    </w:p>
    <w:p w14:paraId="020367E1" w14:textId="77777777" w:rsidR="00BB38E6" w:rsidRPr="00EF218F" w:rsidRDefault="00BB38E6" w:rsidP="00BB38E6">
      <w:pPr>
        <w:rPr>
          <w:rFonts w:ascii="Titillium" w:hAnsi="Titillium"/>
          <w:b/>
          <w:noProof/>
          <w:color w:val="579FBB"/>
          <w:szCs w:val="22"/>
          <w:lang w:val="en-US"/>
        </w:rPr>
      </w:pPr>
    </w:p>
    <w:p w14:paraId="570AE628" w14:textId="0D6EC449" w:rsidR="0020784A" w:rsidRPr="00E23202" w:rsidRDefault="00547EF2" w:rsidP="0020784A">
      <w:pPr>
        <w:numPr>
          <w:ilvl w:val="0"/>
          <w:numId w:val="10"/>
        </w:numPr>
        <w:ind w:left="426" w:hanging="426"/>
        <w:contextualSpacing/>
        <w:jc w:val="both"/>
        <w:rPr>
          <w:rFonts w:ascii="Titillium" w:hAnsi="Titillium"/>
          <w:color w:val="859EA4"/>
          <w:sz w:val="22"/>
          <w:szCs w:val="22"/>
        </w:rPr>
      </w:pPr>
      <w:hyperlink r:id="rId9" w:history="1">
        <w:r w:rsidR="00B84513" w:rsidRPr="00547EF2">
          <w:rPr>
            <w:rStyle w:val="Hyperlink"/>
            <w:rFonts w:ascii="Titillium" w:hAnsi="Titillium"/>
            <w:sz w:val="22"/>
            <w:szCs w:val="22"/>
          </w:rPr>
          <w:t>Casual Appointment Form</w:t>
        </w:r>
      </w:hyperlink>
    </w:p>
    <w:p w14:paraId="6DF4E549" w14:textId="614D061B" w:rsidR="0020784A" w:rsidRPr="00E23202" w:rsidRDefault="00285140" w:rsidP="0020784A">
      <w:pPr>
        <w:numPr>
          <w:ilvl w:val="0"/>
          <w:numId w:val="10"/>
        </w:numPr>
        <w:ind w:left="426" w:hanging="426"/>
        <w:contextualSpacing/>
        <w:jc w:val="both"/>
        <w:rPr>
          <w:rFonts w:ascii="Titillium" w:hAnsi="Titillium"/>
          <w:color w:val="859EA4"/>
          <w:sz w:val="22"/>
          <w:szCs w:val="22"/>
        </w:rPr>
      </w:pPr>
      <w:hyperlink r:id="rId10" w:history="1">
        <w:r w:rsidR="00B84513" w:rsidRPr="00285140">
          <w:rPr>
            <w:rStyle w:val="Hyperlink"/>
            <w:rFonts w:ascii="Titillium" w:hAnsi="Titillium"/>
            <w:sz w:val="22"/>
            <w:szCs w:val="22"/>
          </w:rPr>
          <w:t>Casual Workers Hourly Paid Claim form</w:t>
        </w:r>
      </w:hyperlink>
    </w:p>
    <w:p w14:paraId="0D28BEED" w14:textId="0D81943F" w:rsidR="0020784A" w:rsidRPr="00E23202" w:rsidRDefault="00285140" w:rsidP="0020784A">
      <w:pPr>
        <w:numPr>
          <w:ilvl w:val="0"/>
          <w:numId w:val="10"/>
        </w:numPr>
        <w:ind w:left="426" w:hanging="426"/>
        <w:contextualSpacing/>
        <w:jc w:val="both"/>
        <w:rPr>
          <w:rFonts w:ascii="Titillium" w:hAnsi="Titillium"/>
          <w:color w:val="859EA4"/>
          <w:sz w:val="22"/>
          <w:szCs w:val="22"/>
        </w:rPr>
      </w:pPr>
      <w:hyperlink r:id="rId11" w:history="1">
        <w:r w:rsidR="00B84513" w:rsidRPr="00285140">
          <w:rPr>
            <w:rStyle w:val="Hyperlink"/>
            <w:rFonts w:ascii="Titillium" w:hAnsi="Titillium"/>
            <w:sz w:val="22"/>
            <w:szCs w:val="22"/>
          </w:rPr>
          <w:t>One off payment claim form</w:t>
        </w:r>
      </w:hyperlink>
    </w:p>
    <w:p w14:paraId="121031F7" w14:textId="31660835" w:rsidR="0020784A" w:rsidRPr="00E23202" w:rsidRDefault="00285140" w:rsidP="0020784A">
      <w:pPr>
        <w:numPr>
          <w:ilvl w:val="0"/>
          <w:numId w:val="10"/>
        </w:numPr>
        <w:ind w:left="426" w:hanging="426"/>
        <w:contextualSpacing/>
        <w:jc w:val="both"/>
        <w:rPr>
          <w:rFonts w:ascii="Titillium" w:hAnsi="Titillium"/>
          <w:color w:val="859EA4"/>
          <w:sz w:val="22"/>
          <w:szCs w:val="22"/>
        </w:rPr>
      </w:pPr>
      <w:hyperlink r:id="rId12" w:history="1">
        <w:r w:rsidR="00B84513" w:rsidRPr="00285140">
          <w:rPr>
            <w:rStyle w:val="Hyperlink"/>
            <w:rFonts w:ascii="Titillium" w:hAnsi="Titillium"/>
            <w:sz w:val="22"/>
            <w:szCs w:val="22"/>
          </w:rPr>
          <w:t>Casual Leavers Form</w:t>
        </w:r>
      </w:hyperlink>
    </w:p>
    <w:p w14:paraId="5F114017" w14:textId="04FFDA80" w:rsidR="00BB38E6" w:rsidRPr="004B46A6" w:rsidRDefault="00EF218F" w:rsidP="00BB38E6">
      <w:pPr>
        <w:shd w:val="clear" w:color="auto" w:fill="FFFFFF"/>
        <w:spacing w:before="100" w:beforeAutospacing="1" w:after="180"/>
        <w:jc w:val="both"/>
        <w:rPr>
          <w:rFonts w:ascii="Titillium" w:hAnsi="Titillium"/>
          <w:b/>
          <w:color w:val="67B8E7"/>
          <w:sz w:val="32"/>
          <w:szCs w:val="32"/>
          <w:lang w:eastAsia="en-GB"/>
        </w:rPr>
      </w:pPr>
      <w:r>
        <w:rPr>
          <w:rFonts w:ascii="Titillium" w:hAnsi="Titillium"/>
          <w:b/>
          <w:color w:val="67B8E7"/>
          <w:sz w:val="32"/>
          <w:szCs w:val="32"/>
          <w:lang w:eastAsia="en-GB"/>
        </w:rPr>
        <w:t>Docu</w:t>
      </w:r>
      <w:r w:rsidR="00BB38E6" w:rsidRPr="004B46A6">
        <w:rPr>
          <w:rFonts w:ascii="Titillium" w:hAnsi="Titillium"/>
          <w:b/>
          <w:color w:val="67B8E7"/>
          <w:sz w:val="32"/>
          <w:szCs w:val="32"/>
          <w:lang w:eastAsia="en-GB"/>
        </w:rPr>
        <w:t>ment Control</w:t>
      </w:r>
    </w:p>
    <w:tbl>
      <w:tblPr>
        <w:tblStyle w:val="TableGrid21"/>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BB38E6" w:rsidRPr="00BB38E6" w14:paraId="6346A7C3" w14:textId="77777777" w:rsidTr="00243E32">
        <w:trPr>
          <w:trHeight w:val="80"/>
        </w:trPr>
        <w:tc>
          <w:tcPr>
            <w:tcW w:w="2268" w:type="dxa"/>
          </w:tcPr>
          <w:p w14:paraId="33D4A8BE"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Author</w:t>
            </w:r>
          </w:p>
          <w:p w14:paraId="2551227A"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Last Review Date</w:t>
            </w:r>
          </w:p>
          <w:p w14:paraId="34A465D5" w14:textId="77777777" w:rsidR="00BB38E6" w:rsidRPr="00BB38E6" w:rsidRDefault="00BB38E6" w:rsidP="00BB38E6">
            <w:pPr>
              <w:rPr>
                <w:rFonts w:ascii="Titillium" w:hAnsi="Titillium"/>
                <w:sz w:val="22"/>
                <w:szCs w:val="22"/>
                <w:lang w:eastAsia="en-GB"/>
              </w:rPr>
            </w:pPr>
            <w:r w:rsidRPr="00BB38E6">
              <w:rPr>
                <w:rFonts w:ascii="Titillium" w:hAnsi="Titillium"/>
                <w:sz w:val="22"/>
                <w:szCs w:val="22"/>
                <w:lang w:eastAsia="en-GB"/>
              </w:rPr>
              <w:t>Review Frequency</w:t>
            </w:r>
          </w:p>
        </w:tc>
        <w:tc>
          <w:tcPr>
            <w:tcW w:w="7366" w:type="dxa"/>
          </w:tcPr>
          <w:p w14:paraId="21E3777E" w14:textId="77777777" w:rsidR="00BB38E6" w:rsidRPr="00BB38E6" w:rsidRDefault="00BB38E6" w:rsidP="00BB38E6">
            <w:pPr>
              <w:jc w:val="both"/>
              <w:rPr>
                <w:rFonts w:ascii="Titillium" w:hAnsi="Titillium"/>
                <w:noProof/>
                <w:sz w:val="22"/>
                <w:szCs w:val="22"/>
                <w:lang w:val="en-US"/>
              </w:rPr>
            </w:pPr>
            <w:r w:rsidRPr="00BB38E6">
              <w:rPr>
                <w:rFonts w:ascii="Titillium" w:hAnsi="Titillium"/>
                <w:noProof/>
                <w:sz w:val="22"/>
                <w:szCs w:val="22"/>
                <w:lang w:val="en-US"/>
              </w:rPr>
              <w:t xml:space="preserve">Human Resources </w:t>
            </w:r>
          </w:p>
          <w:p w14:paraId="7E28BEFB" w14:textId="063E22B2" w:rsidR="00BB38E6" w:rsidRPr="00BB38E6" w:rsidRDefault="000217E7" w:rsidP="00BB38E6">
            <w:pPr>
              <w:jc w:val="both"/>
              <w:rPr>
                <w:rFonts w:ascii="Titillium" w:hAnsi="Titillium"/>
                <w:noProof/>
                <w:sz w:val="22"/>
                <w:szCs w:val="22"/>
                <w:lang w:val="en-US"/>
              </w:rPr>
            </w:pPr>
            <w:r>
              <w:rPr>
                <w:rFonts w:ascii="Titillium" w:hAnsi="Titillium"/>
                <w:noProof/>
                <w:sz w:val="22"/>
                <w:szCs w:val="22"/>
                <w:lang w:val="en-US"/>
              </w:rPr>
              <w:t>11 March 2021</w:t>
            </w:r>
          </w:p>
          <w:p w14:paraId="7C339E23" w14:textId="77777777" w:rsidR="00BB38E6" w:rsidRPr="00BB38E6" w:rsidRDefault="00BB38E6" w:rsidP="00BB38E6">
            <w:pPr>
              <w:jc w:val="both"/>
              <w:rPr>
                <w:rFonts w:ascii="Titillium" w:hAnsi="Titillium"/>
                <w:noProof/>
                <w:sz w:val="22"/>
                <w:szCs w:val="22"/>
                <w:lang w:val="en-US"/>
              </w:rPr>
            </w:pPr>
            <w:r w:rsidRPr="00BB38E6">
              <w:rPr>
                <w:rFonts w:ascii="Titillium" w:hAnsi="Titillium"/>
                <w:noProof/>
                <w:sz w:val="22"/>
                <w:szCs w:val="22"/>
                <w:lang w:val="en-US"/>
              </w:rPr>
              <w:t>2 years</w:t>
            </w:r>
            <w:bookmarkStart w:id="0" w:name="_GoBack"/>
            <w:bookmarkEnd w:id="0"/>
          </w:p>
        </w:tc>
      </w:tr>
    </w:tbl>
    <w:p w14:paraId="76D2805F" w14:textId="1863CB9F" w:rsidR="00286DAF" w:rsidRDefault="00286DAF" w:rsidP="00BB38E6">
      <w:pPr>
        <w:shd w:val="clear" w:color="auto" w:fill="FFFFFF"/>
        <w:spacing w:before="100" w:beforeAutospacing="1" w:after="180"/>
        <w:jc w:val="both"/>
        <w:rPr>
          <w:rFonts w:ascii="Titillium" w:hAnsi="Titillium"/>
          <w:b/>
          <w:color w:val="579FBB"/>
          <w:sz w:val="32"/>
          <w:szCs w:val="32"/>
          <w:lang w:eastAsia="en-GB"/>
        </w:rPr>
      </w:pPr>
    </w:p>
    <w:sectPr w:rsidR="00286DAF" w:rsidSect="00E23202">
      <w:headerReference w:type="even" r:id="rId13"/>
      <w:headerReference w:type="default" r:id="rId14"/>
      <w:footerReference w:type="even" r:id="rId15"/>
      <w:footerReference w:type="default" r:id="rId16"/>
      <w:headerReference w:type="first" r:id="rId17"/>
      <w:footerReference w:type="first" r:id="rId18"/>
      <w:type w:val="continuous"/>
      <w:pgSz w:w="11900" w:h="16820"/>
      <w:pgMar w:top="1985" w:right="1134" w:bottom="1701" w:left="1134" w:header="1247" w:footer="624"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7127" w14:textId="77777777" w:rsidR="009F344F" w:rsidRDefault="009F344F" w:rsidP="00EC31D5">
      <w:r>
        <w:separator/>
      </w:r>
    </w:p>
  </w:endnote>
  <w:endnote w:type="continuationSeparator" w:id="0">
    <w:p w14:paraId="3451A59C" w14:textId="77777777" w:rsidR="009F344F" w:rsidRDefault="009F344F"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Helvetica 45 Light"/>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Titillium"/>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6395625"/>
      <w:docPartObj>
        <w:docPartGallery w:val="Page Numbers (Bottom of Page)"/>
        <w:docPartUnique/>
      </w:docPartObj>
    </w:sdtPr>
    <w:sdtEndPr>
      <w:rPr>
        <w:rStyle w:val="PageNumber"/>
      </w:rPr>
    </w:sdtEndPr>
    <w:sdtContent>
      <w:p w14:paraId="3509FDE5" w14:textId="3F1FD786" w:rsidR="009F344F" w:rsidRDefault="009F344F" w:rsidP="00493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1B462" w14:textId="77777777" w:rsidR="009F344F" w:rsidRDefault="009F344F"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06998160" w14:textId="5C411B7B" w:rsidR="009F344F" w:rsidRPr="00064BDC" w:rsidRDefault="00135449" w:rsidP="00064BDC">
        <w:pPr>
          <w:pStyle w:val="Footer"/>
          <w:framePr w:wrap="none" w:vAnchor="text" w:hAnchor="page" w:x="10647" w:y="7"/>
          <w:rPr>
            <w:rStyle w:val="PageNumber"/>
            <w:rFonts w:ascii="Titillium" w:hAnsi="Titillium"/>
            <w:color w:val="859EA4"/>
            <w:sz w:val="21"/>
            <w:szCs w:val="21"/>
          </w:rPr>
        </w:pPr>
        <w:r>
          <w:rPr>
            <w:rStyle w:val="PageNumber"/>
            <w:color w:val="859EA4"/>
          </w:rPr>
          <w:t>2</w:t>
        </w:r>
      </w:p>
    </w:sdtContent>
  </w:sdt>
  <w:p w14:paraId="675A0BA1" w14:textId="378BE70D" w:rsidR="00436204" w:rsidRPr="00BB6D1F" w:rsidRDefault="009F344F" w:rsidP="00436204">
    <w:pPr>
      <w:rPr>
        <w:sz w:val="20"/>
        <w:szCs w:val="20"/>
      </w:rPr>
    </w:pPr>
    <w:r>
      <w:rPr>
        <w:rFonts w:ascii="Titillium" w:hAnsi="Titillium"/>
        <w:caps/>
        <w:noProof/>
        <w:sz w:val="22"/>
        <w:szCs w:val="22"/>
        <w:lang w:eastAsia="en-GB"/>
      </w:rPr>
      <mc:AlternateContent>
        <mc:Choice Requires="wps">
          <w:drawing>
            <wp:anchor distT="0" distB="0" distL="114300" distR="114300" simplePos="0" relativeHeight="251664384" behindDoc="0" locked="0" layoutInCell="1" allowOverlap="1" wp14:anchorId="5B12F710" wp14:editId="1E893F4B">
              <wp:simplePos x="0" y="0"/>
              <wp:positionH relativeFrom="column">
                <wp:posOffset>-339725</wp:posOffset>
              </wp:positionH>
              <wp:positionV relativeFrom="paragraph">
                <wp:posOffset>-45199</wp:posOffset>
              </wp:positionV>
              <wp:extent cx="2958957"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58957" cy="349321"/>
                      </a:xfrm>
                      <a:prstGeom prst="rect">
                        <a:avLst/>
                      </a:prstGeom>
                      <a:noFill/>
                      <a:ln w="6350">
                        <a:noFill/>
                      </a:ln>
                    </wps:spPr>
                    <wps:txbx>
                      <w:txbxContent>
                        <w:p w14:paraId="38012CDF" w14:textId="627B9556" w:rsidR="009F344F" w:rsidRPr="00064BDC" w:rsidRDefault="009F344F" w:rsidP="00064BDC">
                          <w:pPr>
                            <w:rPr>
                              <w:rFonts w:ascii="Titillium" w:hAnsi="Titillium"/>
                              <w:b/>
                              <w:bCs/>
                              <w:i/>
                              <w:iCs/>
                              <w:color w:val="859EA4"/>
                              <w:sz w:val="21"/>
                              <w:szCs w:val="21"/>
                            </w:rPr>
                          </w:pPr>
                          <w:r>
                            <w:rPr>
                              <w:rFonts w:ascii="Titillium" w:hAnsi="Titillium"/>
                              <w:b/>
                              <w:bCs/>
                              <w:i/>
                              <w:iCs/>
                              <w:color w:val="859EA4"/>
                              <w:sz w:val="21"/>
                              <w:szCs w:val="21"/>
                            </w:rPr>
                            <w:t>Casual Staff Guidance</w:t>
                          </w:r>
                          <w:r w:rsidR="00436204">
                            <w:rPr>
                              <w:rFonts w:ascii="Titillium" w:hAnsi="Titillium"/>
                              <w:b/>
                              <w:bCs/>
                              <w:i/>
                              <w:iCs/>
                              <w:color w:val="859EA4"/>
                              <w:sz w:val="21"/>
                              <w:szCs w:val="21"/>
                            </w:rPr>
                            <w:tab/>
                          </w:r>
                          <w:r w:rsidR="00436204">
                            <w:rPr>
                              <w:rFonts w:ascii="Titillium" w:hAnsi="Titillium"/>
                              <w:b/>
                              <w:bCs/>
                              <w:i/>
                              <w:iCs/>
                              <w:color w:val="859EA4"/>
                              <w:sz w:val="21"/>
                              <w:szCs w:val="21"/>
                            </w:rPr>
                            <w:tab/>
                          </w:r>
                          <w:r w:rsidR="00436204">
                            <w:rPr>
                              <w:rFonts w:ascii="Titillium" w:hAnsi="Titillium"/>
                              <w:b/>
                              <w:bCs/>
                              <w:i/>
                              <w:iCs/>
                              <w:color w:val="859EA4"/>
                              <w:sz w:val="21"/>
                              <w:szCs w:val="21"/>
                            </w:rPr>
                            <w:tab/>
                          </w:r>
                          <w:r w:rsidR="00436204">
                            <w:rPr>
                              <w:rFonts w:ascii="Titillium" w:hAnsi="Titillium"/>
                              <w:b/>
                              <w:bCs/>
                              <w:i/>
                              <w:iCs/>
                              <w:color w:val="859EA4"/>
                              <w:sz w:val="21"/>
                              <w:szCs w:val="21"/>
                            </w:rPr>
                            <w:tab/>
                          </w:r>
                          <w:r w:rsidR="00436204">
                            <w:rPr>
                              <w:rFonts w:ascii="Titillium" w:hAnsi="Titillium"/>
                              <w:b/>
                              <w:bCs/>
                              <w:i/>
                              <w:iCs/>
                              <w:color w:val="859EA4"/>
                              <w:sz w:val="21"/>
                              <w:szCs w:val="21"/>
                            </w:rPr>
                            <w:tab/>
                          </w:r>
                        </w:p>
                        <w:p w14:paraId="131E7096" w14:textId="77777777" w:rsidR="009F344F" w:rsidRPr="00064BDC" w:rsidRDefault="009F344F">
                          <w:pPr>
                            <w:rPr>
                              <w:color w:val="859E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margin-left:-26.75pt;margin-top:-3.55pt;width:233pt;height: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" filled="f" stroked="f" strokeweight=".5pt">
              <v:textbox>
                <w:txbxContent>
                  <w:p w14:paraId="38012CDF" w14:textId="627B9556" w:rsidR="009F344F" w:rsidRPr="00064BDC" w:rsidRDefault="009F344F" w:rsidP="00064BDC">
                    <w:pPr>
                      <w:rPr>
                        <w:rFonts w:ascii="Titillium" w:hAnsi="Titillium"/>
                        <w:b/>
                        <w:bCs/>
                        <w:i/>
                        <w:iCs/>
                        <w:color w:val="859EA4"/>
                        <w:sz w:val="21"/>
                        <w:szCs w:val="21"/>
                      </w:rPr>
                    </w:pPr>
                    <w:r>
                      <w:rPr>
                        <w:rFonts w:ascii="Titillium" w:hAnsi="Titillium"/>
                        <w:b/>
                        <w:bCs/>
                        <w:i/>
                        <w:iCs/>
                        <w:color w:val="859EA4"/>
                        <w:sz w:val="21"/>
                        <w:szCs w:val="21"/>
                      </w:rPr>
                      <w:t>Casual Staff Guidance</w:t>
                    </w:r>
                    <w:r w:rsidR="00436204">
                      <w:rPr>
                        <w:rFonts w:ascii="Titillium" w:hAnsi="Titillium"/>
                        <w:b/>
                        <w:bCs/>
                        <w:i/>
                        <w:iCs/>
                        <w:color w:val="859EA4"/>
                        <w:sz w:val="21"/>
                        <w:szCs w:val="21"/>
                      </w:rPr>
                      <w:tab/>
                    </w:r>
                    <w:r w:rsidR="00436204">
                      <w:rPr>
                        <w:rFonts w:ascii="Titillium" w:hAnsi="Titillium"/>
                        <w:b/>
                        <w:bCs/>
                        <w:i/>
                        <w:iCs/>
                        <w:color w:val="859EA4"/>
                        <w:sz w:val="21"/>
                        <w:szCs w:val="21"/>
                      </w:rPr>
                      <w:tab/>
                    </w:r>
                    <w:r w:rsidR="00436204">
                      <w:rPr>
                        <w:rFonts w:ascii="Titillium" w:hAnsi="Titillium"/>
                        <w:b/>
                        <w:bCs/>
                        <w:i/>
                        <w:iCs/>
                        <w:color w:val="859EA4"/>
                        <w:sz w:val="21"/>
                        <w:szCs w:val="21"/>
                      </w:rPr>
                      <w:tab/>
                    </w:r>
                    <w:r w:rsidR="00436204">
                      <w:rPr>
                        <w:rFonts w:ascii="Titillium" w:hAnsi="Titillium"/>
                        <w:b/>
                        <w:bCs/>
                        <w:i/>
                        <w:iCs/>
                        <w:color w:val="859EA4"/>
                        <w:sz w:val="21"/>
                        <w:szCs w:val="21"/>
                      </w:rPr>
                      <w:tab/>
                    </w:r>
                    <w:r w:rsidR="00436204">
                      <w:rPr>
                        <w:rFonts w:ascii="Titillium" w:hAnsi="Titillium"/>
                        <w:b/>
                        <w:bCs/>
                        <w:i/>
                        <w:iCs/>
                        <w:color w:val="859EA4"/>
                        <w:sz w:val="21"/>
                        <w:szCs w:val="21"/>
                      </w:rPr>
                      <w:tab/>
                    </w:r>
                  </w:p>
                  <w:p w14:paraId="131E7096" w14:textId="77777777" w:rsidR="009F344F" w:rsidRPr="00064BDC" w:rsidRDefault="009F344F">
                    <w:pPr>
                      <w:rPr>
                        <w:color w:val="859EA4"/>
                      </w:rPr>
                    </w:pPr>
                  </w:p>
                </w:txbxContent>
              </v:textbox>
            </v:shape>
          </w:pict>
        </mc:Fallback>
      </mc:AlternateContent>
    </w:r>
    <w:r w:rsidR="00436204">
      <w:rPr>
        <w:rFonts w:ascii="Titillium" w:hAnsi="Titillium"/>
        <w:caps/>
        <w:noProof/>
        <w:sz w:val="22"/>
        <w:szCs w:val="22"/>
      </w:rPr>
      <w:tab/>
    </w:r>
    <w:r w:rsidR="00436204">
      <w:rPr>
        <w:rFonts w:ascii="Titillium" w:hAnsi="Titillium"/>
        <w:caps/>
        <w:noProof/>
        <w:sz w:val="22"/>
        <w:szCs w:val="22"/>
      </w:rPr>
      <w:tab/>
    </w:r>
    <w:r w:rsidR="00436204">
      <w:rPr>
        <w:rFonts w:ascii="Titillium" w:hAnsi="Titillium"/>
        <w:caps/>
        <w:noProof/>
        <w:sz w:val="22"/>
        <w:szCs w:val="22"/>
      </w:rPr>
      <w:tab/>
    </w:r>
    <w:r w:rsidR="00436204">
      <w:rPr>
        <w:rFonts w:ascii="Titillium" w:hAnsi="Titillium"/>
        <w:caps/>
        <w:noProof/>
        <w:sz w:val="22"/>
        <w:szCs w:val="22"/>
      </w:rPr>
      <w:tab/>
    </w:r>
    <w:r w:rsidR="00436204">
      <w:rPr>
        <w:sz w:val="20"/>
        <w:szCs w:val="20"/>
      </w:rPr>
      <w:tab/>
    </w:r>
    <w:r w:rsidR="00436204">
      <w:rPr>
        <w:sz w:val="20"/>
        <w:szCs w:val="20"/>
      </w:rPr>
      <w:tab/>
    </w:r>
    <w:r w:rsidR="00436204">
      <w:rPr>
        <w:sz w:val="20"/>
        <w:szCs w:val="20"/>
      </w:rPr>
      <w:tab/>
    </w:r>
    <w:r w:rsidR="00436204">
      <w:rPr>
        <w:sz w:val="20"/>
        <w:szCs w:val="20"/>
      </w:rPr>
      <w:tab/>
    </w:r>
    <w:r w:rsidR="00436204">
      <w:rPr>
        <w:sz w:val="20"/>
        <w:szCs w:val="20"/>
      </w:rPr>
      <w:tab/>
    </w:r>
  </w:p>
  <w:p w14:paraId="102BF2DC" w14:textId="5C83731D" w:rsidR="009F344F" w:rsidRPr="00582850" w:rsidRDefault="009F344F" w:rsidP="00064BDC">
    <w:pPr>
      <w:pStyle w:val="Footer"/>
      <w:ind w:right="360"/>
      <w:jc w:val="center"/>
      <w:rPr>
        <w:rFonts w:ascii="Titillium" w:hAnsi="Titillium"/>
        <w:caps/>
        <w:noProof/>
        <w:sz w:val="22"/>
        <w:szCs w:val="22"/>
      </w:rPr>
    </w:pPr>
  </w:p>
  <w:p w14:paraId="2F969384" w14:textId="77777777" w:rsidR="009F344F" w:rsidRDefault="009F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9133" w14:textId="00D997F9" w:rsidR="00436204" w:rsidRPr="00436204" w:rsidRDefault="00436204" w:rsidP="00436204">
    <w:pPr>
      <w:rPr>
        <w:rFonts w:ascii="Titillium" w:hAnsi="Titillium"/>
        <w:sz w:val="20"/>
        <w:szCs w:val="20"/>
      </w:rPr>
    </w:pPr>
    <w:r w:rsidRPr="00436204">
      <w:rPr>
        <w:rFonts w:ascii="Titillium" w:hAnsi="Titillium"/>
      </w:rPr>
      <w:tab/>
    </w:r>
    <w:r w:rsidRPr="00436204">
      <w:rPr>
        <w:rFonts w:ascii="Titillium" w:hAnsi="Titillium"/>
      </w:rPr>
      <w:tab/>
    </w:r>
    <w:r w:rsidRPr="00436204">
      <w:rPr>
        <w:rFonts w:ascii="Titillium" w:hAnsi="Titillium"/>
      </w:rPr>
      <w:tab/>
    </w:r>
    <w:r w:rsidRPr="00436204">
      <w:rPr>
        <w:rFonts w:ascii="Titillium" w:hAnsi="Titillium"/>
      </w:rPr>
      <w:tab/>
    </w:r>
    <w:r w:rsidRPr="00436204">
      <w:rPr>
        <w:rFonts w:ascii="Titillium" w:hAnsi="Titillium"/>
      </w:rPr>
      <w:tab/>
    </w:r>
    <w:r w:rsidRPr="00436204">
      <w:rPr>
        <w:rFonts w:ascii="Titillium" w:hAnsi="Titillium"/>
      </w:rPr>
      <w:tab/>
    </w:r>
    <w:r w:rsidRPr="00436204">
      <w:rPr>
        <w:rFonts w:ascii="Titillium" w:hAnsi="Titillium"/>
      </w:rPr>
      <w:tab/>
    </w:r>
    <w:r w:rsidRPr="00436204">
      <w:rPr>
        <w:rFonts w:ascii="Titillium" w:hAnsi="Titillium"/>
      </w:rPr>
      <w:tab/>
    </w:r>
    <w:r w:rsidRPr="00436204">
      <w:rPr>
        <w:rFonts w:ascii="Titillium" w:hAnsi="Titillium"/>
        <w:sz w:val="20"/>
        <w:szCs w:val="20"/>
      </w:rPr>
      <w:t>* Except External Examiners &amp; Invigilators</w:t>
    </w:r>
  </w:p>
  <w:sdt>
    <w:sdtPr>
      <w:rPr>
        <w:rStyle w:val="PageNumber"/>
        <w:color w:val="859EA4"/>
      </w:rPr>
      <w:id w:val="-1838212162"/>
      <w:docPartObj>
        <w:docPartGallery w:val="Page Numbers (Bottom of Page)"/>
        <w:docPartUnique/>
      </w:docPartObj>
    </w:sdtPr>
    <w:sdtEndPr>
      <w:rPr>
        <w:rStyle w:val="PageNumber"/>
        <w:rFonts w:ascii="Titillium" w:hAnsi="Titillium"/>
        <w:sz w:val="21"/>
        <w:szCs w:val="21"/>
      </w:rPr>
    </w:sdtEndPr>
    <w:sdtContent>
      <w:p w14:paraId="4F1F2032" w14:textId="5FDA825E" w:rsidR="00135449" w:rsidRPr="00064BDC" w:rsidRDefault="00135449" w:rsidP="00135449">
        <w:pPr>
          <w:pStyle w:val="Footer"/>
          <w:framePr w:wrap="none" w:vAnchor="text" w:hAnchor="page" w:x="10647" w:y="1"/>
          <w:rPr>
            <w:rStyle w:val="PageNumber"/>
            <w:rFonts w:ascii="Titillium" w:hAnsi="Titillium"/>
            <w:color w:val="859EA4"/>
            <w:sz w:val="21"/>
            <w:szCs w:val="21"/>
          </w:rPr>
        </w:pPr>
        <w:r>
          <w:rPr>
            <w:rStyle w:val="PageNumber"/>
            <w:color w:val="859EA4"/>
          </w:rPr>
          <w:t>1</w:t>
        </w:r>
      </w:p>
    </w:sdtContent>
  </w:sdt>
  <w:p w14:paraId="00BC0C9C" w14:textId="7822F441" w:rsidR="00436204" w:rsidRDefault="00135449" w:rsidP="00135449">
    <w:pPr>
      <w:pStyle w:val="Footer"/>
    </w:pPr>
    <w:r>
      <w:rPr>
        <w:rFonts w:ascii="Titillium" w:hAnsi="Titillium"/>
        <w:b/>
        <w:bCs/>
        <w:i/>
        <w:iCs/>
        <w:color w:val="859EA4"/>
        <w:sz w:val="21"/>
        <w:szCs w:val="21"/>
      </w:rPr>
      <w:t xml:space="preserve"> </w:t>
    </w:r>
    <w:r w:rsidR="00436204">
      <w:rPr>
        <w:rFonts w:ascii="Titillium" w:hAnsi="Titillium"/>
        <w:b/>
        <w:bCs/>
        <w:i/>
        <w:iCs/>
        <w:color w:val="859EA4"/>
        <w:sz w:val="21"/>
        <w:szCs w:val="21"/>
      </w:rPr>
      <w:t>Casual Staff Guidance</w:t>
    </w:r>
    <w:r>
      <w:rPr>
        <w:rFonts w:ascii="Titillium" w:hAnsi="Titillium"/>
        <w:b/>
        <w:bCs/>
        <w:i/>
        <w:iCs/>
        <w:color w:val="859EA4"/>
        <w:sz w:val="21"/>
        <w:szCs w:val="21"/>
      </w:rPr>
      <w:tab/>
    </w:r>
    <w:r>
      <w:rPr>
        <w:rFonts w:ascii="Titillium" w:hAnsi="Titillium"/>
        <w:b/>
        <w:bCs/>
        <w:i/>
        <w:iCs/>
        <w:color w:val="859EA4"/>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9ACFC" w14:textId="77777777" w:rsidR="009F344F" w:rsidRDefault="009F344F" w:rsidP="00EC31D5">
      <w:r>
        <w:separator/>
      </w:r>
    </w:p>
  </w:footnote>
  <w:footnote w:type="continuationSeparator" w:id="0">
    <w:p w14:paraId="2343B95E" w14:textId="77777777" w:rsidR="009F344F" w:rsidRDefault="009F344F"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6B1" w14:textId="77777777" w:rsidR="009F344F" w:rsidRDefault="000217E7">
    <w:pPr>
      <w:pStyle w:val="Header"/>
    </w:pPr>
    <w:sdt>
      <w:sdtPr>
        <w:id w:val="196288142"/>
        <w:placeholder>
          <w:docPart w:val="3F2B03ACD5DCCB409DA6B025703A710A"/>
        </w:placeholder>
        <w:temporary/>
        <w:showingPlcHdr/>
      </w:sdtPr>
      <w:sdtEndPr/>
      <w:sdtContent>
        <w:r w:rsidR="009F344F">
          <w:t>[Type text]</w:t>
        </w:r>
      </w:sdtContent>
    </w:sdt>
    <w:r w:rsidR="009F344F">
      <w:ptab w:relativeTo="margin" w:alignment="center" w:leader="none"/>
    </w:r>
    <w:sdt>
      <w:sdtPr>
        <w:id w:val="1926532305"/>
        <w:placeholder>
          <w:docPart w:val="CFACCB42C3B3404CAA11B9BB648C050E"/>
        </w:placeholder>
        <w:temporary/>
        <w:showingPlcHdr/>
      </w:sdtPr>
      <w:sdtEndPr/>
      <w:sdtContent>
        <w:r w:rsidR="009F344F">
          <w:t>[Type text]</w:t>
        </w:r>
      </w:sdtContent>
    </w:sdt>
    <w:r w:rsidR="009F344F">
      <w:ptab w:relativeTo="margin" w:alignment="right" w:leader="none"/>
    </w:r>
    <w:sdt>
      <w:sdtPr>
        <w:id w:val="-1643106329"/>
        <w:placeholder>
          <w:docPart w:val="EAB493A49408F545AC98EEFF5D8D7889"/>
        </w:placeholder>
        <w:temporary/>
        <w:showingPlcHdr/>
      </w:sdtPr>
      <w:sdtEndPr/>
      <w:sdtContent>
        <w:r w:rsidR="009F344F">
          <w:t>[Type text]</w:t>
        </w:r>
      </w:sdtContent>
    </w:sdt>
  </w:p>
  <w:p w14:paraId="3C7F53CD" w14:textId="77777777" w:rsidR="009F344F" w:rsidRDefault="009F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A18" w14:textId="1FE53BF7" w:rsidR="009F344F" w:rsidRPr="00640328" w:rsidRDefault="009F344F"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63360" behindDoc="1" locked="0" layoutInCell="1" allowOverlap="1" wp14:anchorId="5FE62397" wp14:editId="2016B119">
          <wp:simplePos x="0" y="0"/>
          <wp:positionH relativeFrom="column">
            <wp:posOffset>-720091</wp:posOffset>
          </wp:positionH>
          <wp:positionV relativeFrom="paragraph">
            <wp:posOffset>-781571</wp:posOffset>
          </wp:positionV>
          <wp:extent cx="7564539" cy="750014"/>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9F344F" w:rsidRDefault="009F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E8CF" w14:textId="1D8E0173" w:rsidR="009F344F" w:rsidRDefault="009F344F" w:rsidP="00D85313">
    <w:pPr>
      <w:pStyle w:val="Header"/>
      <w:jc w:val="right"/>
    </w:pPr>
    <w:r>
      <w:rPr>
        <w:noProof/>
        <w:lang w:eastAsia="en-GB"/>
      </w:rPr>
      <w:drawing>
        <wp:anchor distT="0" distB="0" distL="114300" distR="114300" simplePos="0" relativeHeight="251666432" behindDoc="1" locked="0" layoutInCell="1" allowOverlap="1" wp14:anchorId="6BDA67F9" wp14:editId="34D3BB70">
          <wp:simplePos x="0" y="0"/>
          <wp:positionH relativeFrom="column">
            <wp:posOffset>-707653</wp:posOffset>
          </wp:positionH>
          <wp:positionV relativeFrom="paragraph">
            <wp:posOffset>-848995</wp:posOffset>
          </wp:positionV>
          <wp:extent cx="7576574" cy="1171254"/>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19A7B975" wp14:editId="39CA7474">
              <wp:simplePos x="0" y="0"/>
              <wp:positionH relativeFrom="column">
                <wp:posOffset>40990</wp:posOffset>
              </wp:positionH>
              <wp:positionV relativeFrom="paragraph">
                <wp:posOffset>-20320</wp:posOffset>
              </wp:positionV>
              <wp:extent cx="3205480" cy="4006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5480" cy="400685"/>
                      </a:xfrm>
                      <a:prstGeom prst="rect">
                        <a:avLst/>
                      </a:prstGeom>
                      <a:noFill/>
                      <a:ln w="6350">
                        <a:noFill/>
                      </a:ln>
                    </wps:spPr>
                    <wps:txbx>
                      <w:txbxContent>
                        <w:p w14:paraId="447728FC" w14:textId="2E940564" w:rsidR="009F344F" w:rsidRPr="008746FB" w:rsidRDefault="009F344F">
                          <w:pPr>
                            <w:rPr>
                              <w:rFonts w:ascii="Titillium" w:hAnsi="Titillium"/>
                              <w:b/>
                              <w:bCs/>
                              <w:sz w:val="32"/>
                              <w:szCs w:val="32"/>
                            </w:rPr>
                          </w:pPr>
                          <w:r>
                            <w:rPr>
                              <w:rFonts w:ascii="Titillium" w:hAnsi="Titillium"/>
                              <w:b/>
                              <w:bCs/>
                              <w:sz w:val="32"/>
                              <w:szCs w:val="32"/>
                            </w:rPr>
                            <w:t>Casual Staff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7B975" id="_x0000_t202" coordsize="21600,21600" o:spt="202" path="m,l,21600r21600,l21600,xe">
              <v:stroke joinstyle="miter"/>
              <v:path gradientshapeok="t" o:connecttype="rect"/>
            </v:shapetype>
            <v:shape id="Text Box 12" o:spid="_x0000_s1027" type="#_x0000_t202" style="position:absolute;left:0;text-align:left;margin-left:3.25pt;margin-top:-1.6pt;width:252.4pt;height:3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" filled="f" stroked="f" strokeweight=".5pt">
              <v:textbox>
                <w:txbxContent>
                  <w:p w14:paraId="447728FC" w14:textId="2E940564" w:rsidR="009F344F" w:rsidRPr="008746FB" w:rsidRDefault="009F344F">
                    <w:pPr>
                      <w:rPr>
                        <w:rFonts w:ascii="Titillium" w:hAnsi="Titillium"/>
                        <w:b/>
                        <w:bCs/>
                        <w:sz w:val="32"/>
                        <w:szCs w:val="32"/>
                      </w:rPr>
                    </w:pPr>
                    <w:r>
                      <w:rPr>
                        <w:rFonts w:ascii="Titillium" w:hAnsi="Titillium"/>
                        <w:b/>
                        <w:bCs/>
                        <w:sz w:val="32"/>
                        <w:szCs w:val="32"/>
                      </w:rPr>
                      <w:t>Casual Staff Guidance</w:t>
                    </w:r>
                  </w:p>
                </w:txbxContent>
              </v:textbox>
            </v:shape>
          </w:pict>
        </mc:Fallback>
      </mc:AlternateContent>
    </w:r>
    <w:r>
      <w:rPr>
        <w:noProof/>
        <w:lang w:eastAsia="en-GB"/>
      </w:rPr>
      <w:drawing>
        <wp:anchor distT="0" distB="0" distL="114300" distR="114300" simplePos="0" relativeHeight="251661312" behindDoc="1" locked="0" layoutInCell="1" allowOverlap="1" wp14:anchorId="74088608" wp14:editId="6D420571">
          <wp:simplePos x="0" y="0"/>
          <wp:positionH relativeFrom="column">
            <wp:posOffset>-709295</wp:posOffset>
          </wp:positionH>
          <wp:positionV relativeFrom="paragraph">
            <wp:posOffset>-811516</wp:posOffset>
          </wp:positionV>
          <wp:extent cx="7576574" cy="1171254"/>
          <wp:effectExtent l="0" t="0" r="0"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99.8pt;height:499.8pt" o:bullet="t">
        <v:imagedata r:id="rId1" o:title="Tick-01"/>
      </v:shape>
    </w:pict>
  </w:numPicBullet>
  <w:abstractNum w:abstractNumId="0"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743F8"/>
    <w:multiLevelType w:val="hybridMultilevel"/>
    <w:tmpl w:val="94109C7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C39BD"/>
    <w:multiLevelType w:val="hybridMultilevel"/>
    <w:tmpl w:val="EFFC24B6"/>
    <w:lvl w:ilvl="0" w:tplc="3740214E">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 w15:restartNumberingAfterBreak="0">
    <w:nsid w:val="257710BF"/>
    <w:multiLevelType w:val="hybridMultilevel"/>
    <w:tmpl w:val="59D4A5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705A9"/>
    <w:multiLevelType w:val="hybridMultilevel"/>
    <w:tmpl w:val="F03A659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72CA4"/>
    <w:multiLevelType w:val="hybridMultilevel"/>
    <w:tmpl w:val="A3C2CB5A"/>
    <w:lvl w:ilvl="0" w:tplc="C76ABA8A">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D375EC8"/>
    <w:multiLevelType w:val="hybridMultilevel"/>
    <w:tmpl w:val="C5109BC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A0C41"/>
    <w:multiLevelType w:val="hybridMultilevel"/>
    <w:tmpl w:val="7EFE6DCC"/>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12937"/>
    <w:multiLevelType w:val="hybridMultilevel"/>
    <w:tmpl w:val="D7E4D09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14371"/>
    <w:multiLevelType w:val="hybridMultilevel"/>
    <w:tmpl w:val="2F38D6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F3FF8"/>
    <w:multiLevelType w:val="hybridMultilevel"/>
    <w:tmpl w:val="E75A1430"/>
    <w:lvl w:ilvl="0" w:tplc="F9469C12">
      <w:start w:val="1"/>
      <w:numFmt w:val="bullet"/>
      <w:lvlText w:val=""/>
      <w:lvlPicBulletId w:val="0"/>
      <w:lvlJc w:val="left"/>
      <w:pPr>
        <w:ind w:left="754"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4B76B3A"/>
    <w:multiLevelType w:val="hybridMultilevel"/>
    <w:tmpl w:val="A706022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30C35"/>
    <w:multiLevelType w:val="hybridMultilevel"/>
    <w:tmpl w:val="E3944E90"/>
    <w:lvl w:ilvl="0" w:tplc="31363C20">
      <w:start w:val="1"/>
      <w:numFmt w:val="bullet"/>
      <w:lvlText w:val=""/>
      <w:lvlPicBulletId w:val="0"/>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3"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65345"/>
    <w:multiLevelType w:val="hybridMultilevel"/>
    <w:tmpl w:val="AEC42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43F10"/>
    <w:multiLevelType w:val="hybridMultilevel"/>
    <w:tmpl w:val="F678DD6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511BA"/>
    <w:multiLevelType w:val="hybridMultilevel"/>
    <w:tmpl w:val="0F2EAB8E"/>
    <w:lvl w:ilvl="0" w:tplc="05E0BF66">
      <w:start w:val="1"/>
      <w:numFmt w:val="decimal"/>
      <w:lvlText w:val="%1."/>
      <w:lvlJc w:val="left"/>
      <w:pPr>
        <w:ind w:left="360"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F2837"/>
    <w:multiLevelType w:val="hybridMultilevel"/>
    <w:tmpl w:val="D6A2AEB8"/>
    <w:lvl w:ilvl="0" w:tplc="74067E1E">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14872"/>
    <w:multiLevelType w:val="hybridMultilevel"/>
    <w:tmpl w:val="1116E2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A001E"/>
    <w:multiLevelType w:val="hybridMultilevel"/>
    <w:tmpl w:val="1FC41DD6"/>
    <w:lvl w:ilvl="0" w:tplc="1AE41346">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7503485A"/>
    <w:multiLevelType w:val="hybridMultilevel"/>
    <w:tmpl w:val="D0A0151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C4344"/>
    <w:multiLevelType w:val="hybridMultilevel"/>
    <w:tmpl w:val="A50EB22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D694E"/>
    <w:multiLevelType w:val="hybridMultilevel"/>
    <w:tmpl w:val="378077E6"/>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15:restartNumberingAfterBreak="0">
    <w:nsid w:val="78C3233A"/>
    <w:multiLevelType w:val="hybridMultilevel"/>
    <w:tmpl w:val="38EAD2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F1663"/>
    <w:multiLevelType w:val="hybridMultilevel"/>
    <w:tmpl w:val="1CE49B4C"/>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A4160C"/>
    <w:multiLevelType w:val="multilevel"/>
    <w:tmpl w:val="FB9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22"/>
  </w:num>
  <w:num w:numId="4">
    <w:abstractNumId w:val="19"/>
  </w:num>
  <w:num w:numId="5">
    <w:abstractNumId w:val="5"/>
  </w:num>
  <w:num w:numId="6">
    <w:abstractNumId w:val="7"/>
  </w:num>
  <w:num w:numId="7">
    <w:abstractNumId w:val="13"/>
  </w:num>
  <w:num w:numId="8">
    <w:abstractNumId w:val="3"/>
  </w:num>
  <w:num w:numId="9">
    <w:abstractNumId w:val="12"/>
  </w:num>
  <w:num w:numId="10">
    <w:abstractNumId w:val="23"/>
  </w:num>
  <w:num w:numId="11">
    <w:abstractNumId w:val="4"/>
  </w:num>
  <w:num w:numId="12">
    <w:abstractNumId w:val="20"/>
  </w:num>
  <w:num w:numId="13">
    <w:abstractNumId w:val="8"/>
  </w:num>
  <w:num w:numId="14">
    <w:abstractNumId w:val="21"/>
  </w:num>
  <w:num w:numId="15">
    <w:abstractNumId w:val="15"/>
  </w:num>
  <w:num w:numId="16">
    <w:abstractNumId w:val="24"/>
  </w:num>
  <w:num w:numId="17">
    <w:abstractNumId w:val="9"/>
  </w:num>
  <w:num w:numId="18">
    <w:abstractNumId w:val="14"/>
  </w:num>
  <w:num w:numId="19">
    <w:abstractNumId w:val="10"/>
  </w:num>
  <w:num w:numId="20">
    <w:abstractNumId w:val="11"/>
  </w:num>
  <w:num w:numId="21">
    <w:abstractNumId w:val="1"/>
  </w:num>
  <w:num w:numId="22">
    <w:abstractNumId w:val="6"/>
  </w:num>
  <w:num w:numId="23">
    <w:abstractNumId w:val="17"/>
  </w:num>
  <w:num w:numId="24">
    <w:abstractNumId w:val="2"/>
  </w:num>
  <w:num w:numId="25">
    <w:abstractNumId w:val="16"/>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10A5E"/>
    <w:rsid w:val="00010F51"/>
    <w:rsid w:val="0001129F"/>
    <w:rsid w:val="00013CFA"/>
    <w:rsid w:val="000179AA"/>
    <w:rsid w:val="000217E7"/>
    <w:rsid w:val="00022079"/>
    <w:rsid w:val="00023556"/>
    <w:rsid w:val="00023576"/>
    <w:rsid w:val="00025E53"/>
    <w:rsid w:val="00031846"/>
    <w:rsid w:val="000334FC"/>
    <w:rsid w:val="00035FDD"/>
    <w:rsid w:val="000373F2"/>
    <w:rsid w:val="00043EE5"/>
    <w:rsid w:val="000516ED"/>
    <w:rsid w:val="00052B79"/>
    <w:rsid w:val="000537B2"/>
    <w:rsid w:val="00054539"/>
    <w:rsid w:val="00056176"/>
    <w:rsid w:val="000631B9"/>
    <w:rsid w:val="00064BDC"/>
    <w:rsid w:val="00070C7B"/>
    <w:rsid w:val="000713AF"/>
    <w:rsid w:val="000750D6"/>
    <w:rsid w:val="00076EC9"/>
    <w:rsid w:val="0008233E"/>
    <w:rsid w:val="000842DB"/>
    <w:rsid w:val="00087160"/>
    <w:rsid w:val="00092208"/>
    <w:rsid w:val="00094039"/>
    <w:rsid w:val="000954D5"/>
    <w:rsid w:val="000A1C41"/>
    <w:rsid w:val="000A3BB2"/>
    <w:rsid w:val="000A450B"/>
    <w:rsid w:val="000A57FF"/>
    <w:rsid w:val="000B5BCA"/>
    <w:rsid w:val="000B772A"/>
    <w:rsid w:val="000C2F9A"/>
    <w:rsid w:val="000C498A"/>
    <w:rsid w:val="000C77FB"/>
    <w:rsid w:val="000D57D9"/>
    <w:rsid w:val="000E5CF6"/>
    <w:rsid w:val="000E749D"/>
    <w:rsid w:val="000F1498"/>
    <w:rsid w:val="000F1C67"/>
    <w:rsid w:val="000F229B"/>
    <w:rsid w:val="000F3816"/>
    <w:rsid w:val="000F42C5"/>
    <w:rsid w:val="000F7788"/>
    <w:rsid w:val="001001E1"/>
    <w:rsid w:val="00102C79"/>
    <w:rsid w:val="00104F20"/>
    <w:rsid w:val="00120ABF"/>
    <w:rsid w:val="00122D9B"/>
    <w:rsid w:val="00126623"/>
    <w:rsid w:val="0013285A"/>
    <w:rsid w:val="00135449"/>
    <w:rsid w:val="001363D5"/>
    <w:rsid w:val="00141BDE"/>
    <w:rsid w:val="00142D3D"/>
    <w:rsid w:val="00154F14"/>
    <w:rsid w:val="001719E9"/>
    <w:rsid w:val="00171C80"/>
    <w:rsid w:val="001724F5"/>
    <w:rsid w:val="001733B7"/>
    <w:rsid w:val="0017403E"/>
    <w:rsid w:val="0017528E"/>
    <w:rsid w:val="00187F4F"/>
    <w:rsid w:val="00192969"/>
    <w:rsid w:val="00194518"/>
    <w:rsid w:val="0019676B"/>
    <w:rsid w:val="001A072E"/>
    <w:rsid w:val="001A4E44"/>
    <w:rsid w:val="001B18FC"/>
    <w:rsid w:val="001B1CB0"/>
    <w:rsid w:val="001B489D"/>
    <w:rsid w:val="001B6BA7"/>
    <w:rsid w:val="001C0DF2"/>
    <w:rsid w:val="001C27D2"/>
    <w:rsid w:val="001C5088"/>
    <w:rsid w:val="001C7FF6"/>
    <w:rsid w:val="001D12B5"/>
    <w:rsid w:val="001D3727"/>
    <w:rsid w:val="001D4224"/>
    <w:rsid w:val="001D59ED"/>
    <w:rsid w:val="001E0D8F"/>
    <w:rsid w:val="001E1204"/>
    <w:rsid w:val="001E4C37"/>
    <w:rsid w:val="001F3710"/>
    <w:rsid w:val="002061F2"/>
    <w:rsid w:val="0020658E"/>
    <w:rsid w:val="0020784A"/>
    <w:rsid w:val="00207E21"/>
    <w:rsid w:val="00210BEA"/>
    <w:rsid w:val="00213EAC"/>
    <w:rsid w:val="0021440B"/>
    <w:rsid w:val="00216A4C"/>
    <w:rsid w:val="002200B6"/>
    <w:rsid w:val="0022284C"/>
    <w:rsid w:val="00225396"/>
    <w:rsid w:val="00226C3A"/>
    <w:rsid w:val="002340E7"/>
    <w:rsid w:val="00234D0E"/>
    <w:rsid w:val="00236BC8"/>
    <w:rsid w:val="002377CB"/>
    <w:rsid w:val="00243C37"/>
    <w:rsid w:val="00243E32"/>
    <w:rsid w:val="002450AF"/>
    <w:rsid w:val="00245748"/>
    <w:rsid w:val="002529E3"/>
    <w:rsid w:val="00260A7A"/>
    <w:rsid w:val="00261662"/>
    <w:rsid w:val="00261732"/>
    <w:rsid w:val="00264777"/>
    <w:rsid w:val="002766E9"/>
    <w:rsid w:val="0028149A"/>
    <w:rsid w:val="00282416"/>
    <w:rsid w:val="00285140"/>
    <w:rsid w:val="0028639B"/>
    <w:rsid w:val="00286DAF"/>
    <w:rsid w:val="00290859"/>
    <w:rsid w:val="0029159D"/>
    <w:rsid w:val="00291F58"/>
    <w:rsid w:val="0029255E"/>
    <w:rsid w:val="002A18C6"/>
    <w:rsid w:val="002A2102"/>
    <w:rsid w:val="002A369C"/>
    <w:rsid w:val="002B3956"/>
    <w:rsid w:val="002C0436"/>
    <w:rsid w:val="002C0D92"/>
    <w:rsid w:val="002C7B1D"/>
    <w:rsid w:val="002D19E3"/>
    <w:rsid w:val="002E0639"/>
    <w:rsid w:val="002E1BE3"/>
    <w:rsid w:val="002E21BD"/>
    <w:rsid w:val="002E6E3D"/>
    <w:rsid w:val="002F5A43"/>
    <w:rsid w:val="002F6B3F"/>
    <w:rsid w:val="0030138F"/>
    <w:rsid w:val="003045E6"/>
    <w:rsid w:val="00306518"/>
    <w:rsid w:val="0031060B"/>
    <w:rsid w:val="00317BE5"/>
    <w:rsid w:val="00320496"/>
    <w:rsid w:val="003238E4"/>
    <w:rsid w:val="00330D46"/>
    <w:rsid w:val="0033779E"/>
    <w:rsid w:val="003407C1"/>
    <w:rsid w:val="00344C85"/>
    <w:rsid w:val="00346724"/>
    <w:rsid w:val="00350E46"/>
    <w:rsid w:val="00351611"/>
    <w:rsid w:val="00353ADB"/>
    <w:rsid w:val="00356728"/>
    <w:rsid w:val="003606E9"/>
    <w:rsid w:val="00372519"/>
    <w:rsid w:val="00374325"/>
    <w:rsid w:val="00381161"/>
    <w:rsid w:val="00381CDB"/>
    <w:rsid w:val="0039045B"/>
    <w:rsid w:val="00395C0B"/>
    <w:rsid w:val="00396A78"/>
    <w:rsid w:val="003B2C11"/>
    <w:rsid w:val="003B31AD"/>
    <w:rsid w:val="003B6C5C"/>
    <w:rsid w:val="003C33B2"/>
    <w:rsid w:val="003C33CE"/>
    <w:rsid w:val="003C5A33"/>
    <w:rsid w:val="003C654F"/>
    <w:rsid w:val="003D52A1"/>
    <w:rsid w:val="003E2237"/>
    <w:rsid w:val="003E2271"/>
    <w:rsid w:val="003E2C2B"/>
    <w:rsid w:val="003E6C33"/>
    <w:rsid w:val="003E765A"/>
    <w:rsid w:val="003F20ED"/>
    <w:rsid w:val="003F46AD"/>
    <w:rsid w:val="003F5799"/>
    <w:rsid w:val="0040343E"/>
    <w:rsid w:val="00405FBE"/>
    <w:rsid w:val="00414C26"/>
    <w:rsid w:val="004153AB"/>
    <w:rsid w:val="00416845"/>
    <w:rsid w:val="00417A66"/>
    <w:rsid w:val="00423E5E"/>
    <w:rsid w:val="00426161"/>
    <w:rsid w:val="0043209D"/>
    <w:rsid w:val="00436204"/>
    <w:rsid w:val="004364BF"/>
    <w:rsid w:val="004404E9"/>
    <w:rsid w:val="00443148"/>
    <w:rsid w:val="004505BE"/>
    <w:rsid w:val="00451894"/>
    <w:rsid w:val="0045403F"/>
    <w:rsid w:val="00455789"/>
    <w:rsid w:val="004606A8"/>
    <w:rsid w:val="00461073"/>
    <w:rsid w:val="0046232C"/>
    <w:rsid w:val="0047431A"/>
    <w:rsid w:val="004748E9"/>
    <w:rsid w:val="00480977"/>
    <w:rsid w:val="004810AB"/>
    <w:rsid w:val="00481D4E"/>
    <w:rsid w:val="004850B6"/>
    <w:rsid w:val="004920F4"/>
    <w:rsid w:val="00493F41"/>
    <w:rsid w:val="00497E8C"/>
    <w:rsid w:val="004A4C3D"/>
    <w:rsid w:val="004A5566"/>
    <w:rsid w:val="004A6E49"/>
    <w:rsid w:val="004B37B2"/>
    <w:rsid w:val="004B45EB"/>
    <w:rsid w:val="004B46A6"/>
    <w:rsid w:val="004B5C3F"/>
    <w:rsid w:val="004B6014"/>
    <w:rsid w:val="004B6CAC"/>
    <w:rsid w:val="004B6E84"/>
    <w:rsid w:val="004C27A8"/>
    <w:rsid w:val="004C7172"/>
    <w:rsid w:val="004D0F18"/>
    <w:rsid w:val="004D1B58"/>
    <w:rsid w:val="004D2E49"/>
    <w:rsid w:val="004D3679"/>
    <w:rsid w:val="004D443E"/>
    <w:rsid w:val="004D48C2"/>
    <w:rsid w:val="004D6611"/>
    <w:rsid w:val="004D77AA"/>
    <w:rsid w:val="004E10E6"/>
    <w:rsid w:val="004E140E"/>
    <w:rsid w:val="004E303E"/>
    <w:rsid w:val="004F2E9B"/>
    <w:rsid w:val="004F3AD4"/>
    <w:rsid w:val="004F3AF2"/>
    <w:rsid w:val="004F774B"/>
    <w:rsid w:val="005005C6"/>
    <w:rsid w:val="0050101B"/>
    <w:rsid w:val="0050569E"/>
    <w:rsid w:val="00506224"/>
    <w:rsid w:val="00506A88"/>
    <w:rsid w:val="0051093E"/>
    <w:rsid w:val="005137AB"/>
    <w:rsid w:val="0052078B"/>
    <w:rsid w:val="00534A63"/>
    <w:rsid w:val="005362D5"/>
    <w:rsid w:val="00540228"/>
    <w:rsid w:val="00540320"/>
    <w:rsid w:val="00540B65"/>
    <w:rsid w:val="00543470"/>
    <w:rsid w:val="005452D9"/>
    <w:rsid w:val="0054764A"/>
    <w:rsid w:val="00547EF2"/>
    <w:rsid w:val="00552E16"/>
    <w:rsid w:val="00562956"/>
    <w:rsid w:val="00564ACC"/>
    <w:rsid w:val="00564D9C"/>
    <w:rsid w:val="005704D1"/>
    <w:rsid w:val="00576291"/>
    <w:rsid w:val="00580AB0"/>
    <w:rsid w:val="00582850"/>
    <w:rsid w:val="00584078"/>
    <w:rsid w:val="00584D7A"/>
    <w:rsid w:val="00590452"/>
    <w:rsid w:val="005939B1"/>
    <w:rsid w:val="0059633B"/>
    <w:rsid w:val="005A0F47"/>
    <w:rsid w:val="005A466D"/>
    <w:rsid w:val="005B0472"/>
    <w:rsid w:val="005B525C"/>
    <w:rsid w:val="005D0021"/>
    <w:rsid w:val="005D14A3"/>
    <w:rsid w:val="005D2474"/>
    <w:rsid w:val="005D6210"/>
    <w:rsid w:val="005D6F3B"/>
    <w:rsid w:val="005E3A95"/>
    <w:rsid w:val="005E4E40"/>
    <w:rsid w:val="005F3561"/>
    <w:rsid w:val="005F7161"/>
    <w:rsid w:val="00600C15"/>
    <w:rsid w:val="00602903"/>
    <w:rsid w:val="00605443"/>
    <w:rsid w:val="006059C2"/>
    <w:rsid w:val="006121E8"/>
    <w:rsid w:val="006142C7"/>
    <w:rsid w:val="00615A32"/>
    <w:rsid w:val="006223A7"/>
    <w:rsid w:val="00625483"/>
    <w:rsid w:val="006256F7"/>
    <w:rsid w:val="00626308"/>
    <w:rsid w:val="0062663A"/>
    <w:rsid w:val="0063269C"/>
    <w:rsid w:val="00636F47"/>
    <w:rsid w:val="00640328"/>
    <w:rsid w:val="00640B6D"/>
    <w:rsid w:val="006418EB"/>
    <w:rsid w:val="00643736"/>
    <w:rsid w:val="00654607"/>
    <w:rsid w:val="00655832"/>
    <w:rsid w:val="0066188E"/>
    <w:rsid w:val="0066463B"/>
    <w:rsid w:val="00665E80"/>
    <w:rsid w:val="006710A2"/>
    <w:rsid w:val="00672C60"/>
    <w:rsid w:val="00676C01"/>
    <w:rsid w:val="00684265"/>
    <w:rsid w:val="00685D2B"/>
    <w:rsid w:val="00690EDD"/>
    <w:rsid w:val="0069485C"/>
    <w:rsid w:val="006972D9"/>
    <w:rsid w:val="006A280F"/>
    <w:rsid w:val="006A2A5E"/>
    <w:rsid w:val="006A391E"/>
    <w:rsid w:val="006A6839"/>
    <w:rsid w:val="006B1D7D"/>
    <w:rsid w:val="006B2DF2"/>
    <w:rsid w:val="006B31D3"/>
    <w:rsid w:val="006B3F7D"/>
    <w:rsid w:val="006B47BE"/>
    <w:rsid w:val="006B6FB5"/>
    <w:rsid w:val="006C0AC2"/>
    <w:rsid w:val="006C5321"/>
    <w:rsid w:val="006C6347"/>
    <w:rsid w:val="006D0A6A"/>
    <w:rsid w:val="006D1883"/>
    <w:rsid w:val="006D2140"/>
    <w:rsid w:val="006D5AD4"/>
    <w:rsid w:val="006E0A38"/>
    <w:rsid w:val="006E1227"/>
    <w:rsid w:val="006E20F5"/>
    <w:rsid w:val="006E7CDA"/>
    <w:rsid w:val="006F402B"/>
    <w:rsid w:val="006F6F84"/>
    <w:rsid w:val="00701F69"/>
    <w:rsid w:val="00710DDD"/>
    <w:rsid w:val="00712395"/>
    <w:rsid w:val="00721283"/>
    <w:rsid w:val="007329D6"/>
    <w:rsid w:val="00736A8A"/>
    <w:rsid w:val="00736E09"/>
    <w:rsid w:val="00751AD8"/>
    <w:rsid w:val="007535D2"/>
    <w:rsid w:val="00755AF1"/>
    <w:rsid w:val="00760C30"/>
    <w:rsid w:val="00767018"/>
    <w:rsid w:val="00767559"/>
    <w:rsid w:val="0077695F"/>
    <w:rsid w:val="00783D56"/>
    <w:rsid w:val="007840AF"/>
    <w:rsid w:val="00786BBB"/>
    <w:rsid w:val="00787800"/>
    <w:rsid w:val="0079014A"/>
    <w:rsid w:val="00790B9D"/>
    <w:rsid w:val="00793CA9"/>
    <w:rsid w:val="007B72F3"/>
    <w:rsid w:val="007C07CB"/>
    <w:rsid w:val="007C0DF5"/>
    <w:rsid w:val="007C0E8D"/>
    <w:rsid w:val="007C6A58"/>
    <w:rsid w:val="007D11D0"/>
    <w:rsid w:val="007D2455"/>
    <w:rsid w:val="007D36C4"/>
    <w:rsid w:val="007D5AAE"/>
    <w:rsid w:val="007D66F6"/>
    <w:rsid w:val="007D6D7B"/>
    <w:rsid w:val="007E0518"/>
    <w:rsid w:val="007F3765"/>
    <w:rsid w:val="007F3DB7"/>
    <w:rsid w:val="0080567B"/>
    <w:rsid w:val="0081185D"/>
    <w:rsid w:val="008201CF"/>
    <w:rsid w:val="00820872"/>
    <w:rsid w:val="008209E2"/>
    <w:rsid w:val="0082166C"/>
    <w:rsid w:val="00823C28"/>
    <w:rsid w:val="0082522B"/>
    <w:rsid w:val="00825947"/>
    <w:rsid w:val="008271F4"/>
    <w:rsid w:val="008320ED"/>
    <w:rsid w:val="00833861"/>
    <w:rsid w:val="00834FED"/>
    <w:rsid w:val="008351AE"/>
    <w:rsid w:val="00837FE9"/>
    <w:rsid w:val="008416F1"/>
    <w:rsid w:val="0084488E"/>
    <w:rsid w:val="008469CB"/>
    <w:rsid w:val="00854008"/>
    <w:rsid w:val="008560E2"/>
    <w:rsid w:val="008639E7"/>
    <w:rsid w:val="00865141"/>
    <w:rsid w:val="0086709C"/>
    <w:rsid w:val="00870DE5"/>
    <w:rsid w:val="008746FB"/>
    <w:rsid w:val="0087781B"/>
    <w:rsid w:val="008834D9"/>
    <w:rsid w:val="00884924"/>
    <w:rsid w:val="008904B7"/>
    <w:rsid w:val="008915CA"/>
    <w:rsid w:val="0089311B"/>
    <w:rsid w:val="00893414"/>
    <w:rsid w:val="00896882"/>
    <w:rsid w:val="008A2266"/>
    <w:rsid w:val="008B3BBE"/>
    <w:rsid w:val="008C47BF"/>
    <w:rsid w:val="008C622A"/>
    <w:rsid w:val="008C7EF6"/>
    <w:rsid w:val="008D2013"/>
    <w:rsid w:val="008D35F5"/>
    <w:rsid w:val="008D7EBD"/>
    <w:rsid w:val="008E2088"/>
    <w:rsid w:val="008E30CA"/>
    <w:rsid w:val="008E326F"/>
    <w:rsid w:val="008E3B09"/>
    <w:rsid w:val="008E6288"/>
    <w:rsid w:val="008E721E"/>
    <w:rsid w:val="008E78E3"/>
    <w:rsid w:val="008F0BEA"/>
    <w:rsid w:val="008F1B53"/>
    <w:rsid w:val="008F1C74"/>
    <w:rsid w:val="008F5021"/>
    <w:rsid w:val="008F6130"/>
    <w:rsid w:val="00900EBB"/>
    <w:rsid w:val="00902960"/>
    <w:rsid w:val="00905C6E"/>
    <w:rsid w:val="009124CF"/>
    <w:rsid w:val="00914B0C"/>
    <w:rsid w:val="00915D84"/>
    <w:rsid w:val="00916677"/>
    <w:rsid w:val="00930845"/>
    <w:rsid w:val="0093752E"/>
    <w:rsid w:val="00940495"/>
    <w:rsid w:val="00942DC8"/>
    <w:rsid w:val="00943A9B"/>
    <w:rsid w:val="00944F77"/>
    <w:rsid w:val="00945E52"/>
    <w:rsid w:val="00947950"/>
    <w:rsid w:val="0095091A"/>
    <w:rsid w:val="009531C7"/>
    <w:rsid w:val="00954A71"/>
    <w:rsid w:val="0096631E"/>
    <w:rsid w:val="00970CF7"/>
    <w:rsid w:val="00973A58"/>
    <w:rsid w:val="0097570B"/>
    <w:rsid w:val="00976337"/>
    <w:rsid w:val="00976AED"/>
    <w:rsid w:val="0097793D"/>
    <w:rsid w:val="00982404"/>
    <w:rsid w:val="00983469"/>
    <w:rsid w:val="00983FD1"/>
    <w:rsid w:val="009848DE"/>
    <w:rsid w:val="00996352"/>
    <w:rsid w:val="009967DA"/>
    <w:rsid w:val="009969AF"/>
    <w:rsid w:val="009A067B"/>
    <w:rsid w:val="009A7DEC"/>
    <w:rsid w:val="009B514E"/>
    <w:rsid w:val="009C1D21"/>
    <w:rsid w:val="009C6EA4"/>
    <w:rsid w:val="009D3BE0"/>
    <w:rsid w:val="009D48E2"/>
    <w:rsid w:val="009E07B2"/>
    <w:rsid w:val="009E223F"/>
    <w:rsid w:val="009E28F1"/>
    <w:rsid w:val="009E427B"/>
    <w:rsid w:val="009F344F"/>
    <w:rsid w:val="009F5480"/>
    <w:rsid w:val="009F5625"/>
    <w:rsid w:val="00A05209"/>
    <w:rsid w:val="00A0673E"/>
    <w:rsid w:val="00A1524B"/>
    <w:rsid w:val="00A204ED"/>
    <w:rsid w:val="00A316FC"/>
    <w:rsid w:val="00A37912"/>
    <w:rsid w:val="00A37C79"/>
    <w:rsid w:val="00A551CD"/>
    <w:rsid w:val="00A66003"/>
    <w:rsid w:val="00A718AD"/>
    <w:rsid w:val="00A71BA5"/>
    <w:rsid w:val="00A76705"/>
    <w:rsid w:val="00A76E0D"/>
    <w:rsid w:val="00A816A8"/>
    <w:rsid w:val="00A81DBC"/>
    <w:rsid w:val="00A82E7D"/>
    <w:rsid w:val="00A83657"/>
    <w:rsid w:val="00A87867"/>
    <w:rsid w:val="00A94480"/>
    <w:rsid w:val="00AA0606"/>
    <w:rsid w:val="00AA1A78"/>
    <w:rsid w:val="00AA24AC"/>
    <w:rsid w:val="00AA556D"/>
    <w:rsid w:val="00AB6B74"/>
    <w:rsid w:val="00AC223A"/>
    <w:rsid w:val="00AC3016"/>
    <w:rsid w:val="00AC664C"/>
    <w:rsid w:val="00AC6EDE"/>
    <w:rsid w:val="00AE09BD"/>
    <w:rsid w:val="00AE3FDC"/>
    <w:rsid w:val="00AE53BA"/>
    <w:rsid w:val="00AE7D5F"/>
    <w:rsid w:val="00AF0B18"/>
    <w:rsid w:val="00AF2F22"/>
    <w:rsid w:val="00AF7942"/>
    <w:rsid w:val="00B03824"/>
    <w:rsid w:val="00B14695"/>
    <w:rsid w:val="00B153BA"/>
    <w:rsid w:val="00B222EB"/>
    <w:rsid w:val="00B239DF"/>
    <w:rsid w:val="00B25874"/>
    <w:rsid w:val="00B276BC"/>
    <w:rsid w:val="00B30B98"/>
    <w:rsid w:val="00B35B1E"/>
    <w:rsid w:val="00B37196"/>
    <w:rsid w:val="00B417A6"/>
    <w:rsid w:val="00B42963"/>
    <w:rsid w:val="00B4311E"/>
    <w:rsid w:val="00B46F52"/>
    <w:rsid w:val="00B47310"/>
    <w:rsid w:val="00B53721"/>
    <w:rsid w:val="00B623C7"/>
    <w:rsid w:val="00B63693"/>
    <w:rsid w:val="00B70EE8"/>
    <w:rsid w:val="00B7289E"/>
    <w:rsid w:val="00B742C1"/>
    <w:rsid w:val="00B81409"/>
    <w:rsid w:val="00B81636"/>
    <w:rsid w:val="00B82138"/>
    <w:rsid w:val="00B84513"/>
    <w:rsid w:val="00B85B2A"/>
    <w:rsid w:val="00B863AB"/>
    <w:rsid w:val="00B97095"/>
    <w:rsid w:val="00BA390A"/>
    <w:rsid w:val="00BA3A59"/>
    <w:rsid w:val="00BA75BA"/>
    <w:rsid w:val="00BB38E6"/>
    <w:rsid w:val="00BB5CC2"/>
    <w:rsid w:val="00BB7942"/>
    <w:rsid w:val="00BC39A0"/>
    <w:rsid w:val="00BC3F89"/>
    <w:rsid w:val="00BC66D1"/>
    <w:rsid w:val="00BC6B1B"/>
    <w:rsid w:val="00BD00B3"/>
    <w:rsid w:val="00BD1067"/>
    <w:rsid w:val="00BE1596"/>
    <w:rsid w:val="00BE1860"/>
    <w:rsid w:val="00BE2EDC"/>
    <w:rsid w:val="00BE509F"/>
    <w:rsid w:val="00BE7B15"/>
    <w:rsid w:val="00BF1729"/>
    <w:rsid w:val="00BF31C2"/>
    <w:rsid w:val="00BF31F3"/>
    <w:rsid w:val="00BF7F3D"/>
    <w:rsid w:val="00C01BF9"/>
    <w:rsid w:val="00C03622"/>
    <w:rsid w:val="00C05A27"/>
    <w:rsid w:val="00C07021"/>
    <w:rsid w:val="00C0794D"/>
    <w:rsid w:val="00C12C68"/>
    <w:rsid w:val="00C141B8"/>
    <w:rsid w:val="00C147BE"/>
    <w:rsid w:val="00C15344"/>
    <w:rsid w:val="00C306A0"/>
    <w:rsid w:val="00C33390"/>
    <w:rsid w:val="00C41175"/>
    <w:rsid w:val="00C53B0B"/>
    <w:rsid w:val="00C6169E"/>
    <w:rsid w:val="00C64FED"/>
    <w:rsid w:val="00C665D3"/>
    <w:rsid w:val="00C75B55"/>
    <w:rsid w:val="00C83FB9"/>
    <w:rsid w:val="00C862B7"/>
    <w:rsid w:val="00C864A2"/>
    <w:rsid w:val="00C8657E"/>
    <w:rsid w:val="00C877E9"/>
    <w:rsid w:val="00C94449"/>
    <w:rsid w:val="00C94653"/>
    <w:rsid w:val="00C96C62"/>
    <w:rsid w:val="00C9723A"/>
    <w:rsid w:val="00CA41F9"/>
    <w:rsid w:val="00CB4579"/>
    <w:rsid w:val="00CB7F9A"/>
    <w:rsid w:val="00CC0616"/>
    <w:rsid w:val="00CD3BE0"/>
    <w:rsid w:val="00CE099E"/>
    <w:rsid w:val="00CE64C8"/>
    <w:rsid w:val="00CF097D"/>
    <w:rsid w:val="00CF37BA"/>
    <w:rsid w:val="00CF57C8"/>
    <w:rsid w:val="00CF7E1D"/>
    <w:rsid w:val="00D02C2B"/>
    <w:rsid w:val="00D032F7"/>
    <w:rsid w:val="00D0460F"/>
    <w:rsid w:val="00D12245"/>
    <w:rsid w:val="00D12902"/>
    <w:rsid w:val="00D17498"/>
    <w:rsid w:val="00D17D98"/>
    <w:rsid w:val="00D205BE"/>
    <w:rsid w:val="00D2595C"/>
    <w:rsid w:val="00D314D6"/>
    <w:rsid w:val="00D412C2"/>
    <w:rsid w:val="00D46212"/>
    <w:rsid w:val="00D47231"/>
    <w:rsid w:val="00D550B0"/>
    <w:rsid w:val="00D6007E"/>
    <w:rsid w:val="00D605C1"/>
    <w:rsid w:val="00D60F4C"/>
    <w:rsid w:val="00D62EF1"/>
    <w:rsid w:val="00D73412"/>
    <w:rsid w:val="00D751BD"/>
    <w:rsid w:val="00D82B65"/>
    <w:rsid w:val="00D82EC9"/>
    <w:rsid w:val="00D85313"/>
    <w:rsid w:val="00D85E08"/>
    <w:rsid w:val="00D92326"/>
    <w:rsid w:val="00DA13A9"/>
    <w:rsid w:val="00DA1AA5"/>
    <w:rsid w:val="00DA6015"/>
    <w:rsid w:val="00DB73DA"/>
    <w:rsid w:val="00DC1426"/>
    <w:rsid w:val="00DC1A8D"/>
    <w:rsid w:val="00DC28E9"/>
    <w:rsid w:val="00DC39ED"/>
    <w:rsid w:val="00DC6285"/>
    <w:rsid w:val="00DC7ABA"/>
    <w:rsid w:val="00DE0811"/>
    <w:rsid w:val="00DE15DF"/>
    <w:rsid w:val="00DE5277"/>
    <w:rsid w:val="00DE5BFC"/>
    <w:rsid w:val="00E04299"/>
    <w:rsid w:val="00E11661"/>
    <w:rsid w:val="00E13264"/>
    <w:rsid w:val="00E14929"/>
    <w:rsid w:val="00E1720C"/>
    <w:rsid w:val="00E23202"/>
    <w:rsid w:val="00E24581"/>
    <w:rsid w:val="00E251FE"/>
    <w:rsid w:val="00E3427B"/>
    <w:rsid w:val="00E423C6"/>
    <w:rsid w:val="00E47509"/>
    <w:rsid w:val="00E4759E"/>
    <w:rsid w:val="00E52EAC"/>
    <w:rsid w:val="00E551C0"/>
    <w:rsid w:val="00E5632B"/>
    <w:rsid w:val="00E6027F"/>
    <w:rsid w:val="00E61768"/>
    <w:rsid w:val="00E662F3"/>
    <w:rsid w:val="00E74D07"/>
    <w:rsid w:val="00E778DF"/>
    <w:rsid w:val="00E81B27"/>
    <w:rsid w:val="00E84EC6"/>
    <w:rsid w:val="00E8793B"/>
    <w:rsid w:val="00E91279"/>
    <w:rsid w:val="00EA75BA"/>
    <w:rsid w:val="00EB081A"/>
    <w:rsid w:val="00EB6640"/>
    <w:rsid w:val="00EB77A8"/>
    <w:rsid w:val="00EC0583"/>
    <w:rsid w:val="00EC0BE7"/>
    <w:rsid w:val="00EC31D5"/>
    <w:rsid w:val="00EC6246"/>
    <w:rsid w:val="00ED5C89"/>
    <w:rsid w:val="00EE451E"/>
    <w:rsid w:val="00EF0683"/>
    <w:rsid w:val="00EF218F"/>
    <w:rsid w:val="00EF3ACF"/>
    <w:rsid w:val="00EF44C3"/>
    <w:rsid w:val="00EF6AAA"/>
    <w:rsid w:val="00F069F9"/>
    <w:rsid w:val="00F1267F"/>
    <w:rsid w:val="00F23601"/>
    <w:rsid w:val="00F23A11"/>
    <w:rsid w:val="00F30B06"/>
    <w:rsid w:val="00F44CE4"/>
    <w:rsid w:val="00F44E6F"/>
    <w:rsid w:val="00F47ED9"/>
    <w:rsid w:val="00F52332"/>
    <w:rsid w:val="00F606B5"/>
    <w:rsid w:val="00F70483"/>
    <w:rsid w:val="00F73488"/>
    <w:rsid w:val="00F75F0B"/>
    <w:rsid w:val="00F77E4A"/>
    <w:rsid w:val="00F85243"/>
    <w:rsid w:val="00F90018"/>
    <w:rsid w:val="00F917AF"/>
    <w:rsid w:val="00F95CD0"/>
    <w:rsid w:val="00F97972"/>
    <w:rsid w:val="00FA0C38"/>
    <w:rsid w:val="00FA50F6"/>
    <w:rsid w:val="00FB3282"/>
    <w:rsid w:val="00FB373D"/>
    <w:rsid w:val="00FB447F"/>
    <w:rsid w:val="00FB56E2"/>
    <w:rsid w:val="00FB7961"/>
    <w:rsid w:val="00FC160B"/>
    <w:rsid w:val="00FC4BCC"/>
    <w:rsid w:val="00FC7B42"/>
    <w:rsid w:val="00FD30E7"/>
    <w:rsid w:val="00FD34CB"/>
    <w:rsid w:val="00FE0522"/>
    <w:rsid w:val="00FE1837"/>
    <w:rsid w:val="00FF0CEE"/>
    <w:rsid w:val="00FF35D8"/>
    <w:rsid w:val="00FF5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01"/>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semiHidden/>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napier.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ff.napier.ac.uk/services/hr/Documents/HR%20Forms/Casual%20LeaversForm.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napier.ac.uk/services/hr/Documents/Payroll/One%20Off%20Payment%20Claim%20Form.xls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staff.napier.ac.uk/services/hr/Documents/Payroll/Casual%20Hours%20Claim%20Form.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ff.napier.ac.uk/services/hr/Documents/HR%20Forms/Casual%20Appointment%20form%20March%202021%20New%20template.docx"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Helvetica 45 Light"/>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Titillium"/>
    <w:panose1 w:val="00000000000000000000"/>
    <w:charset w:val="4D"/>
    <w:family w:val="auto"/>
    <w:notTrueType/>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751DB"/>
    <w:rsid w:val="00250B62"/>
    <w:rsid w:val="00320E10"/>
    <w:rsid w:val="004A2683"/>
    <w:rsid w:val="004D094E"/>
    <w:rsid w:val="005058D9"/>
    <w:rsid w:val="005C1EB8"/>
    <w:rsid w:val="006703CF"/>
    <w:rsid w:val="00704B33"/>
    <w:rsid w:val="00733210"/>
    <w:rsid w:val="00A42EAC"/>
    <w:rsid w:val="00CA3CCD"/>
    <w:rsid w:val="00E6420B"/>
    <w:rsid w:val="00EA4F15"/>
    <w:rsid w:val="00EE14CD"/>
    <w:rsid w:val="00F30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B381E26-4BAE-4FA3-B2E8-04EF4FC584C1}"/>
</file>

<file path=customXml/itemProps2.xml><?xml version="1.0" encoding="utf-8"?>
<ds:datastoreItem xmlns:ds="http://schemas.openxmlformats.org/officeDocument/2006/customXml" ds:itemID="{3C0B4B6B-3874-4914-9040-1B53BF4A4F3D}"/>
</file>

<file path=customXml/itemProps3.xml><?xml version="1.0" encoding="utf-8"?>
<ds:datastoreItem xmlns:ds="http://schemas.openxmlformats.org/officeDocument/2006/customXml" ds:itemID="{412ABF9B-BECB-4CB2-9376-84C80F5E797C}"/>
</file>

<file path=customXml/itemProps4.xml><?xml version="1.0" encoding="utf-8"?>
<ds:datastoreItem xmlns:ds="http://schemas.openxmlformats.org/officeDocument/2006/customXml" ds:itemID="{D2B7932E-5C47-4E91-95C9-820A128C3064}"/>
</file>

<file path=docProps/app.xml><?xml version="1.0" encoding="utf-8"?>
<Properties xmlns="http://schemas.openxmlformats.org/officeDocument/2006/extended-properties" xmlns:vt="http://schemas.openxmlformats.org/officeDocument/2006/docPropsVTypes">
  <Template>Normal.dotm</Template>
  <TotalTime>154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Caroline</dc:creator>
  <cp:keywords/>
  <dc:description/>
  <cp:lastModifiedBy>Tippen, Anna</cp:lastModifiedBy>
  <cp:revision>15</cp:revision>
  <cp:lastPrinted>2018-07-18T11:19:00Z</cp:lastPrinted>
  <dcterms:created xsi:type="dcterms:W3CDTF">2021-03-11T09:20:00Z</dcterms:created>
  <dcterms:modified xsi:type="dcterms:W3CDTF">2021-03-11T13:02:00Z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