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9CCC9" w14:textId="7E8F94D4" w:rsidR="007D6534" w:rsidRDefault="007D6534"/>
    <w:p w14:paraId="39220247" w14:textId="77777777" w:rsidR="007D6534" w:rsidRDefault="007D6534"/>
    <w:p w14:paraId="3D8A6B8B" w14:textId="77777777" w:rsidR="00614EC0" w:rsidRDefault="00614EC0"/>
    <w:p w14:paraId="773870BF" w14:textId="77777777" w:rsidR="000C7A9C" w:rsidRDefault="000C7A9C" w:rsidP="000C7A9C"/>
    <w:tbl>
      <w:tblPr>
        <w:tblStyle w:val="TableGrid3"/>
        <w:tblpPr w:leftFromText="180" w:rightFromText="180" w:vertAnchor="text" w:horzAnchor="margin" w:tblpY="7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95"/>
      </w:tblGrid>
      <w:tr w:rsidR="000C7A9C" w:rsidRPr="00910461" w14:paraId="5E02881A" w14:textId="77777777" w:rsidTr="008A012B">
        <w:trPr>
          <w:trHeight w:val="3834"/>
        </w:trPr>
        <w:tc>
          <w:tcPr>
            <w:tcW w:w="2127" w:type="dxa"/>
            <w:tcBorders>
              <w:right w:val="single" w:sz="6" w:space="0" w:color="859EA4"/>
            </w:tcBorders>
          </w:tcPr>
          <w:p w14:paraId="4B4A4194" w14:textId="77777777" w:rsidR="000C7A9C" w:rsidRPr="0042637A" w:rsidRDefault="000C7A9C" w:rsidP="008A012B">
            <w:pPr>
              <w:autoSpaceDE w:val="0"/>
              <w:autoSpaceDN w:val="0"/>
              <w:adjustRightInd w:val="0"/>
              <w:rPr>
                <w:rFonts w:ascii="Titillium" w:eastAsiaTheme="minorEastAsia" w:hAnsi="Titillium" w:cs="Titillium-Semibold"/>
                <w:b/>
                <w:color w:val="67B8E7"/>
              </w:rPr>
            </w:pPr>
            <w:r w:rsidRPr="0042637A">
              <w:rPr>
                <w:rFonts w:ascii="Titillium" w:eastAsiaTheme="minorEastAsia" w:hAnsi="Titillium" w:cs="Titillium-Semibold"/>
                <w:b/>
                <w:color w:val="67B8E7"/>
              </w:rPr>
              <w:t>Table of Contents</w:t>
            </w:r>
          </w:p>
          <w:p w14:paraId="7AC29DB5"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17292BE2"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21852BC9"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0CED77B8"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0D167C14"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32A2C184"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28E6ABE9" w14:textId="77777777" w:rsidR="000C7A9C" w:rsidRPr="004401DC" w:rsidRDefault="000C7A9C" w:rsidP="008A012B">
            <w:pPr>
              <w:autoSpaceDE w:val="0"/>
              <w:autoSpaceDN w:val="0"/>
              <w:adjustRightInd w:val="0"/>
              <w:ind w:right="-243"/>
              <w:rPr>
                <w:rFonts w:ascii="Titillium" w:eastAsiaTheme="minorEastAsia" w:hAnsi="Titillium" w:cs="Titillium-Semibold"/>
                <w:b/>
                <w:color w:val="67B8E7"/>
              </w:rPr>
            </w:pPr>
          </w:p>
          <w:p w14:paraId="345DE402"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1100FCD1"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6DEF9A77" w14:textId="77777777" w:rsidR="000C7A9C" w:rsidRPr="004401DC" w:rsidRDefault="000C7A9C" w:rsidP="008A012B">
            <w:pPr>
              <w:autoSpaceDE w:val="0"/>
              <w:autoSpaceDN w:val="0"/>
              <w:adjustRightInd w:val="0"/>
              <w:rPr>
                <w:rFonts w:ascii="Titillium" w:eastAsiaTheme="minorEastAsia" w:hAnsi="Titillium" w:cs="Titillium-Semibold"/>
                <w:color w:val="67B8E7"/>
              </w:rPr>
            </w:pPr>
          </w:p>
        </w:tc>
        <w:tc>
          <w:tcPr>
            <w:tcW w:w="7495" w:type="dxa"/>
            <w:tcBorders>
              <w:left w:val="single" w:sz="6" w:space="0" w:color="859EA4"/>
            </w:tcBorders>
          </w:tcPr>
          <w:p w14:paraId="1C05BE72" w14:textId="3AA9239F" w:rsidR="000C7A9C" w:rsidRPr="00D864CE" w:rsidRDefault="006A5D0E"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A5D0E">
              <w:rPr>
                <w:rFonts w:ascii="Titillium" w:eastAsiaTheme="minorEastAsia" w:hAnsi="Titillium" w:cs="Titillium-Semibold"/>
                <w:sz w:val="22"/>
                <w:szCs w:val="22"/>
              </w:rPr>
              <w:t xml:space="preserve">Policy Statement </w:t>
            </w:r>
            <w:r w:rsidR="000C7A9C"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000C7A9C">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 xml:space="preserve">……. </w:t>
            </w:r>
            <w:r w:rsidR="000C7A9C" w:rsidRPr="00393A77">
              <w:rPr>
                <w:rFonts w:ascii="Titillium" w:eastAsiaTheme="minorEastAsia" w:hAnsi="Titillium" w:cs="Titillium-Semibold"/>
                <w:color w:val="859EA4"/>
                <w:sz w:val="22"/>
                <w:szCs w:val="22"/>
              </w:rPr>
              <w:t>p.0</w:t>
            </w:r>
            <w:r w:rsidR="00190273">
              <w:rPr>
                <w:rFonts w:ascii="Titillium" w:eastAsiaTheme="minorEastAsia" w:hAnsi="Titillium" w:cs="Titillium-Semibold"/>
                <w:color w:val="859EA4"/>
                <w:sz w:val="22"/>
                <w:szCs w:val="22"/>
              </w:rPr>
              <w:t>1</w:t>
            </w:r>
          </w:p>
          <w:p w14:paraId="2367CE98" w14:textId="74C24E5D" w:rsidR="000C7A9C" w:rsidRPr="00A35FD0" w:rsidRDefault="006A5D0E"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color w:val="E36C0A"/>
                <w:sz w:val="22"/>
                <w:szCs w:val="22"/>
              </w:rPr>
            </w:pPr>
            <w:r w:rsidRPr="006A5D0E">
              <w:rPr>
                <w:rFonts w:ascii="Titillium" w:eastAsiaTheme="minorEastAsia" w:hAnsi="Titillium" w:cs="Titillium-Semibold"/>
                <w:sz w:val="22"/>
                <w:szCs w:val="22"/>
              </w:rPr>
              <w:t xml:space="preserve">Who is Covered by This </w:t>
            </w:r>
            <w:proofErr w:type="gramStart"/>
            <w:r w:rsidRPr="006A5D0E">
              <w:rPr>
                <w:rFonts w:ascii="Titillium" w:eastAsiaTheme="minorEastAsia" w:hAnsi="Titillium" w:cs="Titillium-Semibold"/>
                <w:sz w:val="22"/>
                <w:szCs w:val="22"/>
              </w:rPr>
              <w:t xml:space="preserve">Policy </w:t>
            </w:r>
            <w:r>
              <w:rPr>
                <w:rFonts w:ascii="Titillium" w:eastAsiaTheme="minorEastAsia" w:hAnsi="Titillium" w:cs="Titillium-Semibold"/>
                <w:sz w:val="22"/>
                <w:szCs w:val="22"/>
              </w:rPr>
              <w:t>.</w:t>
            </w:r>
            <w:proofErr w:type="gramEnd"/>
            <w:r w:rsidR="000C7A9C" w:rsidRPr="00824118">
              <w:rPr>
                <w:rFonts w:ascii="Titillium" w:eastAsiaTheme="minorEastAsia" w:hAnsi="Titillium" w:cs="Titillium-Semibold"/>
                <w:sz w:val="22"/>
                <w:szCs w:val="22"/>
              </w:rPr>
              <w:t>………………………………</w:t>
            </w:r>
            <w:r w:rsidR="000C7A9C">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w:t>
            </w:r>
            <w:r w:rsidR="000C7A9C">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 xml:space="preserve"> </w:t>
            </w:r>
            <w:r w:rsidR="000C7A9C" w:rsidRPr="00393A77">
              <w:rPr>
                <w:rFonts w:ascii="Titillium" w:eastAsiaTheme="minorEastAsia" w:hAnsi="Titillium" w:cs="Titillium-Semibold"/>
                <w:color w:val="859EA4"/>
                <w:sz w:val="22"/>
                <w:szCs w:val="22"/>
              </w:rPr>
              <w:t>p.0</w:t>
            </w:r>
            <w:r w:rsidR="00190273">
              <w:rPr>
                <w:rFonts w:ascii="Titillium" w:eastAsiaTheme="minorEastAsia" w:hAnsi="Titillium" w:cs="Titillium-Semibold"/>
                <w:color w:val="859EA4"/>
                <w:sz w:val="22"/>
                <w:szCs w:val="22"/>
              </w:rPr>
              <w:t>1</w:t>
            </w:r>
          </w:p>
          <w:p w14:paraId="606D5304" w14:textId="438CC440" w:rsidR="000C7A9C" w:rsidRPr="006A5D0E" w:rsidRDefault="006A5D0E"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A5D0E">
              <w:rPr>
                <w:rFonts w:ascii="Titillium" w:eastAsiaTheme="minorEastAsia" w:hAnsi="Titillium" w:cs="Titillium-Semibold"/>
                <w:sz w:val="22"/>
                <w:szCs w:val="22"/>
              </w:rPr>
              <w:t xml:space="preserve">What is </w:t>
            </w:r>
            <w:proofErr w:type="gramStart"/>
            <w:r w:rsidRPr="006A5D0E">
              <w:rPr>
                <w:rFonts w:ascii="Titillium" w:eastAsiaTheme="minorEastAsia" w:hAnsi="Titillium" w:cs="Titillium-Semibold"/>
                <w:sz w:val="22"/>
                <w:szCs w:val="22"/>
              </w:rPr>
              <w:t>Whistle-Blowing</w:t>
            </w:r>
            <w:proofErr w:type="gramEnd"/>
            <w:r w:rsidRPr="006A5D0E">
              <w:rPr>
                <w:rFonts w:ascii="Titillium" w:eastAsiaTheme="minorEastAsia" w:hAnsi="Titillium" w:cs="Titillium-Semibold"/>
                <w:sz w:val="22"/>
                <w:szCs w:val="22"/>
              </w:rPr>
              <w:t>?</w:t>
            </w:r>
            <w:r w:rsidR="000C7A9C">
              <w:rPr>
                <w:rFonts w:ascii="Titillium" w:eastAsiaTheme="minorEastAsia" w:hAnsi="Titillium" w:cs="Titillium-Semibold"/>
                <w:sz w:val="22"/>
                <w:szCs w:val="22"/>
              </w:rPr>
              <w:t xml:space="preserve"> </w:t>
            </w:r>
            <w:r w:rsidR="000C7A9C"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w:t>
            </w:r>
            <w:r w:rsidR="000C7A9C">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 xml:space="preserve">. </w:t>
            </w:r>
            <w:r w:rsidR="000C7A9C" w:rsidRPr="00393A77">
              <w:rPr>
                <w:rFonts w:ascii="Titillium" w:eastAsiaTheme="minorEastAsia" w:hAnsi="Titillium" w:cs="Titillium-Semibold"/>
                <w:color w:val="859EA4"/>
                <w:sz w:val="22"/>
                <w:szCs w:val="22"/>
              </w:rPr>
              <w:t>p.0</w:t>
            </w:r>
            <w:r w:rsidR="00190273">
              <w:rPr>
                <w:rFonts w:ascii="Titillium" w:eastAsiaTheme="minorEastAsia" w:hAnsi="Titillium" w:cs="Titillium-Semibold"/>
                <w:color w:val="859EA4"/>
                <w:sz w:val="22"/>
                <w:szCs w:val="22"/>
              </w:rPr>
              <w:t>1</w:t>
            </w:r>
          </w:p>
          <w:p w14:paraId="1976B289" w14:textId="5FD706DB" w:rsidR="006A5D0E" w:rsidRPr="006A5D0E" w:rsidRDefault="006A5D0E"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A5D0E">
              <w:rPr>
                <w:rFonts w:ascii="Titillium" w:eastAsiaTheme="minorEastAsia" w:hAnsi="Titillium" w:cs="Titillium-Semibold"/>
                <w:sz w:val="22"/>
                <w:szCs w:val="22"/>
              </w:rPr>
              <w:t>Raising a Whistle-Blowing Concern</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190273">
              <w:rPr>
                <w:rFonts w:ascii="Titillium" w:eastAsiaTheme="minorEastAsia" w:hAnsi="Titillium" w:cs="Titillium-Semibold"/>
                <w:color w:val="859EA4"/>
                <w:sz w:val="22"/>
                <w:szCs w:val="22"/>
              </w:rPr>
              <w:t>3</w:t>
            </w:r>
          </w:p>
          <w:p w14:paraId="739AA0ED" w14:textId="3D8D3640" w:rsidR="006A5D0E" w:rsidRPr="006A5D0E" w:rsidRDefault="006A5D0E"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A5D0E">
              <w:rPr>
                <w:rFonts w:ascii="Titillium" w:eastAsiaTheme="minorEastAsia" w:hAnsi="Titillium" w:cs="Titillium-Semibold"/>
                <w:sz w:val="22"/>
                <w:szCs w:val="22"/>
              </w:rPr>
              <w:t>Confidentiality</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190273">
              <w:rPr>
                <w:rFonts w:ascii="Titillium" w:eastAsiaTheme="minorEastAsia" w:hAnsi="Titillium" w:cs="Titillium-Semibold"/>
                <w:color w:val="859EA4"/>
                <w:sz w:val="22"/>
                <w:szCs w:val="22"/>
              </w:rPr>
              <w:t>3</w:t>
            </w:r>
          </w:p>
          <w:p w14:paraId="6E94FE6E" w14:textId="24BAE28A" w:rsidR="006A5D0E" w:rsidRPr="006A5D0E" w:rsidRDefault="006A5D0E"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A5D0E">
              <w:rPr>
                <w:rFonts w:ascii="Titillium" w:eastAsiaTheme="minorEastAsia" w:hAnsi="Titillium" w:cs="Titillium-Semibold"/>
                <w:sz w:val="22"/>
                <w:szCs w:val="22"/>
              </w:rPr>
              <w:t>External Disclosures</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190273">
              <w:rPr>
                <w:rFonts w:ascii="Titillium" w:eastAsiaTheme="minorEastAsia" w:hAnsi="Titillium" w:cs="Titillium-Semibold"/>
                <w:color w:val="859EA4"/>
                <w:sz w:val="22"/>
                <w:szCs w:val="22"/>
              </w:rPr>
              <w:t>4</w:t>
            </w:r>
          </w:p>
          <w:p w14:paraId="2E30E125" w14:textId="5B6A7CDF" w:rsidR="006A5D0E" w:rsidRPr="00920D72" w:rsidRDefault="006A5D0E"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A5D0E">
              <w:rPr>
                <w:rFonts w:ascii="Titillium" w:eastAsiaTheme="minorEastAsia" w:hAnsi="Titillium" w:cs="Titillium-Semibold"/>
                <w:sz w:val="22"/>
                <w:szCs w:val="22"/>
              </w:rPr>
              <w:t>Investigation and</w:t>
            </w:r>
            <w:r>
              <w:rPr>
                <w:rFonts w:ascii="Titillium" w:eastAsiaTheme="minorEastAsia" w:hAnsi="Titillium" w:cs="Titillium-Semibold"/>
                <w:sz w:val="22"/>
                <w:szCs w:val="22"/>
              </w:rPr>
              <w:t xml:space="preserve"> </w:t>
            </w:r>
            <w:r w:rsidR="00920D72">
              <w:rPr>
                <w:rFonts w:ascii="Titillium" w:eastAsiaTheme="minorEastAsia" w:hAnsi="Titillium" w:cs="Titillium-Semibold"/>
                <w:sz w:val="22"/>
                <w:szCs w:val="22"/>
              </w:rPr>
              <w:t xml:space="preserve">Outcome…………………………………………………………… </w:t>
            </w:r>
            <w:r w:rsidR="00920D72" w:rsidRPr="00393A77">
              <w:rPr>
                <w:rFonts w:ascii="Titillium" w:eastAsiaTheme="minorEastAsia" w:hAnsi="Titillium" w:cs="Titillium-Semibold"/>
                <w:color w:val="859EA4"/>
                <w:sz w:val="22"/>
                <w:szCs w:val="22"/>
              </w:rPr>
              <w:t xml:space="preserve"> p.0</w:t>
            </w:r>
            <w:r w:rsidR="00190273">
              <w:rPr>
                <w:rFonts w:ascii="Titillium" w:eastAsiaTheme="minorEastAsia" w:hAnsi="Titillium" w:cs="Titillium-Semibold"/>
                <w:color w:val="859EA4"/>
                <w:sz w:val="22"/>
                <w:szCs w:val="22"/>
              </w:rPr>
              <w:t>4</w:t>
            </w:r>
          </w:p>
          <w:p w14:paraId="7134F1C1" w14:textId="453ADED4" w:rsidR="00920D72" w:rsidRPr="00A35DEB" w:rsidRDefault="00920D7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920D72">
              <w:rPr>
                <w:rFonts w:ascii="Titillium" w:eastAsiaTheme="minorEastAsia" w:hAnsi="Titillium" w:cs="Titillium-Semibold"/>
                <w:sz w:val="22"/>
                <w:szCs w:val="22"/>
              </w:rPr>
              <w:t>If a Member of Staff is Not Satisfied</w:t>
            </w:r>
            <w:r w:rsidR="00A35DEB">
              <w:rPr>
                <w:rFonts w:ascii="Titillium" w:eastAsiaTheme="minorEastAsia" w:hAnsi="Titillium" w:cs="Titillium-Semibold"/>
                <w:sz w:val="22"/>
                <w:szCs w:val="22"/>
              </w:rPr>
              <w:t>………………………………………</w:t>
            </w:r>
            <w:proofErr w:type="gramStart"/>
            <w:r w:rsidR="00A35DEB">
              <w:rPr>
                <w:rFonts w:ascii="Titillium" w:eastAsiaTheme="minorEastAsia" w:hAnsi="Titillium" w:cs="Titillium-Semibold"/>
                <w:sz w:val="22"/>
                <w:szCs w:val="22"/>
              </w:rPr>
              <w:t>….…..</w:t>
            </w:r>
            <w:proofErr w:type="gramEnd"/>
            <w:r w:rsidR="00A35DEB">
              <w:rPr>
                <w:rFonts w:ascii="Titillium" w:eastAsiaTheme="minorEastAsia" w:hAnsi="Titillium" w:cs="Titillium-Semibold"/>
                <w:sz w:val="22"/>
                <w:szCs w:val="22"/>
              </w:rPr>
              <w:t xml:space="preserve"> </w:t>
            </w:r>
            <w:r w:rsidR="00A35DEB" w:rsidRPr="00393A77">
              <w:rPr>
                <w:rFonts w:ascii="Titillium" w:eastAsiaTheme="minorEastAsia" w:hAnsi="Titillium" w:cs="Titillium-Semibold"/>
                <w:color w:val="859EA4"/>
                <w:sz w:val="22"/>
                <w:szCs w:val="22"/>
              </w:rPr>
              <w:t xml:space="preserve"> p.0</w:t>
            </w:r>
            <w:r w:rsidR="00190273">
              <w:rPr>
                <w:rFonts w:ascii="Titillium" w:eastAsiaTheme="minorEastAsia" w:hAnsi="Titillium" w:cs="Titillium-Semibold"/>
                <w:color w:val="859EA4"/>
                <w:sz w:val="22"/>
                <w:szCs w:val="22"/>
              </w:rPr>
              <w:t>5</w:t>
            </w:r>
          </w:p>
          <w:p w14:paraId="02BF6C45" w14:textId="0B7FA80C" w:rsidR="00A35DEB" w:rsidRPr="00A35DEB" w:rsidRDefault="00A35DEB"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A35DEB">
              <w:rPr>
                <w:rFonts w:ascii="Titillium" w:eastAsiaTheme="minorEastAsia" w:hAnsi="Titillium" w:cs="Titillium-Semibold"/>
                <w:sz w:val="22"/>
                <w:szCs w:val="22"/>
              </w:rPr>
              <w:t>Protection and Support for Whistle-Blowers</w:t>
            </w:r>
            <w:r>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 xml:space="preserve"> p.0</w:t>
            </w:r>
            <w:r w:rsidR="00190273">
              <w:rPr>
                <w:rFonts w:ascii="Titillium" w:eastAsiaTheme="minorEastAsia" w:hAnsi="Titillium" w:cs="Titillium-Semibold"/>
                <w:color w:val="859EA4"/>
                <w:sz w:val="22"/>
                <w:szCs w:val="22"/>
              </w:rPr>
              <w:t>5</w:t>
            </w:r>
          </w:p>
          <w:p w14:paraId="00199C6E" w14:textId="3448F185" w:rsidR="00A35DEB" w:rsidRPr="00A35DEB" w:rsidRDefault="00A35DEB"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A35DEB">
              <w:rPr>
                <w:rFonts w:ascii="Titillium" w:eastAsiaTheme="minorEastAsia" w:hAnsi="Titillium" w:cs="Titillium-Semibold"/>
                <w:sz w:val="22"/>
                <w:szCs w:val="22"/>
              </w:rPr>
              <w:t>Reporting Of Outcomes</w:t>
            </w:r>
            <w:r>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 xml:space="preserve"> p.0</w:t>
            </w:r>
            <w:r w:rsidR="00190273">
              <w:rPr>
                <w:rFonts w:ascii="Titillium" w:eastAsiaTheme="minorEastAsia" w:hAnsi="Titillium" w:cs="Titillium-Semibold"/>
                <w:color w:val="859EA4"/>
                <w:sz w:val="22"/>
                <w:szCs w:val="22"/>
              </w:rPr>
              <w:t>6</w:t>
            </w:r>
          </w:p>
          <w:p w14:paraId="2782DF2A" w14:textId="075F8DEB" w:rsidR="00A35DEB" w:rsidRPr="00261191" w:rsidRDefault="00A35DEB"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A35DEB">
              <w:rPr>
                <w:rFonts w:ascii="Titillium" w:eastAsiaTheme="minorEastAsia" w:hAnsi="Titillium" w:cs="Titillium-Semibold"/>
                <w:sz w:val="22"/>
                <w:szCs w:val="22"/>
              </w:rPr>
              <w:t>Responsibility for the Success of This Policy</w:t>
            </w:r>
            <w:r>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 xml:space="preserve"> p.0</w:t>
            </w:r>
            <w:r w:rsidR="00190273">
              <w:rPr>
                <w:rFonts w:ascii="Titillium" w:eastAsiaTheme="minorEastAsia" w:hAnsi="Titillium" w:cs="Titillium-Semibold"/>
                <w:color w:val="859EA4"/>
                <w:sz w:val="22"/>
                <w:szCs w:val="22"/>
              </w:rPr>
              <w:t>6</w:t>
            </w:r>
          </w:p>
          <w:p w14:paraId="5D16AA53" w14:textId="77777777" w:rsidR="000C7A9C" w:rsidRPr="00393A77" w:rsidRDefault="000C7A9C" w:rsidP="008A012B">
            <w:pPr>
              <w:autoSpaceDE w:val="0"/>
              <w:autoSpaceDN w:val="0"/>
              <w:adjustRightInd w:val="0"/>
              <w:spacing w:line="360" w:lineRule="auto"/>
              <w:ind w:left="317" w:hanging="284"/>
              <w:rPr>
                <w:rFonts w:ascii="Titillium" w:eastAsiaTheme="minorEastAsia" w:hAnsi="Titillium" w:cs="Titillium-Semibold"/>
                <w:b/>
                <w:sz w:val="4"/>
                <w:szCs w:val="4"/>
              </w:rPr>
            </w:pPr>
          </w:p>
          <w:p w14:paraId="4991253E" w14:textId="77777777" w:rsidR="000C7A9C" w:rsidRDefault="000C7A9C" w:rsidP="008A012B">
            <w:pPr>
              <w:autoSpaceDE w:val="0"/>
              <w:autoSpaceDN w:val="0"/>
              <w:adjustRightInd w:val="0"/>
              <w:spacing w:after="120" w:line="360" w:lineRule="auto"/>
              <w:ind w:left="318" w:hanging="284"/>
              <w:rPr>
                <w:rFonts w:ascii="Titillium" w:eastAsiaTheme="minorEastAsia" w:hAnsi="Titillium" w:cs="Titillium-Semibold"/>
                <w:sz w:val="22"/>
                <w:szCs w:val="22"/>
              </w:rPr>
            </w:pPr>
            <w:r>
              <w:rPr>
                <w:rFonts w:ascii="Titillium" w:eastAsiaTheme="minorEastAsia" w:hAnsi="Titillium" w:cs="Titillium-Semibold"/>
                <w:b/>
                <w:sz w:val="22"/>
                <w:szCs w:val="22"/>
              </w:rPr>
              <w:t xml:space="preserve">   Appendices</w:t>
            </w:r>
          </w:p>
          <w:p w14:paraId="70B4AA9F" w14:textId="0059FD7B" w:rsidR="000C7A9C" w:rsidRPr="005704EE" w:rsidRDefault="000C7A9C" w:rsidP="005704EE">
            <w:pPr>
              <w:pStyle w:val="ListParagraph"/>
              <w:numPr>
                <w:ilvl w:val="0"/>
                <w:numId w:val="15"/>
              </w:numPr>
              <w:autoSpaceDE w:val="0"/>
              <w:autoSpaceDN w:val="0"/>
              <w:adjustRightInd w:val="0"/>
              <w:spacing w:line="360" w:lineRule="auto"/>
              <w:ind w:left="452" w:hanging="284"/>
              <w:rPr>
                <w:rFonts w:ascii="Titillium" w:eastAsiaTheme="minorEastAsia" w:hAnsi="Titillium" w:cs="Titillium-Semibold"/>
                <w:color w:val="000000" w:themeColor="text1"/>
                <w:sz w:val="22"/>
                <w:szCs w:val="22"/>
              </w:rPr>
            </w:pPr>
            <w:r w:rsidRPr="007A333C">
              <w:rPr>
                <w:rFonts w:ascii="Titillium" w:eastAsiaTheme="minorEastAsia" w:hAnsi="Titillium" w:cs="Titillium-Semibold"/>
                <w:color w:val="000000" w:themeColor="text1"/>
                <w:sz w:val="22"/>
                <w:szCs w:val="22"/>
              </w:rPr>
              <w:t xml:space="preserve">Appendix 1 </w:t>
            </w:r>
            <w:r w:rsidR="005704EE">
              <w:rPr>
                <w:rFonts w:ascii="Titillium" w:eastAsiaTheme="minorEastAsia" w:hAnsi="Titillium" w:cs="Titillium-Semibold"/>
                <w:color w:val="000000" w:themeColor="text1"/>
                <w:sz w:val="22"/>
                <w:szCs w:val="22"/>
              </w:rPr>
              <w:t>–</w:t>
            </w:r>
            <w:r w:rsidRPr="007A333C">
              <w:rPr>
                <w:rFonts w:ascii="Titillium" w:eastAsiaTheme="minorEastAsia" w:hAnsi="Titillium" w:cs="Titillium-Semibold"/>
                <w:color w:val="000000" w:themeColor="text1"/>
                <w:sz w:val="22"/>
                <w:szCs w:val="22"/>
              </w:rPr>
              <w:t xml:space="preserve"> </w:t>
            </w:r>
            <w:r w:rsidR="005704EE">
              <w:rPr>
                <w:rFonts w:ascii="Titillium" w:eastAsiaTheme="minorEastAsia" w:hAnsi="Titillium" w:cs="Titillium-Semibold"/>
                <w:color w:val="000000" w:themeColor="text1"/>
                <w:sz w:val="22"/>
                <w:szCs w:val="22"/>
              </w:rPr>
              <w:t>Key Contacts</w:t>
            </w:r>
            <w:r w:rsidRPr="007A333C">
              <w:rPr>
                <w:rFonts w:ascii="Titillium" w:eastAsiaTheme="minorEastAsia" w:hAnsi="Titillium" w:cs="Titillium-Semibold"/>
                <w:color w:val="000000" w:themeColor="text1"/>
                <w:sz w:val="22"/>
                <w:szCs w:val="22"/>
              </w:rPr>
              <w:t>………………</w:t>
            </w:r>
            <w:r w:rsidR="00190273">
              <w:rPr>
                <w:rFonts w:ascii="Titillium" w:eastAsiaTheme="minorEastAsia" w:hAnsi="Titillium" w:cs="Titillium-Semibold"/>
                <w:color w:val="000000" w:themeColor="text1"/>
                <w:sz w:val="22"/>
                <w:szCs w:val="22"/>
              </w:rPr>
              <w:t>………………………………….</w:t>
            </w:r>
            <w:r w:rsidRPr="007A333C">
              <w:rPr>
                <w:rFonts w:ascii="Titillium" w:eastAsiaTheme="minorEastAsia" w:hAnsi="Titillium" w:cs="Titillium-Semibold"/>
                <w:color w:val="000000" w:themeColor="text1"/>
                <w:sz w:val="22"/>
                <w:szCs w:val="22"/>
              </w:rPr>
              <w:t xml:space="preserve">….……….. </w:t>
            </w:r>
            <w:r w:rsidRPr="00190273">
              <w:rPr>
                <w:rFonts w:ascii="Titillium" w:eastAsiaTheme="minorEastAsia" w:hAnsi="Titillium" w:cs="Titillium-Semibold"/>
                <w:color w:val="859EA4"/>
                <w:sz w:val="22"/>
                <w:szCs w:val="22"/>
              </w:rPr>
              <w:t>p.0</w:t>
            </w:r>
            <w:r w:rsidR="00190273">
              <w:rPr>
                <w:rFonts w:ascii="Titillium" w:eastAsiaTheme="minorEastAsia" w:hAnsi="Titillium" w:cs="Titillium-Semibold"/>
                <w:color w:val="859EA4"/>
                <w:sz w:val="22"/>
                <w:szCs w:val="22"/>
              </w:rPr>
              <w:t>7</w:t>
            </w:r>
          </w:p>
        </w:tc>
      </w:tr>
    </w:tbl>
    <w:p w14:paraId="13FFE0C7" w14:textId="77777777" w:rsidR="000C7A9C" w:rsidRDefault="000C7A9C" w:rsidP="000C7A9C"/>
    <w:p w14:paraId="5A5EFFB1" w14:textId="77777777" w:rsidR="000C7A9C" w:rsidRDefault="000C7A9C" w:rsidP="000C7A9C"/>
    <w:p w14:paraId="524D36C9" w14:textId="77777777" w:rsidR="001F5002" w:rsidRDefault="001F5002" w:rsidP="000C7A9C"/>
    <w:p w14:paraId="46B22997" w14:textId="77777777" w:rsidR="001F5002" w:rsidRDefault="001F5002" w:rsidP="000C7A9C"/>
    <w:p w14:paraId="5CB57CAE" w14:textId="77777777" w:rsidR="001F5002" w:rsidRDefault="001F5002" w:rsidP="000C7A9C"/>
    <w:p w14:paraId="0B1D7161" w14:textId="77777777" w:rsidR="001F5002" w:rsidRDefault="001F5002" w:rsidP="000C7A9C"/>
    <w:p w14:paraId="4662AD6D" w14:textId="77777777" w:rsidR="001F5002" w:rsidRDefault="001F5002" w:rsidP="000C7A9C"/>
    <w:p w14:paraId="798E463C" w14:textId="77777777" w:rsidR="001F5002" w:rsidRDefault="001F5002" w:rsidP="000C7A9C"/>
    <w:p w14:paraId="6B577FC7" w14:textId="77777777" w:rsidR="001F5002" w:rsidRDefault="001F5002" w:rsidP="000C7A9C"/>
    <w:p w14:paraId="73D49789" w14:textId="77777777" w:rsidR="001F5002" w:rsidRDefault="001F5002" w:rsidP="000C7A9C"/>
    <w:p w14:paraId="7F56D632" w14:textId="77777777" w:rsidR="001F5002" w:rsidRDefault="001F5002" w:rsidP="000C7A9C"/>
    <w:p w14:paraId="3F2A3FED" w14:textId="77777777" w:rsidR="001F5002" w:rsidRDefault="001F5002" w:rsidP="000C7A9C"/>
    <w:p w14:paraId="71873CA5" w14:textId="77777777" w:rsidR="001F5002" w:rsidRDefault="001F5002" w:rsidP="000C7A9C"/>
    <w:p w14:paraId="4C8D1144" w14:textId="77777777" w:rsidR="001F5002" w:rsidRDefault="001F5002" w:rsidP="000C7A9C"/>
    <w:p w14:paraId="4B743661" w14:textId="77777777" w:rsidR="001F5002" w:rsidRDefault="001F5002" w:rsidP="000C7A9C"/>
    <w:p w14:paraId="568C880F" w14:textId="77777777" w:rsidR="001F5002" w:rsidRDefault="001F5002" w:rsidP="000C7A9C"/>
    <w:p w14:paraId="79F50E0B" w14:textId="77777777" w:rsidR="00190273" w:rsidRDefault="00190273" w:rsidP="000C7A9C"/>
    <w:p w14:paraId="5DFC9808" w14:textId="77777777" w:rsidR="001F5002" w:rsidRDefault="001F5002" w:rsidP="000C7A9C"/>
    <w:p w14:paraId="3599D96C" w14:textId="77777777" w:rsidR="001F5002" w:rsidRDefault="001F5002" w:rsidP="000C7A9C"/>
    <w:p w14:paraId="2C1F83B8" w14:textId="77777777" w:rsidR="000C7A9C" w:rsidRDefault="000C7A9C" w:rsidP="000C7A9C"/>
    <w:p w14:paraId="500D069B" w14:textId="4F2E60A1" w:rsidR="000C7A9C" w:rsidRDefault="006A5D0E" w:rsidP="000C7A9C">
      <w:pPr>
        <w:tabs>
          <w:tab w:val="center" w:pos="4513"/>
        </w:tabs>
        <w:spacing w:after="160" w:line="320" w:lineRule="atLeast"/>
        <w:ind w:right="312"/>
        <w:jc w:val="both"/>
        <w:rPr>
          <w:rFonts w:ascii="Titillium" w:hAnsi="Titillium"/>
          <w:b/>
          <w:color w:val="67B8E7"/>
          <w:sz w:val="32"/>
          <w:szCs w:val="32"/>
        </w:rPr>
      </w:pPr>
      <w:r w:rsidRPr="006A5D0E">
        <w:rPr>
          <w:rFonts w:ascii="Titillium" w:hAnsi="Titillium"/>
          <w:b/>
          <w:color w:val="67B8E7"/>
          <w:sz w:val="32"/>
          <w:szCs w:val="32"/>
        </w:rPr>
        <w:lastRenderedPageBreak/>
        <w:t>1.</w:t>
      </w:r>
      <w:r>
        <w:rPr>
          <w:rFonts w:ascii="Titillium" w:hAnsi="Titillium"/>
          <w:b/>
          <w:color w:val="67B8E7"/>
          <w:sz w:val="32"/>
          <w:szCs w:val="32"/>
        </w:rPr>
        <w:t xml:space="preserve"> </w:t>
      </w:r>
      <w:r w:rsidRPr="006A5D0E">
        <w:rPr>
          <w:rFonts w:ascii="Titillium" w:hAnsi="Titillium"/>
          <w:b/>
          <w:color w:val="67B8E7"/>
          <w:sz w:val="32"/>
          <w:szCs w:val="32"/>
        </w:rPr>
        <w:t>Policy Statement</w:t>
      </w:r>
    </w:p>
    <w:p w14:paraId="4377EC1C" w14:textId="77777777" w:rsidR="005704EE" w:rsidRPr="00813BF3" w:rsidRDefault="005704EE" w:rsidP="005704EE">
      <w:pPr>
        <w:autoSpaceDE w:val="0"/>
        <w:autoSpaceDN w:val="0"/>
        <w:adjustRightInd w:val="0"/>
        <w:ind w:left="709" w:hanging="709"/>
        <w:jc w:val="both"/>
        <w:rPr>
          <w:rFonts w:ascii="Titillium" w:hAnsi="Titillium"/>
          <w:bCs/>
          <w:color w:val="000000"/>
        </w:rPr>
      </w:pPr>
      <w:r w:rsidRPr="005704EE">
        <w:rPr>
          <w:rFonts w:ascii="Titillium" w:hAnsi="Titillium"/>
          <w:color w:val="000000"/>
        </w:rPr>
        <w:t>1.1</w:t>
      </w:r>
      <w:r w:rsidRPr="005704EE">
        <w:rPr>
          <w:rFonts w:ascii="Titillium" w:hAnsi="Titillium"/>
          <w:color w:val="000000"/>
        </w:rPr>
        <w:tab/>
      </w:r>
      <w:r w:rsidRPr="00813BF3">
        <w:rPr>
          <w:rFonts w:ascii="Titillium" w:hAnsi="Titillium"/>
          <w:color w:val="000000"/>
        </w:rPr>
        <w:t xml:space="preserve">Edinburgh Napier University is </w:t>
      </w:r>
      <w:r w:rsidRPr="00813BF3">
        <w:rPr>
          <w:rFonts w:ascii="Titillium" w:hAnsi="Titillium"/>
          <w:bCs/>
          <w:color w:val="000000"/>
        </w:rPr>
        <w:t>committed to conducting our business with honesty and integrity, and we expect all staff to maintain high standards, in accordance with the University’s stated commitment, “to achieve the highest organisational standards”.</w:t>
      </w:r>
    </w:p>
    <w:p w14:paraId="6AA9C383" w14:textId="77777777" w:rsidR="005704EE" w:rsidRPr="00813BF3" w:rsidRDefault="005704EE" w:rsidP="005704EE">
      <w:pPr>
        <w:autoSpaceDE w:val="0"/>
        <w:autoSpaceDN w:val="0"/>
        <w:adjustRightInd w:val="0"/>
        <w:ind w:left="709" w:hanging="709"/>
        <w:jc w:val="both"/>
        <w:rPr>
          <w:rFonts w:ascii="Titillium" w:hAnsi="Titillium"/>
          <w:bCs/>
          <w:color w:val="000000"/>
        </w:rPr>
      </w:pPr>
    </w:p>
    <w:p w14:paraId="0DBE7486" w14:textId="77777777" w:rsidR="005704EE" w:rsidRPr="00813BF3" w:rsidRDefault="005704EE" w:rsidP="005704EE">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1.2</w:t>
      </w:r>
      <w:r w:rsidRPr="00813BF3">
        <w:rPr>
          <w:rFonts w:ascii="Titillium" w:hAnsi="Titillium"/>
          <w:bCs/>
          <w:color w:val="000000"/>
        </w:rPr>
        <w:tab/>
        <w:t xml:space="preserve">However, all organisations face the risk of things going wrong from time to time, or of unknowingly harbouring illegal or unethical conduct. A culture of openness and accountability is essential </w:t>
      </w:r>
      <w:proofErr w:type="gramStart"/>
      <w:r w:rsidRPr="00813BF3">
        <w:rPr>
          <w:rFonts w:ascii="Titillium" w:hAnsi="Titillium"/>
          <w:bCs/>
          <w:color w:val="000000"/>
        </w:rPr>
        <w:t>in order to</w:t>
      </w:r>
      <w:proofErr w:type="gramEnd"/>
      <w:r w:rsidRPr="00813BF3">
        <w:rPr>
          <w:rFonts w:ascii="Titillium" w:hAnsi="Titillium"/>
          <w:bCs/>
          <w:color w:val="000000"/>
        </w:rPr>
        <w:t xml:space="preserve"> prevent such situations occurring or to address them when they do occur.</w:t>
      </w:r>
    </w:p>
    <w:p w14:paraId="5E88FCCA" w14:textId="77777777" w:rsidR="005704EE" w:rsidRPr="00813BF3" w:rsidRDefault="005704EE" w:rsidP="005704EE">
      <w:pPr>
        <w:tabs>
          <w:tab w:val="num" w:pos="720"/>
        </w:tabs>
        <w:autoSpaceDE w:val="0"/>
        <w:autoSpaceDN w:val="0"/>
        <w:adjustRightInd w:val="0"/>
        <w:ind w:left="709" w:hanging="709"/>
        <w:jc w:val="both"/>
        <w:rPr>
          <w:rFonts w:ascii="Titillium" w:hAnsi="Titillium"/>
          <w:b/>
          <w:bCs/>
          <w:color w:val="000000"/>
        </w:rPr>
      </w:pPr>
    </w:p>
    <w:p w14:paraId="4856AF7E" w14:textId="77777777" w:rsidR="005704EE" w:rsidRPr="00813BF3" w:rsidRDefault="005704EE" w:rsidP="005704EE">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1.3</w:t>
      </w:r>
      <w:r w:rsidRPr="00813BF3">
        <w:rPr>
          <w:rFonts w:ascii="Titillium" w:hAnsi="Titillium"/>
          <w:bCs/>
          <w:color w:val="000000"/>
        </w:rPr>
        <w:tab/>
        <w:t>The aims of this policy are:</w:t>
      </w:r>
    </w:p>
    <w:p w14:paraId="40975402" w14:textId="77777777" w:rsidR="005704EE" w:rsidRPr="00813BF3" w:rsidRDefault="005704EE" w:rsidP="005704EE">
      <w:pPr>
        <w:tabs>
          <w:tab w:val="num" w:pos="720"/>
        </w:tabs>
        <w:autoSpaceDE w:val="0"/>
        <w:autoSpaceDN w:val="0"/>
        <w:adjustRightInd w:val="0"/>
        <w:ind w:left="709" w:hanging="709"/>
        <w:jc w:val="both"/>
        <w:rPr>
          <w:rFonts w:ascii="Titillium" w:hAnsi="Titillium"/>
          <w:bCs/>
          <w:color w:val="000000"/>
        </w:rPr>
      </w:pPr>
    </w:p>
    <w:p w14:paraId="087EA566" w14:textId="77777777" w:rsidR="005704EE" w:rsidRPr="00813BF3" w:rsidRDefault="005704EE" w:rsidP="005704EE">
      <w:pPr>
        <w:pStyle w:val="ListParagraph"/>
        <w:numPr>
          <w:ilvl w:val="0"/>
          <w:numId w:val="18"/>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To encourage staff to report suspected wrongdoing as soon as possible, in the knowledge that their concerns will be taken seriously and investigated as appropriate, and that their confidentiality will be respected.</w:t>
      </w:r>
    </w:p>
    <w:p w14:paraId="7D9BF745" w14:textId="77777777" w:rsidR="005704EE" w:rsidRPr="00813BF3" w:rsidRDefault="005704EE" w:rsidP="005704EE">
      <w:pPr>
        <w:pStyle w:val="ListParagraph"/>
        <w:numPr>
          <w:ilvl w:val="0"/>
          <w:numId w:val="18"/>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To provide staff with guidance as to how to raise those concerns.</w:t>
      </w:r>
    </w:p>
    <w:p w14:paraId="6369FB44" w14:textId="77777777" w:rsidR="005704EE" w:rsidRPr="00813BF3" w:rsidRDefault="005704EE" w:rsidP="005704EE">
      <w:pPr>
        <w:pStyle w:val="ListParagraph"/>
        <w:numPr>
          <w:ilvl w:val="0"/>
          <w:numId w:val="18"/>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To reassure staff that they should be able to raise genuine concerns in good faith without fear of reprisals, even if they turn out to be mistaken.</w:t>
      </w:r>
    </w:p>
    <w:p w14:paraId="73D93A70" w14:textId="77777777" w:rsidR="005704EE" w:rsidRPr="00813BF3" w:rsidRDefault="005704EE" w:rsidP="005704EE">
      <w:pPr>
        <w:pStyle w:val="ListParagraph"/>
        <w:numPr>
          <w:ilvl w:val="0"/>
          <w:numId w:val="18"/>
        </w:numPr>
        <w:autoSpaceDE w:val="0"/>
        <w:autoSpaceDN w:val="0"/>
        <w:adjustRightInd w:val="0"/>
        <w:spacing w:line="276" w:lineRule="auto"/>
        <w:jc w:val="both"/>
        <w:rPr>
          <w:rFonts w:ascii="Titillium" w:hAnsi="Titillium"/>
          <w:b/>
          <w:bCs/>
          <w:color w:val="000000"/>
        </w:rPr>
      </w:pPr>
      <w:r w:rsidRPr="00813BF3">
        <w:rPr>
          <w:rFonts w:ascii="Titillium" w:hAnsi="Titillium"/>
          <w:bCs/>
          <w:color w:val="000000"/>
        </w:rPr>
        <w:t xml:space="preserve">This policy takes account of the Whistle-blowing Arrangements Code of Practice issued by the </w:t>
      </w:r>
      <w:hyperlink r:id="rId11" w:history="1">
        <w:r w:rsidRPr="00813BF3">
          <w:rPr>
            <w:rStyle w:val="Hyperlink"/>
            <w:rFonts w:ascii="Titillium" w:hAnsi="Titillium"/>
            <w:bCs/>
          </w:rPr>
          <w:t>British Standards Institute</w:t>
        </w:r>
      </w:hyperlink>
      <w:r w:rsidRPr="00813BF3">
        <w:rPr>
          <w:rFonts w:ascii="Titillium" w:hAnsi="Titillium"/>
          <w:bCs/>
          <w:color w:val="000000"/>
        </w:rPr>
        <w:t xml:space="preserve"> and Public Concern at Work (the Code of Practice can be downloaded from their website for free). </w:t>
      </w:r>
    </w:p>
    <w:p w14:paraId="6FA3D99D" w14:textId="77777777" w:rsidR="005704EE" w:rsidRPr="00813BF3" w:rsidRDefault="005704EE" w:rsidP="005704EE">
      <w:pPr>
        <w:pStyle w:val="ListParagraph"/>
        <w:numPr>
          <w:ilvl w:val="0"/>
          <w:numId w:val="18"/>
        </w:numPr>
        <w:autoSpaceDE w:val="0"/>
        <w:autoSpaceDN w:val="0"/>
        <w:adjustRightInd w:val="0"/>
        <w:spacing w:line="276" w:lineRule="auto"/>
        <w:jc w:val="both"/>
        <w:rPr>
          <w:rFonts w:ascii="Titillium" w:hAnsi="Titillium"/>
          <w:b/>
          <w:bCs/>
          <w:color w:val="000000"/>
        </w:rPr>
      </w:pPr>
      <w:r w:rsidRPr="00813BF3">
        <w:rPr>
          <w:rFonts w:ascii="Titillium" w:hAnsi="Titillium"/>
          <w:bCs/>
          <w:color w:val="000000"/>
        </w:rPr>
        <w:t>It has been agreed following consultation with the University’s recognised trade unions.</w:t>
      </w:r>
    </w:p>
    <w:p w14:paraId="349770A7" w14:textId="77777777" w:rsidR="005704EE" w:rsidRPr="00813BF3" w:rsidRDefault="005704EE" w:rsidP="000C7A9C">
      <w:pPr>
        <w:tabs>
          <w:tab w:val="center" w:pos="4513"/>
        </w:tabs>
        <w:spacing w:after="160" w:line="320" w:lineRule="atLeast"/>
        <w:ind w:right="312"/>
        <w:jc w:val="both"/>
        <w:rPr>
          <w:rFonts w:ascii="Titillium" w:hAnsi="Titillium"/>
          <w:b/>
        </w:rPr>
      </w:pPr>
    </w:p>
    <w:p w14:paraId="7B77EAFF" w14:textId="74CBEB76" w:rsidR="006A5D0E" w:rsidRPr="00813BF3" w:rsidRDefault="006A5D0E" w:rsidP="000C7A9C">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t>2. Who is Covered by This Policy</w:t>
      </w:r>
    </w:p>
    <w:p w14:paraId="0A2FCFA3" w14:textId="77777777" w:rsidR="00503765" w:rsidRPr="00813BF3" w:rsidRDefault="00503765" w:rsidP="00503765">
      <w:pPr>
        <w:autoSpaceDE w:val="0"/>
        <w:autoSpaceDN w:val="0"/>
        <w:adjustRightInd w:val="0"/>
        <w:ind w:left="709" w:hanging="709"/>
        <w:jc w:val="both"/>
        <w:rPr>
          <w:rFonts w:ascii="Titillium" w:hAnsi="Titillium"/>
          <w:bCs/>
          <w:color w:val="000000"/>
        </w:rPr>
      </w:pPr>
      <w:r w:rsidRPr="00813BF3">
        <w:rPr>
          <w:rFonts w:ascii="Titillium" w:hAnsi="Titillium"/>
          <w:bCs/>
          <w:color w:val="000000"/>
        </w:rPr>
        <w:t>2.1</w:t>
      </w:r>
      <w:r w:rsidRPr="00813BF3">
        <w:rPr>
          <w:rFonts w:ascii="Titillium" w:hAnsi="Titillium"/>
          <w:bCs/>
          <w:color w:val="000000"/>
        </w:rPr>
        <w:tab/>
        <w:t xml:space="preserve">This policy applies to all individuals working at all levels of the organisation, including senior managers, officers, directors, employees, consultants, contractors, trainees, home-workers, part-time and fixed-term workers, casual and agency </w:t>
      </w:r>
      <w:proofErr w:type="gramStart"/>
      <w:r w:rsidRPr="00813BF3">
        <w:rPr>
          <w:rFonts w:ascii="Titillium" w:hAnsi="Titillium"/>
          <w:bCs/>
          <w:color w:val="000000"/>
        </w:rPr>
        <w:t>staff  (</w:t>
      </w:r>
      <w:proofErr w:type="gramEnd"/>
      <w:r w:rsidRPr="00813BF3">
        <w:rPr>
          <w:rFonts w:ascii="Titillium" w:hAnsi="Titillium"/>
          <w:bCs/>
          <w:color w:val="000000"/>
        </w:rPr>
        <w:t>collectively referred to as staff in this policy).</w:t>
      </w:r>
    </w:p>
    <w:p w14:paraId="673D6512" w14:textId="77777777" w:rsidR="00503765" w:rsidRPr="00813BF3" w:rsidRDefault="00503765" w:rsidP="00503765">
      <w:pPr>
        <w:autoSpaceDE w:val="0"/>
        <w:autoSpaceDN w:val="0"/>
        <w:adjustRightInd w:val="0"/>
        <w:ind w:left="709" w:hanging="709"/>
        <w:jc w:val="both"/>
        <w:rPr>
          <w:rFonts w:ascii="Titillium" w:hAnsi="Titillium"/>
          <w:bCs/>
          <w:color w:val="000000"/>
        </w:rPr>
      </w:pPr>
    </w:p>
    <w:p w14:paraId="395B60F8" w14:textId="77777777" w:rsidR="00503765" w:rsidRPr="00813BF3" w:rsidRDefault="00503765" w:rsidP="00503765">
      <w:pPr>
        <w:autoSpaceDE w:val="0"/>
        <w:autoSpaceDN w:val="0"/>
        <w:adjustRightInd w:val="0"/>
        <w:ind w:left="709" w:hanging="709"/>
        <w:jc w:val="both"/>
        <w:rPr>
          <w:rFonts w:ascii="Titillium" w:hAnsi="Titillium"/>
          <w:bCs/>
          <w:color w:val="000000"/>
        </w:rPr>
      </w:pPr>
      <w:r w:rsidRPr="00813BF3">
        <w:rPr>
          <w:rFonts w:ascii="Titillium" w:hAnsi="Titillium"/>
          <w:bCs/>
          <w:color w:val="000000"/>
        </w:rPr>
        <w:t>2.2</w:t>
      </w:r>
      <w:r w:rsidRPr="00813BF3">
        <w:rPr>
          <w:rFonts w:ascii="Titillium" w:hAnsi="Titillium"/>
          <w:bCs/>
          <w:color w:val="000000"/>
        </w:rPr>
        <w:tab/>
        <w:t>Throughout this policy “we” refers to Edinburgh Napier University.</w:t>
      </w:r>
    </w:p>
    <w:p w14:paraId="58E66560" w14:textId="77777777" w:rsidR="005704EE" w:rsidRPr="00813BF3" w:rsidRDefault="005704EE" w:rsidP="000C7A9C">
      <w:pPr>
        <w:tabs>
          <w:tab w:val="center" w:pos="4513"/>
        </w:tabs>
        <w:spacing w:after="160" w:line="320" w:lineRule="atLeast"/>
        <w:ind w:right="312"/>
        <w:jc w:val="both"/>
        <w:rPr>
          <w:rFonts w:ascii="Titillium" w:hAnsi="Titillium"/>
          <w:b/>
        </w:rPr>
      </w:pPr>
    </w:p>
    <w:p w14:paraId="68E74D07" w14:textId="718BD204" w:rsidR="006A5D0E" w:rsidRPr="00813BF3" w:rsidRDefault="006A5D0E" w:rsidP="000C7A9C">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t xml:space="preserve">3. What is </w:t>
      </w:r>
      <w:proofErr w:type="gramStart"/>
      <w:r w:rsidRPr="00813BF3">
        <w:rPr>
          <w:rFonts w:ascii="Titillium" w:hAnsi="Titillium"/>
          <w:b/>
          <w:color w:val="67B8E7"/>
          <w:sz w:val="32"/>
          <w:szCs w:val="32"/>
        </w:rPr>
        <w:t>Whistle-Blowing</w:t>
      </w:r>
      <w:proofErr w:type="gramEnd"/>
      <w:r w:rsidRPr="00813BF3">
        <w:rPr>
          <w:rFonts w:ascii="Titillium" w:hAnsi="Titillium"/>
          <w:b/>
          <w:color w:val="67B8E7"/>
          <w:sz w:val="32"/>
          <w:szCs w:val="32"/>
        </w:rPr>
        <w:t>?</w:t>
      </w:r>
    </w:p>
    <w:p w14:paraId="0BBB8BAC" w14:textId="77777777" w:rsidR="00503765" w:rsidRPr="00813BF3" w:rsidRDefault="00503765" w:rsidP="00503765">
      <w:pPr>
        <w:tabs>
          <w:tab w:val="num" w:pos="720"/>
        </w:tabs>
        <w:autoSpaceDE w:val="0"/>
        <w:autoSpaceDN w:val="0"/>
        <w:adjustRightInd w:val="0"/>
        <w:ind w:left="709" w:hanging="709"/>
        <w:jc w:val="both"/>
        <w:rPr>
          <w:rFonts w:ascii="Titillium" w:hAnsi="Titillium"/>
          <w:color w:val="000000"/>
        </w:rPr>
      </w:pPr>
      <w:r w:rsidRPr="00813BF3">
        <w:rPr>
          <w:rFonts w:ascii="Titillium" w:hAnsi="Titillium"/>
          <w:color w:val="000000"/>
        </w:rPr>
        <w:t>3.1</w:t>
      </w:r>
      <w:r w:rsidRPr="00813BF3">
        <w:rPr>
          <w:rFonts w:ascii="Titillium" w:hAnsi="Titillium"/>
          <w:color w:val="000000"/>
        </w:rPr>
        <w:tab/>
        <w:t xml:space="preserve">The Public Interest Disclosure Act 1998 (PIDA), which came into effect on 1 January 1999, gives legal protection to employees or workers against being dismissed or penalised by </w:t>
      </w:r>
      <w:r w:rsidRPr="00813BF3">
        <w:rPr>
          <w:rFonts w:ascii="Titillium" w:hAnsi="Titillium"/>
          <w:color w:val="000000"/>
        </w:rPr>
        <w:lastRenderedPageBreak/>
        <w:t xml:space="preserve">their employers </w:t>
      </w:r>
      <w:proofErr w:type="gramStart"/>
      <w:r w:rsidRPr="00813BF3">
        <w:rPr>
          <w:rFonts w:ascii="Titillium" w:hAnsi="Titillium"/>
          <w:color w:val="000000"/>
        </w:rPr>
        <w:t>as a result of</w:t>
      </w:r>
      <w:proofErr w:type="gramEnd"/>
      <w:r w:rsidRPr="00813BF3">
        <w:rPr>
          <w:rFonts w:ascii="Titillium" w:hAnsi="Titillium"/>
          <w:color w:val="000000"/>
        </w:rPr>
        <w:t xml:space="preserve"> publicly disclosing certain serious concerns. Making ‘protected disclosures’ is commonly referred to as </w:t>
      </w:r>
      <w:proofErr w:type="gramStart"/>
      <w:r w:rsidRPr="00813BF3">
        <w:rPr>
          <w:rFonts w:ascii="Titillium" w:hAnsi="Titillium"/>
          <w:color w:val="000000"/>
        </w:rPr>
        <w:t>whistle-blowing</w:t>
      </w:r>
      <w:proofErr w:type="gramEnd"/>
      <w:r w:rsidRPr="00813BF3">
        <w:rPr>
          <w:rFonts w:ascii="Titillium" w:hAnsi="Titillium"/>
          <w:color w:val="000000"/>
        </w:rPr>
        <w:t xml:space="preserve">. </w:t>
      </w:r>
    </w:p>
    <w:p w14:paraId="34EA07F2" w14:textId="77777777" w:rsidR="00503765" w:rsidRPr="00813BF3" w:rsidRDefault="00503765" w:rsidP="00503765">
      <w:pPr>
        <w:tabs>
          <w:tab w:val="num" w:pos="720"/>
        </w:tabs>
        <w:autoSpaceDE w:val="0"/>
        <w:autoSpaceDN w:val="0"/>
        <w:adjustRightInd w:val="0"/>
        <w:jc w:val="both"/>
        <w:rPr>
          <w:rFonts w:ascii="Titillium" w:hAnsi="Titillium"/>
          <w:color w:val="000000"/>
        </w:rPr>
      </w:pPr>
    </w:p>
    <w:p w14:paraId="113FAD2D"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3.2</w:t>
      </w:r>
      <w:r w:rsidRPr="00813BF3">
        <w:rPr>
          <w:rFonts w:ascii="Titillium" w:hAnsi="Titillium"/>
          <w:bCs/>
          <w:color w:val="000000"/>
        </w:rPr>
        <w:tab/>
      </w:r>
      <w:proofErr w:type="gramStart"/>
      <w:r w:rsidRPr="00813BF3">
        <w:rPr>
          <w:rFonts w:ascii="Titillium" w:hAnsi="Titillium"/>
          <w:bCs/>
          <w:color w:val="000000"/>
        </w:rPr>
        <w:t>Whistle-blowing</w:t>
      </w:r>
      <w:proofErr w:type="gramEnd"/>
      <w:r w:rsidRPr="00813BF3">
        <w:rPr>
          <w:rFonts w:ascii="Titillium" w:hAnsi="Titillium"/>
          <w:bCs/>
          <w:color w:val="000000"/>
        </w:rPr>
        <w:t xml:space="preserve"> is the disclosure of information which relates to suspected wrongdoing or dangers at work.  This may </w:t>
      </w:r>
      <w:proofErr w:type="gramStart"/>
      <w:r w:rsidRPr="00813BF3">
        <w:rPr>
          <w:rFonts w:ascii="Titillium" w:hAnsi="Titillium"/>
          <w:bCs/>
          <w:color w:val="000000"/>
        </w:rPr>
        <w:t>include:-</w:t>
      </w:r>
      <w:proofErr w:type="gramEnd"/>
    </w:p>
    <w:p w14:paraId="52E35E27"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p>
    <w:p w14:paraId="779FF0F4"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 xml:space="preserve">criminal </w:t>
      </w:r>
      <w:proofErr w:type="gramStart"/>
      <w:r w:rsidRPr="00813BF3">
        <w:rPr>
          <w:rFonts w:ascii="Titillium" w:hAnsi="Titillium"/>
          <w:bCs/>
          <w:color w:val="000000"/>
        </w:rPr>
        <w:t>activity;</w:t>
      </w:r>
      <w:proofErr w:type="gramEnd"/>
    </w:p>
    <w:p w14:paraId="4DEBCB55"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 xml:space="preserve">miscarriages of </w:t>
      </w:r>
      <w:proofErr w:type="gramStart"/>
      <w:r w:rsidRPr="00813BF3">
        <w:rPr>
          <w:rFonts w:ascii="Titillium" w:hAnsi="Titillium"/>
          <w:bCs/>
          <w:color w:val="000000"/>
        </w:rPr>
        <w:t>justice;</w:t>
      </w:r>
      <w:proofErr w:type="gramEnd"/>
    </w:p>
    <w:p w14:paraId="69E45E1C"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 xml:space="preserve">danger to health and </w:t>
      </w:r>
      <w:proofErr w:type="gramStart"/>
      <w:r w:rsidRPr="00813BF3">
        <w:rPr>
          <w:rFonts w:ascii="Titillium" w:hAnsi="Titillium"/>
          <w:bCs/>
          <w:color w:val="000000"/>
        </w:rPr>
        <w:t>safety;</w:t>
      </w:r>
      <w:proofErr w:type="gramEnd"/>
    </w:p>
    <w:p w14:paraId="78FB3707"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 xml:space="preserve">damage to the </w:t>
      </w:r>
      <w:proofErr w:type="gramStart"/>
      <w:r w:rsidRPr="00813BF3">
        <w:rPr>
          <w:rFonts w:ascii="Titillium" w:hAnsi="Titillium"/>
          <w:bCs/>
          <w:color w:val="000000"/>
        </w:rPr>
        <w:t>environment;</w:t>
      </w:r>
      <w:proofErr w:type="gramEnd"/>
      <w:r w:rsidRPr="00813BF3">
        <w:rPr>
          <w:rFonts w:ascii="Titillium" w:hAnsi="Titillium"/>
          <w:bCs/>
          <w:color w:val="000000"/>
        </w:rPr>
        <w:t xml:space="preserve"> </w:t>
      </w:r>
    </w:p>
    <w:p w14:paraId="587B0618"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failure to comply with any legal [or professional] obligation or regulatory requirements</w:t>
      </w:r>
      <w:r w:rsidRPr="00813BF3">
        <w:rPr>
          <w:rFonts w:ascii="Titillium" w:hAnsi="Titillium"/>
          <w:color w:val="000000"/>
        </w:rPr>
        <w:t xml:space="preserve"> or the Constitution of the </w:t>
      </w:r>
      <w:proofErr w:type="gramStart"/>
      <w:r w:rsidRPr="00813BF3">
        <w:rPr>
          <w:rFonts w:ascii="Titillium" w:hAnsi="Titillium"/>
          <w:color w:val="000000"/>
        </w:rPr>
        <w:t>University;</w:t>
      </w:r>
      <w:proofErr w:type="gramEnd"/>
    </w:p>
    <w:p w14:paraId="02A5BEFC"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proofErr w:type="gramStart"/>
      <w:r w:rsidRPr="00813BF3">
        <w:rPr>
          <w:rFonts w:ascii="Titillium" w:hAnsi="Titillium"/>
          <w:bCs/>
          <w:color w:val="000000"/>
        </w:rPr>
        <w:t>bribery;</w:t>
      </w:r>
      <w:proofErr w:type="gramEnd"/>
    </w:p>
    <w:p w14:paraId="2B9C6B1E"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financial fraud or mismanagement</w:t>
      </w:r>
    </w:p>
    <w:p w14:paraId="2AC61FC4"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proofErr w:type="spellStart"/>
      <w:proofErr w:type="gramStart"/>
      <w:r w:rsidRPr="00813BF3">
        <w:rPr>
          <w:rFonts w:ascii="Titillium" w:hAnsi="Titillium"/>
          <w:color w:val="000000"/>
        </w:rPr>
        <w:t>non financial</w:t>
      </w:r>
      <w:proofErr w:type="spellEnd"/>
      <w:proofErr w:type="gramEnd"/>
      <w:r w:rsidRPr="00813BF3">
        <w:rPr>
          <w:rFonts w:ascii="Titillium" w:hAnsi="Titillium"/>
          <w:color w:val="000000"/>
        </w:rPr>
        <w:t xml:space="preserve"> malpractice or maladministration</w:t>
      </w:r>
      <w:r w:rsidRPr="00813BF3">
        <w:rPr>
          <w:rFonts w:ascii="Titillium" w:hAnsi="Titillium"/>
          <w:bCs/>
          <w:color w:val="000000"/>
        </w:rPr>
        <w:t>;</w:t>
      </w:r>
    </w:p>
    <w:p w14:paraId="0DBD5FB9"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proofErr w:type="gramStart"/>
      <w:r w:rsidRPr="00813BF3">
        <w:rPr>
          <w:rFonts w:ascii="Titillium" w:hAnsi="Titillium"/>
          <w:bCs/>
          <w:color w:val="000000"/>
        </w:rPr>
        <w:t>negligence;</w:t>
      </w:r>
      <w:proofErr w:type="gramEnd"/>
    </w:p>
    <w:p w14:paraId="350DF48E"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breach of our internal policies and procedures [including our Code of Conduct</w:t>
      </w:r>
      <w:proofErr w:type="gramStart"/>
      <w:r w:rsidRPr="00813BF3">
        <w:rPr>
          <w:rFonts w:ascii="Titillium" w:hAnsi="Titillium"/>
          <w:bCs/>
          <w:color w:val="000000"/>
        </w:rPr>
        <w:t>];</w:t>
      </w:r>
      <w:proofErr w:type="gramEnd"/>
    </w:p>
    <w:p w14:paraId="736BB5D6"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 xml:space="preserve">conduct likely to damage our </w:t>
      </w:r>
      <w:proofErr w:type="gramStart"/>
      <w:r w:rsidRPr="00813BF3">
        <w:rPr>
          <w:rFonts w:ascii="Titillium" w:hAnsi="Titillium"/>
          <w:bCs/>
          <w:color w:val="000000"/>
        </w:rPr>
        <w:t>reputation;</w:t>
      </w:r>
      <w:proofErr w:type="gramEnd"/>
    </w:p>
    <w:p w14:paraId="062BD32C"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 xml:space="preserve">unauthorised disclosure of confidential </w:t>
      </w:r>
      <w:proofErr w:type="gramStart"/>
      <w:r w:rsidRPr="00813BF3">
        <w:rPr>
          <w:rFonts w:ascii="Titillium" w:hAnsi="Titillium"/>
          <w:bCs/>
          <w:color w:val="000000"/>
        </w:rPr>
        <w:t>information;</w:t>
      </w:r>
      <w:proofErr w:type="gramEnd"/>
    </w:p>
    <w:p w14:paraId="5A50FF59"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color w:val="000000"/>
        </w:rPr>
      </w:pPr>
      <w:r w:rsidRPr="00813BF3">
        <w:rPr>
          <w:rFonts w:ascii="Titillium" w:hAnsi="Titillium"/>
          <w:color w:val="000000"/>
        </w:rPr>
        <w:t xml:space="preserve">academic or professional malpractice, including the obstruction of the exercise of genuine academic freedom and the theft of intellectual </w:t>
      </w:r>
      <w:proofErr w:type="gramStart"/>
      <w:r w:rsidRPr="00813BF3">
        <w:rPr>
          <w:rFonts w:ascii="Titillium" w:hAnsi="Titillium"/>
          <w:color w:val="000000"/>
        </w:rPr>
        <w:t>property;</w:t>
      </w:r>
      <w:proofErr w:type="gramEnd"/>
      <w:r w:rsidRPr="00813BF3">
        <w:rPr>
          <w:rFonts w:ascii="Titillium" w:hAnsi="Titillium"/>
          <w:color w:val="000000"/>
        </w:rPr>
        <w:t xml:space="preserve"> </w:t>
      </w:r>
    </w:p>
    <w:p w14:paraId="7060D44B" w14:textId="77777777" w:rsidR="00503765" w:rsidRPr="00813BF3" w:rsidRDefault="00503765" w:rsidP="00503765">
      <w:pPr>
        <w:pStyle w:val="ListParagraph"/>
        <w:numPr>
          <w:ilvl w:val="0"/>
          <w:numId w:val="20"/>
        </w:numPr>
        <w:autoSpaceDE w:val="0"/>
        <w:autoSpaceDN w:val="0"/>
        <w:adjustRightInd w:val="0"/>
        <w:spacing w:line="276" w:lineRule="auto"/>
        <w:jc w:val="both"/>
        <w:rPr>
          <w:rFonts w:ascii="Titillium" w:hAnsi="Titillium"/>
          <w:bCs/>
          <w:color w:val="000000"/>
        </w:rPr>
      </w:pPr>
      <w:r w:rsidRPr="00813BF3">
        <w:rPr>
          <w:rFonts w:ascii="Titillium" w:hAnsi="Titillium"/>
          <w:bCs/>
          <w:color w:val="000000"/>
        </w:rPr>
        <w:t>the deliberate concealment of information tending to show any of the above matters.</w:t>
      </w:r>
    </w:p>
    <w:p w14:paraId="4DBD2EB7" w14:textId="77777777" w:rsidR="00503765" w:rsidRPr="00813BF3" w:rsidRDefault="00503765" w:rsidP="00503765">
      <w:pPr>
        <w:tabs>
          <w:tab w:val="num" w:pos="720"/>
        </w:tabs>
        <w:autoSpaceDE w:val="0"/>
        <w:autoSpaceDN w:val="0"/>
        <w:adjustRightInd w:val="0"/>
        <w:jc w:val="both"/>
        <w:rPr>
          <w:rFonts w:ascii="Titillium" w:hAnsi="Titillium"/>
          <w:bCs/>
          <w:color w:val="000000"/>
        </w:rPr>
      </w:pPr>
    </w:p>
    <w:p w14:paraId="6DB60ADA"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3.3</w:t>
      </w:r>
      <w:r w:rsidRPr="00813BF3">
        <w:rPr>
          <w:rFonts w:ascii="Titillium" w:hAnsi="Titillium"/>
          <w:bCs/>
          <w:color w:val="000000"/>
        </w:rPr>
        <w:tab/>
        <w:t xml:space="preserve">A whistle-blower is a person who raises a concern in good faith relating to any of the above. If a member of staff has a </w:t>
      </w:r>
      <w:proofErr w:type="gramStart"/>
      <w:r w:rsidRPr="00813BF3">
        <w:rPr>
          <w:rFonts w:ascii="Titillium" w:hAnsi="Titillium"/>
          <w:bCs/>
          <w:color w:val="000000"/>
        </w:rPr>
        <w:t>concerns</w:t>
      </w:r>
      <w:proofErr w:type="gramEnd"/>
      <w:r w:rsidRPr="00813BF3">
        <w:rPr>
          <w:rFonts w:ascii="Titillium" w:hAnsi="Titillium"/>
          <w:bCs/>
          <w:color w:val="000000"/>
        </w:rPr>
        <w:t xml:space="preserve"> related to suspected wrongdoing or danger affecting any of our activities (a whistle-blowing concern) the member of staff should report it under this policy.</w:t>
      </w:r>
    </w:p>
    <w:p w14:paraId="7BCB4E5E" w14:textId="77777777" w:rsidR="00503765" w:rsidRPr="00813BF3" w:rsidRDefault="00503765" w:rsidP="00503765">
      <w:pPr>
        <w:tabs>
          <w:tab w:val="num" w:pos="720"/>
        </w:tabs>
        <w:autoSpaceDE w:val="0"/>
        <w:autoSpaceDN w:val="0"/>
        <w:adjustRightInd w:val="0"/>
        <w:ind w:left="709" w:hanging="709"/>
        <w:jc w:val="both"/>
        <w:rPr>
          <w:rFonts w:ascii="Titillium" w:hAnsi="Titillium"/>
          <w:b/>
          <w:bCs/>
          <w:color w:val="000000"/>
        </w:rPr>
      </w:pPr>
    </w:p>
    <w:p w14:paraId="418A720C"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3.4</w:t>
      </w:r>
      <w:r w:rsidRPr="00813BF3">
        <w:rPr>
          <w:rFonts w:ascii="Titillium" w:hAnsi="Titillium"/>
          <w:bCs/>
          <w:color w:val="000000"/>
        </w:rPr>
        <w:tab/>
        <w:t xml:space="preserve">This policy should not be used for complaints relating to member of staffs own personal circumstances, such as the way member of staff have been treated at work. In those </w:t>
      </w:r>
      <w:proofErr w:type="gramStart"/>
      <w:r w:rsidRPr="00813BF3">
        <w:rPr>
          <w:rFonts w:ascii="Titillium" w:hAnsi="Titillium"/>
          <w:bCs/>
          <w:color w:val="000000"/>
        </w:rPr>
        <w:t>cases</w:t>
      </w:r>
      <w:proofErr w:type="gramEnd"/>
      <w:r w:rsidRPr="00813BF3">
        <w:rPr>
          <w:rFonts w:ascii="Titillium" w:hAnsi="Titillium"/>
          <w:bCs/>
          <w:color w:val="000000"/>
        </w:rPr>
        <w:t xml:space="preserve"> the member of staff should use the Grievance Procedure or Bullying &amp; Harassment Policy as appropriate. </w:t>
      </w:r>
    </w:p>
    <w:p w14:paraId="7746009C" w14:textId="77777777" w:rsidR="00503765" w:rsidRPr="00813BF3" w:rsidRDefault="00503765" w:rsidP="00503765">
      <w:pPr>
        <w:tabs>
          <w:tab w:val="num" w:pos="720"/>
        </w:tabs>
        <w:autoSpaceDE w:val="0"/>
        <w:autoSpaceDN w:val="0"/>
        <w:adjustRightInd w:val="0"/>
        <w:ind w:left="709" w:hanging="709"/>
        <w:jc w:val="both"/>
        <w:rPr>
          <w:rFonts w:ascii="Titillium" w:hAnsi="Titillium"/>
          <w:b/>
          <w:bCs/>
          <w:color w:val="000000"/>
        </w:rPr>
      </w:pPr>
    </w:p>
    <w:p w14:paraId="53926119"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3.5</w:t>
      </w:r>
      <w:r w:rsidRPr="00813BF3">
        <w:rPr>
          <w:rFonts w:ascii="Titillium" w:hAnsi="Titillium"/>
          <w:bCs/>
          <w:color w:val="000000"/>
        </w:rPr>
        <w:tab/>
        <w:t xml:space="preserve">If the member of staff is uncertain whether something is within the scope of this policy they should seek advice from the Whistle-blowing Officer </w:t>
      </w:r>
      <w:r w:rsidRPr="00813BF3">
        <w:rPr>
          <w:rFonts w:ascii="Titillium" w:hAnsi="Titillium"/>
          <w:color w:val="000000"/>
        </w:rPr>
        <w:t>normally the University Secretary</w:t>
      </w:r>
      <w:r w:rsidRPr="00813BF3">
        <w:rPr>
          <w:rFonts w:ascii="Titillium" w:hAnsi="Titillium"/>
          <w:bCs/>
          <w:color w:val="000000"/>
        </w:rPr>
        <w:t>, whose contact details are at the end of this policy.</w:t>
      </w:r>
    </w:p>
    <w:p w14:paraId="7C3B751F" w14:textId="77777777" w:rsidR="00503765" w:rsidRPr="00813BF3" w:rsidRDefault="00503765" w:rsidP="000C7A9C">
      <w:pPr>
        <w:tabs>
          <w:tab w:val="center" w:pos="4513"/>
        </w:tabs>
        <w:spacing w:after="160" w:line="320" w:lineRule="atLeast"/>
        <w:ind w:right="312"/>
        <w:jc w:val="both"/>
        <w:rPr>
          <w:rFonts w:ascii="Titillium" w:hAnsi="Titillium"/>
          <w:bCs/>
        </w:rPr>
      </w:pPr>
    </w:p>
    <w:p w14:paraId="4415E506" w14:textId="32E865B7" w:rsidR="006A5D0E" w:rsidRPr="00813BF3" w:rsidRDefault="006A5D0E" w:rsidP="000C7A9C">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lastRenderedPageBreak/>
        <w:t>4. Raising a Whistle-Blowing Concern</w:t>
      </w:r>
    </w:p>
    <w:p w14:paraId="2F1C1165"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4.1</w:t>
      </w:r>
      <w:r w:rsidRPr="00813BF3">
        <w:rPr>
          <w:rFonts w:ascii="Titillium" w:hAnsi="Titillium"/>
          <w:bCs/>
          <w:color w:val="000000"/>
        </w:rPr>
        <w:tab/>
        <w:t xml:space="preserve">We hope that in many cases the member of staff will be able to raise any concerns with their line manager. They may tell them in person or put the matter in writing if they prefer. They may be able to agree a way of resolving member of staff’s concern quickly and effectively. In some </w:t>
      </w:r>
      <w:proofErr w:type="gramStart"/>
      <w:r w:rsidRPr="00813BF3">
        <w:rPr>
          <w:rFonts w:ascii="Titillium" w:hAnsi="Titillium"/>
          <w:bCs/>
          <w:color w:val="000000"/>
        </w:rPr>
        <w:t>cases</w:t>
      </w:r>
      <w:proofErr w:type="gramEnd"/>
      <w:r w:rsidRPr="00813BF3">
        <w:rPr>
          <w:rFonts w:ascii="Titillium" w:hAnsi="Titillium"/>
          <w:bCs/>
          <w:color w:val="000000"/>
        </w:rPr>
        <w:t xml:space="preserve"> they may refer the matter to the Whistle-blowing Officer.</w:t>
      </w:r>
    </w:p>
    <w:p w14:paraId="62D414A0" w14:textId="77777777" w:rsidR="00503765" w:rsidRPr="00813BF3" w:rsidRDefault="00503765" w:rsidP="00503765">
      <w:pPr>
        <w:tabs>
          <w:tab w:val="num" w:pos="720"/>
        </w:tabs>
        <w:autoSpaceDE w:val="0"/>
        <w:autoSpaceDN w:val="0"/>
        <w:adjustRightInd w:val="0"/>
        <w:ind w:left="709" w:hanging="709"/>
        <w:jc w:val="both"/>
        <w:rPr>
          <w:rFonts w:ascii="Titillium" w:hAnsi="Titillium"/>
          <w:b/>
          <w:bCs/>
          <w:color w:val="000000"/>
        </w:rPr>
      </w:pPr>
    </w:p>
    <w:p w14:paraId="7D281C28"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4.2</w:t>
      </w:r>
      <w:r w:rsidRPr="00813BF3">
        <w:rPr>
          <w:rFonts w:ascii="Titillium" w:hAnsi="Titillium"/>
          <w:bCs/>
          <w:color w:val="000000"/>
        </w:rPr>
        <w:tab/>
        <w:t xml:space="preserve">However, where the matter is more serious, or the member of staff feels that their line manager has not addressed their concern, or they prefer not to raise it with them for any reason, the member of staff should contact one of the </w:t>
      </w:r>
      <w:proofErr w:type="gramStart"/>
      <w:r w:rsidRPr="00813BF3">
        <w:rPr>
          <w:rFonts w:ascii="Titillium" w:hAnsi="Titillium"/>
          <w:bCs/>
          <w:color w:val="000000"/>
        </w:rPr>
        <w:t>following:-</w:t>
      </w:r>
      <w:proofErr w:type="gramEnd"/>
    </w:p>
    <w:p w14:paraId="06CD292A"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p>
    <w:p w14:paraId="07B0E2D7" w14:textId="77777777" w:rsidR="00503765" w:rsidRPr="00813BF3" w:rsidRDefault="00503765" w:rsidP="00503765">
      <w:pPr>
        <w:autoSpaceDE w:val="0"/>
        <w:autoSpaceDN w:val="0"/>
        <w:adjustRightInd w:val="0"/>
        <w:ind w:left="709" w:hanging="709"/>
        <w:jc w:val="both"/>
        <w:rPr>
          <w:rFonts w:ascii="Titillium" w:hAnsi="Titillium"/>
          <w:color w:val="000000"/>
        </w:rPr>
      </w:pPr>
      <w:r w:rsidRPr="00813BF3">
        <w:rPr>
          <w:rFonts w:ascii="Titillium" w:hAnsi="Titillium"/>
          <w:bCs/>
          <w:color w:val="000000"/>
        </w:rPr>
        <w:t>4.3</w:t>
      </w:r>
      <w:r w:rsidRPr="00813BF3">
        <w:rPr>
          <w:rFonts w:ascii="Titillium" w:hAnsi="Titillium"/>
          <w:bCs/>
          <w:color w:val="000000"/>
        </w:rPr>
        <w:tab/>
        <w:t>The Whistle-blowing Officer (</w:t>
      </w:r>
      <w:r w:rsidRPr="00813BF3">
        <w:rPr>
          <w:rFonts w:ascii="Titillium" w:hAnsi="Titillium"/>
          <w:color w:val="000000"/>
        </w:rPr>
        <w:t xml:space="preserve">University Secretary) who will immediately inform the Principal and Vice Chancellor and the Chairman of the University Court </w:t>
      </w:r>
      <w:proofErr w:type="gramStart"/>
      <w:r w:rsidRPr="00813BF3">
        <w:rPr>
          <w:rFonts w:ascii="Titillium" w:hAnsi="Titillium"/>
          <w:color w:val="000000"/>
        </w:rPr>
        <w:t>unless:-</w:t>
      </w:r>
      <w:proofErr w:type="gramEnd"/>
      <w:r w:rsidRPr="00813BF3">
        <w:rPr>
          <w:rFonts w:ascii="Titillium" w:hAnsi="Titillium"/>
          <w:color w:val="000000"/>
        </w:rPr>
        <w:t xml:space="preserve"> </w:t>
      </w:r>
    </w:p>
    <w:p w14:paraId="27FAF686" w14:textId="77777777" w:rsidR="00503765" w:rsidRPr="00813BF3" w:rsidRDefault="00503765" w:rsidP="00503765">
      <w:pPr>
        <w:autoSpaceDE w:val="0"/>
        <w:autoSpaceDN w:val="0"/>
        <w:adjustRightInd w:val="0"/>
        <w:ind w:left="709" w:hanging="709"/>
        <w:jc w:val="both"/>
        <w:rPr>
          <w:rFonts w:ascii="Titillium" w:hAnsi="Titillium"/>
          <w:color w:val="000000"/>
        </w:rPr>
      </w:pPr>
    </w:p>
    <w:p w14:paraId="61D030CB" w14:textId="77777777" w:rsidR="00503765" w:rsidRPr="00813BF3" w:rsidRDefault="00503765" w:rsidP="00503765">
      <w:pPr>
        <w:pStyle w:val="ListParagraph"/>
        <w:numPr>
          <w:ilvl w:val="0"/>
          <w:numId w:val="22"/>
        </w:numPr>
        <w:autoSpaceDE w:val="0"/>
        <w:autoSpaceDN w:val="0"/>
        <w:adjustRightInd w:val="0"/>
        <w:spacing w:line="276" w:lineRule="auto"/>
        <w:jc w:val="both"/>
        <w:rPr>
          <w:rFonts w:ascii="Titillium" w:hAnsi="Titillium"/>
          <w:color w:val="000000"/>
        </w:rPr>
      </w:pPr>
      <w:r w:rsidRPr="00813BF3">
        <w:rPr>
          <w:rFonts w:ascii="Titillium" w:hAnsi="Titillium"/>
          <w:color w:val="000000"/>
        </w:rPr>
        <w:t xml:space="preserve">requested not to do so; or </w:t>
      </w:r>
    </w:p>
    <w:p w14:paraId="0AECCBD8" w14:textId="77777777" w:rsidR="00503765" w:rsidRPr="00813BF3" w:rsidRDefault="00503765" w:rsidP="00503765">
      <w:pPr>
        <w:pStyle w:val="ListParagraph"/>
        <w:numPr>
          <w:ilvl w:val="0"/>
          <w:numId w:val="22"/>
        </w:numPr>
        <w:autoSpaceDE w:val="0"/>
        <w:autoSpaceDN w:val="0"/>
        <w:adjustRightInd w:val="0"/>
        <w:spacing w:line="276" w:lineRule="auto"/>
        <w:jc w:val="both"/>
        <w:rPr>
          <w:rFonts w:ascii="Titillium" w:hAnsi="Titillium"/>
          <w:color w:val="000000"/>
        </w:rPr>
      </w:pPr>
      <w:r w:rsidRPr="00813BF3">
        <w:rPr>
          <w:rFonts w:ascii="Titillium" w:hAnsi="Titillium"/>
          <w:color w:val="000000"/>
        </w:rPr>
        <w:t>if the Chairman of the Court is likely to be involved in any subsequent appeal</w:t>
      </w:r>
    </w:p>
    <w:p w14:paraId="3954C6C1" w14:textId="77777777" w:rsidR="00503765" w:rsidRPr="00813BF3" w:rsidRDefault="00503765" w:rsidP="00503765">
      <w:pPr>
        <w:tabs>
          <w:tab w:val="num" w:pos="1559"/>
        </w:tabs>
        <w:autoSpaceDE w:val="0"/>
        <w:autoSpaceDN w:val="0"/>
        <w:adjustRightInd w:val="0"/>
        <w:ind w:left="709" w:hanging="709"/>
        <w:jc w:val="both"/>
        <w:rPr>
          <w:rFonts w:ascii="Titillium" w:hAnsi="Titillium"/>
          <w:color w:val="000000"/>
        </w:rPr>
      </w:pPr>
    </w:p>
    <w:p w14:paraId="0459B72E" w14:textId="77777777" w:rsidR="00503765" w:rsidRPr="00813BF3" w:rsidRDefault="00503765" w:rsidP="00503765">
      <w:pPr>
        <w:tabs>
          <w:tab w:val="num" w:pos="1559"/>
        </w:tabs>
        <w:autoSpaceDE w:val="0"/>
        <w:autoSpaceDN w:val="0"/>
        <w:adjustRightInd w:val="0"/>
        <w:ind w:left="709" w:hanging="709"/>
        <w:jc w:val="both"/>
        <w:rPr>
          <w:rFonts w:ascii="Titillium" w:hAnsi="Titillium"/>
          <w:color w:val="000000"/>
        </w:rPr>
      </w:pPr>
      <w:r w:rsidRPr="00813BF3">
        <w:rPr>
          <w:rFonts w:ascii="Titillium" w:hAnsi="Titillium"/>
          <w:color w:val="000000"/>
        </w:rPr>
        <w:t>4.4</w:t>
      </w:r>
      <w:r w:rsidRPr="00813BF3">
        <w:rPr>
          <w:rFonts w:ascii="Titillium" w:hAnsi="Titillium"/>
          <w:color w:val="000000"/>
        </w:rPr>
        <w:tab/>
        <w:t>Where there are concerns about the misuse of public funds, the University Secretary should also inform Scottish Funding Council and the Chairman of the University’s Audit Committee at an early stage.</w:t>
      </w:r>
    </w:p>
    <w:p w14:paraId="00D503C1" w14:textId="77777777" w:rsidR="00503765" w:rsidRPr="00813BF3" w:rsidRDefault="00503765" w:rsidP="00503765">
      <w:pPr>
        <w:tabs>
          <w:tab w:val="num" w:pos="1559"/>
        </w:tabs>
        <w:autoSpaceDE w:val="0"/>
        <w:autoSpaceDN w:val="0"/>
        <w:adjustRightInd w:val="0"/>
        <w:ind w:left="709" w:hanging="709"/>
        <w:jc w:val="both"/>
        <w:rPr>
          <w:rFonts w:ascii="Titillium" w:hAnsi="Titillium"/>
          <w:color w:val="000000"/>
        </w:rPr>
      </w:pPr>
    </w:p>
    <w:p w14:paraId="06FDC4C1" w14:textId="77777777" w:rsidR="00503765" w:rsidRPr="00813BF3" w:rsidRDefault="00503765" w:rsidP="00503765">
      <w:pPr>
        <w:tabs>
          <w:tab w:val="num" w:pos="1559"/>
        </w:tabs>
        <w:autoSpaceDE w:val="0"/>
        <w:autoSpaceDN w:val="0"/>
        <w:adjustRightInd w:val="0"/>
        <w:ind w:left="709" w:hanging="709"/>
        <w:jc w:val="both"/>
        <w:rPr>
          <w:rFonts w:ascii="Titillium" w:hAnsi="Titillium"/>
          <w:b/>
          <w:bCs/>
          <w:color w:val="000000"/>
        </w:rPr>
      </w:pPr>
      <w:r w:rsidRPr="00813BF3">
        <w:rPr>
          <w:rFonts w:ascii="Titillium" w:hAnsi="Titillium"/>
          <w:color w:val="000000"/>
        </w:rPr>
        <w:t>4.5</w:t>
      </w:r>
      <w:r w:rsidRPr="00813BF3">
        <w:rPr>
          <w:rFonts w:ascii="Titillium" w:hAnsi="Titillium"/>
          <w:color w:val="000000"/>
        </w:rPr>
        <w:tab/>
        <w:t xml:space="preserve">If the disclosure is about the University Secretary, the disclosure should be made to the Principal and Vice Chancellor direct. The relevant contact details are outlined at the end of this policy. </w:t>
      </w:r>
      <w:r w:rsidRPr="00813BF3">
        <w:rPr>
          <w:rFonts w:ascii="Titillium" w:hAnsi="Titillium"/>
          <w:b/>
          <w:bCs/>
          <w:color w:val="000000"/>
        </w:rPr>
        <w:t xml:space="preserve"> </w:t>
      </w:r>
    </w:p>
    <w:p w14:paraId="5071D816" w14:textId="77777777" w:rsidR="00503765" w:rsidRPr="00813BF3" w:rsidRDefault="00503765" w:rsidP="00503765">
      <w:pPr>
        <w:tabs>
          <w:tab w:val="num" w:pos="720"/>
        </w:tabs>
        <w:autoSpaceDE w:val="0"/>
        <w:autoSpaceDN w:val="0"/>
        <w:adjustRightInd w:val="0"/>
        <w:ind w:left="709" w:hanging="709"/>
        <w:jc w:val="both"/>
        <w:rPr>
          <w:rFonts w:ascii="Titillium" w:hAnsi="Titillium"/>
          <w:b/>
          <w:bCs/>
          <w:color w:val="000000"/>
        </w:rPr>
      </w:pPr>
    </w:p>
    <w:p w14:paraId="3A7B9D45"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4.6</w:t>
      </w:r>
      <w:r w:rsidRPr="00813BF3">
        <w:rPr>
          <w:rFonts w:ascii="Titillium" w:hAnsi="Titillium"/>
          <w:bCs/>
          <w:color w:val="000000"/>
        </w:rPr>
        <w:tab/>
        <w:t xml:space="preserve">We will arrange a meeting with member of staff as soon as possible to discuss their concern. The member of staff may bring a work colleague or trade union representative to any meetings under this policy. Their work colleague or representative must respect the confidentiality of member of </w:t>
      </w:r>
      <w:proofErr w:type="gramStart"/>
      <w:r w:rsidRPr="00813BF3">
        <w:rPr>
          <w:rFonts w:ascii="Titillium" w:hAnsi="Titillium"/>
          <w:bCs/>
          <w:color w:val="000000"/>
        </w:rPr>
        <w:t>staffs</w:t>
      </w:r>
      <w:proofErr w:type="gramEnd"/>
      <w:r w:rsidRPr="00813BF3">
        <w:rPr>
          <w:rFonts w:ascii="Titillium" w:hAnsi="Titillium"/>
          <w:bCs/>
          <w:color w:val="000000"/>
        </w:rPr>
        <w:t xml:space="preserve"> disclosure and any subsequent investigation. </w:t>
      </w:r>
    </w:p>
    <w:p w14:paraId="334D36FC" w14:textId="77777777" w:rsidR="00503765" w:rsidRPr="00813BF3" w:rsidRDefault="00503765" w:rsidP="00503765">
      <w:pPr>
        <w:tabs>
          <w:tab w:val="num" w:pos="720"/>
        </w:tabs>
        <w:autoSpaceDE w:val="0"/>
        <w:autoSpaceDN w:val="0"/>
        <w:adjustRightInd w:val="0"/>
        <w:ind w:left="709" w:hanging="709"/>
        <w:jc w:val="both"/>
        <w:rPr>
          <w:rFonts w:ascii="Titillium" w:hAnsi="Titillium"/>
          <w:b/>
          <w:bCs/>
          <w:color w:val="000000"/>
        </w:rPr>
      </w:pPr>
    </w:p>
    <w:p w14:paraId="34432FFF"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4.7</w:t>
      </w:r>
      <w:r w:rsidRPr="00813BF3">
        <w:rPr>
          <w:rFonts w:ascii="Titillium" w:hAnsi="Titillium"/>
          <w:bCs/>
          <w:color w:val="000000"/>
        </w:rPr>
        <w:tab/>
        <w:t>We will take down a written summary of member of staff’s concern and provide them with a copy after the meeting. We will also aim to give member of staff an indication of how we propose to deal with the matter.</w:t>
      </w:r>
    </w:p>
    <w:p w14:paraId="474E36BD" w14:textId="77777777" w:rsidR="00503765" w:rsidRPr="00813BF3" w:rsidRDefault="00503765" w:rsidP="000C7A9C">
      <w:pPr>
        <w:tabs>
          <w:tab w:val="center" w:pos="4513"/>
        </w:tabs>
        <w:spacing w:after="160" w:line="320" w:lineRule="atLeast"/>
        <w:ind w:right="312"/>
        <w:jc w:val="both"/>
        <w:rPr>
          <w:rFonts w:ascii="Titillium" w:hAnsi="Titillium"/>
          <w:b/>
          <w:color w:val="67B8E7"/>
          <w:sz w:val="32"/>
          <w:szCs w:val="32"/>
        </w:rPr>
      </w:pPr>
    </w:p>
    <w:p w14:paraId="0117875F" w14:textId="2CA8F3AD" w:rsidR="006A5D0E" w:rsidRPr="00813BF3" w:rsidRDefault="006A5D0E" w:rsidP="000C7A9C">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t>5. Confidentiality</w:t>
      </w:r>
    </w:p>
    <w:p w14:paraId="0FFC9A2D"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5.1</w:t>
      </w:r>
      <w:r w:rsidRPr="00813BF3">
        <w:rPr>
          <w:rFonts w:ascii="Titillium" w:hAnsi="Titillium"/>
          <w:bCs/>
          <w:color w:val="000000"/>
        </w:rPr>
        <w:tab/>
        <w:t xml:space="preserve">We hope that staff will feel able to voice whistle-blowing concerns openly under this policy. However, if the member of staff wants to raise their concern confidentially, we will </w:t>
      </w:r>
      <w:r w:rsidRPr="00813BF3">
        <w:rPr>
          <w:rFonts w:ascii="Titillium" w:hAnsi="Titillium"/>
          <w:bCs/>
          <w:color w:val="000000"/>
        </w:rPr>
        <w:lastRenderedPageBreak/>
        <w:t>make every effort to keep their identity secret. If it is necessary for anyone investigating their concern to know their identity, we will discuss this with the member of staff.</w:t>
      </w:r>
    </w:p>
    <w:p w14:paraId="68B37641"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p>
    <w:p w14:paraId="3B9E7CC9" w14:textId="2B7687D0" w:rsidR="00503765" w:rsidRPr="00813BF3" w:rsidRDefault="00503765" w:rsidP="00190273">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5.2</w:t>
      </w:r>
      <w:r w:rsidRPr="00813BF3">
        <w:rPr>
          <w:rFonts w:ascii="Titillium" w:hAnsi="Titillium"/>
          <w:bCs/>
          <w:color w:val="000000"/>
        </w:rPr>
        <w:tab/>
        <w:t xml:space="preserve">We do not encourage staff to make disclosures anonymously. Proper investigation may be more difficult or impossible if we cannot obtain further information from the member of staff. It is also more difficult to establish whether any allegations are credible. Whistle-blowers who are concerned about possible reprisals if their identity is revealed should come forward to the Whistle-blowing Officer [or one of the other contact points listed in paragraph </w:t>
      </w:r>
      <w:r w:rsidRPr="00813BF3">
        <w:rPr>
          <w:rFonts w:ascii="Titillium" w:hAnsi="Titillium"/>
        </w:rPr>
        <w:fldChar w:fldCharType="begin"/>
      </w:r>
      <w:r w:rsidRPr="00813BF3">
        <w:rPr>
          <w:rFonts w:ascii="Titillium" w:hAnsi="Titillium"/>
        </w:rPr>
        <w:instrText xml:space="preserve">REF "a897992" \h \w  \* MERGEFORMAT </w:instrText>
      </w:r>
      <w:r w:rsidRPr="00813BF3">
        <w:rPr>
          <w:rFonts w:ascii="Titillium" w:hAnsi="Titillium"/>
        </w:rPr>
      </w:r>
      <w:r w:rsidRPr="00813BF3">
        <w:rPr>
          <w:rFonts w:ascii="Titillium" w:hAnsi="Titillium"/>
        </w:rPr>
        <w:fldChar w:fldCharType="separate"/>
      </w:r>
      <w:r w:rsidRPr="00813BF3">
        <w:rPr>
          <w:rFonts w:ascii="Titillium" w:hAnsi="Titillium"/>
        </w:rPr>
        <w:t>4</w:t>
      </w:r>
      <w:r w:rsidRPr="00813BF3">
        <w:rPr>
          <w:rFonts w:ascii="Titillium" w:hAnsi="Titillium"/>
        </w:rPr>
        <w:fldChar w:fldCharType="end"/>
      </w:r>
      <w:r w:rsidRPr="00813BF3">
        <w:rPr>
          <w:rFonts w:ascii="Titillium" w:hAnsi="Titillium"/>
          <w:bCs/>
          <w:color w:val="000000"/>
        </w:rPr>
        <w:t xml:space="preserve">] and appropriate measures can then be taken to preserve confidentiality. </w:t>
      </w:r>
    </w:p>
    <w:p w14:paraId="5A968A7E" w14:textId="77777777" w:rsidR="00190273" w:rsidRPr="00813BF3" w:rsidRDefault="00190273" w:rsidP="00190273">
      <w:pPr>
        <w:tabs>
          <w:tab w:val="num" w:pos="720"/>
        </w:tabs>
        <w:autoSpaceDE w:val="0"/>
        <w:autoSpaceDN w:val="0"/>
        <w:adjustRightInd w:val="0"/>
        <w:ind w:left="709" w:hanging="709"/>
        <w:jc w:val="both"/>
        <w:rPr>
          <w:rFonts w:ascii="Titillium" w:hAnsi="Titillium"/>
          <w:bCs/>
          <w:color w:val="000000"/>
        </w:rPr>
      </w:pPr>
    </w:p>
    <w:p w14:paraId="50C360B9" w14:textId="66D1E890" w:rsidR="006A5D0E" w:rsidRPr="00813BF3" w:rsidRDefault="006A5D0E" w:rsidP="000C7A9C">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t>6. External Disclosures</w:t>
      </w:r>
    </w:p>
    <w:p w14:paraId="3D1DF2CD"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6.1</w:t>
      </w:r>
      <w:r w:rsidRPr="00813BF3">
        <w:rPr>
          <w:rFonts w:ascii="Titillium" w:hAnsi="Titillium"/>
          <w:bCs/>
          <w:color w:val="000000"/>
        </w:rPr>
        <w:tab/>
        <w:t xml:space="preserve">The aim of this policy is to provide an internal mechanism for reporting, investigating and remedying possible wrongdoing in the workplace. In most cases member of staff should not find it necessary to alert anyone externally. </w:t>
      </w:r>
    </w:p>
    <w:p w14:paraId="40F889F3"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p>
    <w:p w14:paraId="19D10333"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6.2</w:t>
      </w:r>
      <w:r w:rsidRPr="00813BF3">
        <w:rPr>
          <w:rFonts w:ascii="Titillium" w:hAnsi="Titillium"/>
          <w:bCs/>
          <w:color w:val="000000"/>
        </w:rPr>
        <w:tab/>
        <w:t>The law recognises that in some circumstances it may be appropriate for staff to report their concerns to an external body such as a regulator. It will very rarely if ever be appropriate to alert the media. We strongly encourage staff to seek advice before reporting a concern to anyone external. The independent whistle-blowing charity, Public Concern at Work, operates a confidential helpline. They also have a list of prescribed regulators for reporting certain types of concern. Their contact details are at the end of this policy.</w:t>
      </w:r>
    </w:p>
    <w:p w14:paraId="02747FCB"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p>
    <w:p w14:paraId="4A572E11"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6.3</w:t>
      </w:r>
      <w:r w:rsidRPr="00813BF3">
        <w:rPr>
          <w:rFonts w:ascii="Titillium" w:hAnsi="Titillium"/>
          <w:bCs/>
          <w:color w:val="000000"/>
        </w:rPr>
        <w:tab/>
        <w:t xml:space="preserve">Whistle-blowing concerns usually relate to the conduct of our staff, but they may sometimes relate to the actions of a third party, such as a customer, supplier or service provider. The law allows staff to raise a concern in good faith with a third party, where they reasonably believe it relates mainly to their actions or something that is legally their responsibility. However, we encourage staff to report such concerns internally first. The member of staff should contact their line manager or the University Secretary or one of the other individuals set out in paragraph </w:t>
      </w:r>
      <w:r w:rsidRPr="00813BF3">
        <w:rPr>
          <w:rFonts w:ascii="Titillium" w:hAnsi="Titillium"/>
        </w:rPr>
        <w:fldChar w:fldCharType="begin"/>
      </w:r>
      <w:r w:rsidRPr="00813BF3">
        <w:rPr>
          <w:rFonts w:ascii="Titillium" w:hAnsi="Titillium"/>
        </w:rPr>
        <w:instrText xml:space="preserve">REF "a897992" \h \w  \* MERGEFORMAT </w:instrText>
      </w:r>
      <w:r w:rsidRPr="00813BF3">
        <w:rPr>
          <w:rFonts w:ascii="Titillium" w:hAnsi="Titillium"/>
        </w:rPr>
      </w:r>
      <w:r w:rsidRPr="00813BF3">
        <w:rPr>
          <w:rFonts w:ascii="Titillium" w:hAnsi="Titillium"/>
        </w:rPr>
        <w:fldChar w:fldCharType="separate"/>
      </w:r>
      <w:r w:rsidRPr="00813BF3">
        <w:rPr>
          <w:rFonts w:ascii="Titillium" w:hAnsi="Titillium"/>
        </w:rPr>
        <w:t>4</w:t>
      </w:r>
      <w:r w:rsidRPr="00813BF3">
        <w:rPr>
          <w:rFonts w:ascii="Titillium" w:hAnsi="Titillium"/>
        </w:rPr>
        <w:fldChar w:fldCharType="end"/>
      </w:r>
      <w:r w:rsidRPr="00813BF3">
        <w:rPr>
          <w:rFonts w:ascii="Titillium" w:hAnsi="Titillium"/>
          <w:bCs/>
          <w:color w:val="000000"/>
        </w:rPr>
        <w:t xml:space="preserve"> for guidance.</w:t>
      </w:r>
    </w:p>
    <w:p w14:paraId="07CC2116" w14:textId="77777777" w:rsidR="00503765" w:rsidRPr="00813BF3" w:rsidRDefault="00503765" w:rsidP="000C7A9C">
      <w:pPr>
        <w:tabs>
          <w:tab w:val="center" w:pos="4513"/>
        </w:tabs>
        <w:spacing w:after="160" w:line="320" w:lineRule="atLeast"/>
        <w:ind w:right="312"/>
        <w:jc w:val="both"/>
        <w:rPr>
          <w:rFonts w:ascii="Titillium" w:hAnsi="Titillium"/>
          <w:b/>
          <w:color w:val="67B8E7"/>
          <w:sz w:val="32"/>
          <w:szCs w:val="32"/>
        </w:rPr>
      </w:pPr>
    </w:p>
    <w:p w14:paraId="6260D567" w14:textId="6D5EAC57" w:rsidR="006A5D0E" w:rsidRPr="00813BF3" w:rsidRDefault="006A5D0E" w:rsidP="000C7A9C">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t>7. Investigation and Outcome</w:t>
      </w:r>
    </w:p>
    <w:p w14:paraId="58B89B9A"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7.1</w:t>
      </w:r>
      <w:r w:rsidRPr="00813BF3">
        <w:rPr>
          <w:rFonts w:ascii="Titillium" w:hAnsi="Titillium"/>
          <w:bCs/>
          <w:color w:val="000000"/>
        </w:rPr>
        <w:tab/>
        <w:t xml:space="preserve">Once the member of staff has raised a concern, we will carry out an initial assessment to determine the scope of any investigation. We will inform them of the outcome of our initial assessment. The member of staff may be required to attend additional meetings </w:t>
      </w:r>
      <w:proofErr w:type="gramStart"/>
      <w:r w:rsidRPr="00813BF3">
        <w:rPr>
          <w:rFonts w:ascii="Titillium" w:hAnsi="Titillium"/>
          <w:bCs/>
          <w:color w:val="000000"/>
        </w:rPr>
        <w:t>in order to</w:t>
      </w:r>
      <w:proofErr w:type="gramEnd"/>
      <w:r w:rsidRPr="00813BF3">
        <w:rPr>
          <w:rFonts w:ascii="Titillium" w:hAnsi="Titillium"/>
          <w:bCs/>
          <w:color w:val="000000"/>
        </w:rPr>
        <w:t xml:space="preserve"> provide further information.</w:t>
      </w:r>
    </w:p>
    <w:p w14:paraId="3D36562F"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p>
    <w:p w14:paraId="689530D9"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lastRenderedPageBreak/>
        <w:t>7.2</w:t>
      </w:r>
      <w:r w:rsidRPr="00813BF3">
        <w:rPr>
          <w:rFonts w:ascii="Titillium" w:hAnsi="Titillium"/>
          <w:bCs/>
          <w:color w:val="000000"/>
        </w:rPr>
        <w:tab/>
        <w:t>In some cases we may appoint an investigator or team of investigators including staff with relevant experience of investigations or specialist knowledge of the subject matter. The investigator(s) may make recommendations for change to enable us to minimise the risk of future wrongdoing.</w:t>
      </w:r>
    </w:p>
    <w:p w14:paraId="3E7FE4A0"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p>
    <w:p w14:paraId="4B72A843"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7.3</w:t>
      </w:r>
      <w:r w:rsidRPr="00813BF3">
        <w:rPr>
          <w:rFonts w:ascii="Titillium" w:hAnsi="Titillium"/>
          <w:bCs/>
          <w:color w:val="000000"/>
        </w:rPr>
        <w:tab/>
        <w:t>We will aim to keep the member of staff informed of the progress of the investigation and its likely timescale. However, sometimes the need for confidentiality may prevent us giving the member of staff specific details of the investigation or any disciplinary action taken as a result. The member of staff should treat any information about the investigation as confidential.</w:t>
      </w:r>
    </w:p>
    <w:p w14:paraId="08ADFFE4"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p>
    <w:p w14:paraId="163E705F"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7.4</w:t>
      </w:r>
      <w:r w:rsidRPr="00813BF3">
        <w:rPr>
          <w:rFonts w:ascii="Titillium" w:hAnsi="Titillium"/>
          <w:bCs/>
          <w:color w:val="000000"/>
        </w:rPr>
        <w:tab/>
        <w:t xml:space="preserve">If the University concludes that a whistleblower has made a malicious complaint, then whistleblower may be subject to disciplinary action. </w:t>
      </w:r>
    </w:p>
    <w:p w14:paraId="29501065" w14:textId="77777777" w:rsidR="00503765" w:rsidRPr="00813BF3" w:rsidRDefault="00503765" w:rsidP="000C7A9C">
      <w:pPr>
        <w:tabs>
          <w:tab w:val="center" w:pos="4513"/>
        </w:tabs>
        <w:spacing w:after="160" w:line="320" w:lineRule="atLeast"/>
        <w:ind w:right="312"/>
        <w:jc w:val="both"/>
        <w:rPr>
          <w:rFonts w:ascii="Titillium" w:hAnsi="Titillium"/>
          <w:b/>
          <w:color w:val="67B8E7"/>
          <w:sz w:val="32"/>
          <w:szCs w:val="32"/>
        </w:rPr>
      </w:pPr>
    </w:p>
    <w:p w14:paraId="175C8AA3" w14:textId="50ACCC56" w:rsidR="006A5D0E" w:rsidRPr="00813BF3" w:rsidRDefault="006A5D0E" w:rsidP="000C7A9C">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t>8. If a Member of Staff is Not Satisfied</w:t>
      </w:r>
    </w:p>
    <w:p w14:paraId="30F104B3"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8.1</w:t>
      </w:r>
      <w:r w:rsidRPr="00813BF3">
        <w:rPr>
          <w:rFonts w:ascii="Titillium" w:hAnsi="Titillium"/>
          <w:bCs/>
          <w:color w:val="000000"/>
        </w:rPr>
        <w:tab/>
        <w:t xml:space="preserve">While we cannot always guarantee the outcome the member of staff is </w:t>
      </w:r>
      <w:proofErr w:type="gramStart"/>
      <w:r w:rsidRPr="00813BF3">
        <w:rPr>
          <w:rFonts w:ascii="Titillium" w:hAnsi="Titillium"/>
          <w:bCs/>
          <w:color w:val="000000"/>
        </w:rPr>
        <w:t>seeking,</w:t>
      </w:r>
      <w:proofErr w:type="gramEnd"/>
      <w:r w:rsidRPr="00813BF3">
        <w:rPr>
          <w:rFonts w:ascii="Titillium" w:hAnsi="Titillium"/>
          <w:bCs/>
          <w:color w:val="000000"/>
        </w:rPr>
        <w:t xml:space="preserve"> we will try to deal with their concern fairly and in an appropriate way. By using this policy staff can help us to achieve this.</w:t>
      </w:r>
    </w:p>
    <w:p w14:paraId="294E13AE"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p>
    <w:p w14:paraId="3355CD15"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8.2</w:t>
      </w:r>
      <w:r w:rsidRPr="00813BF3">
        <w:rPr>
          <w:rFonts w:ascii="Titillium" w:hAnsi="Titillium"/>
          <w:bCs/>
          <w:color w:val="000000"/>
        </w:rPr>
        <w:tab/>
        <w:t xml:space="preserve">If they are not happy with the way in which their concern has been handled, the member of staff can raise it with one of the other key contacts, detailed at the end of the policy. </w:t>
      </w:r>
    </w:p>
    <w:p w14:paraId="535EE6F4" w14:textId="77777777" w:rsidR="00503765" w:rsidRPr="00813BF3" w:rsidRDefault="00503765" w:rsidP="000C7A9C">
      <w:pPr>
        <w:tabs>
          <w:tab w:val="center" w:pos="4513"/>
        </w:tabs>
        <w:spacing w:after="160" w:line="320" w:lineRule="atLeast"/>
        <w:ind w:right="312"/>
        <w:jc w:val="both"/>
        <w:rPr>
          <w:rFonts w:ascii="Titillium" w:hAnsi="Titillium"/>
          <w:b/>
          <w:color w:val="67B8E7"/>
          <w:sz w:val="32"/>
          <w:szCs w:val="32"/>
        </w:rPr>
      </w:pPr>
    </w:p>
    <w:p w14:paraId="62417D80" w14:textId="4C4BF88D" w:rsidR="006A5D0E" w:rsidRPr="00813BF3" w:rsidRDefault="006A5D0E" w:rsidP="000C7A9C">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t>9. Protection and Support for Whistle-Blowers</w:t>
      </w:r>
    </w:p>
    <w:p w14:paraId="1D3890CC"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9.1</w:t>
      </w:r>
      <w:r w:rsidRPr="00813BF3">
        <w:rPr>
          <w:rFonts w:ascii="Titillium" w:hAnsi="Titillium"/>
          <w:bCs/>
          <w:color w:val="000000"/>
        </w:rPr>
        <w:tab/>
        <w:t>It is understandable that whistleblowers are sometimes worried about possible repercussions or victimisation. We aim to encourage openness and will support staff who raise concerns in good faith under this policy, even if they turn out to be mistaken.</w:t>
      </w:r>
    </w:p>
    <w:p w14:paraId="1E17B642" w14:textId="77777777" w:rsidR="00503765" w:rsidRPr="00813BF3" w:rsidRDefault="00503765" w:rsidP="00503765">
      <w:pPr>
        <w:tabs>
          <w:tab w:val="num" w:pos="720"/>
        </w:tabs>
        <w:autoSpaceDE w:val="0"/>
        <w:autoSpaceDN w:val="0"/>
        <w:adjustRightInd w:val="0"/>
        <w:ind w:left="709" w:hanging="709"/>
        <w:jc w:val="both"/>
        <w:rPr>
          <w:rFonts w:ascii="Titillium" w:hAnsi="Titillium"/>
          <w:b/>
          <w:bCs/>
          <w:color w:val="000000"/>
        </w:rPr>
      </w:pPr>
    </w:p>
    <w:p w14:paraId="0EB7B4C8"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9.2</w:t>
      </w:r>
      <w:r w:rsidRPr="00813BF3">
        <w:rPr>
          <w:rFonts w:ascii="Titillium" w:hAnsi="Titillium"/>
          <w:bCs/>
          <w:color w:val="000000"/>
        </w:rPr>
        <w:tab/>
        <w:t xml:space="preserve">Staff must not suffer any detrimental treatment </w:t>
      </w:r>
      <w:proofErr w:type="gramStart"/>
      <w:r w:rsidRPr="00813BF3">
        <w:rPr>
          <w:rFonts w:ascii="Titillium" w:hAnsi="Titillium"/>
          <w:bCs/>
          <w:color w:val="000000"/>
        </w:rPr>
        <w:t>as a result of</w:t>
      </w:r>
      <w:proofErr w:type="gramEnd"/>
      <w:r w:rsidRPr="00813BF3">
        <w:rPr>
          <w:rFonts w:ascii="Titillium" w:hAnsi="Titillium"/>
          <w:bCs/>
          <w:color w:val="000000"/>
        </w:rPr>
        <w:t xml:space="preserve"> raising a concern in good faith. Victimisation is any detrimental treatment includes dismissal, disciplinary action, threats, cold shouldering, exclusion or any other unfavourable treatment connected with raising a concern. If the member of staff believes that they have suffered any such treatment, they should inform the Whistle-blowing Officer immediately. If the matter is not remedied, the University will carry out a disciplinary investigation. </w:t>
      </w:r>
    </w:p>
    <w:p w14:paraId="389F15FA" w14:textId="77777777" w:rsidR="00503765" w:rsidRPr="00813BF3" w:rsidRDefault="00503765" w:rsidP="00503765">
      <w:pPr>
        <w:tabs>
          <w:tab w:val="num" w:pos="720"/>
        </w:tabs>
        <w:autoSpaceDE w:val="0"/>
        <w:autoSpaceDN w:val="0"/>
        <w:adjustRightInd w:val="0"/>
        <w:ind w:left="709" w:hanging="709"/>
        <w:jc w:val="both"/>
        <w:rPr>
          <w:rFonts w:ascii="Titillium" w:hAnsi="Titillium"/>
          <w:b/>
          <w:bCs/>
          <w:color w:val="000000"/>
        </w:rPr>
      </w:pPr>
    </w:p>
    <w:p w14:paraId="4A1AEFF0"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lastRenderedPageBreak/>
        <w:t>9.3</w:t>
      </w:r>
      <w:r w:rsidRPr="00813BF3">
        <w:rPr>
          <w:rFonts w:ascii="Titillium" w:hAnsi="Titillium"/>
          <w:bCs/>
          <w:color w:val="000000"/>
        </w:rPr>
        <w:tab/>
        <w:t xml:space="preserve">Staff must not threaten, retaliate or treat whistleblowers any differently because of their disclosure in any way. Anyone involved in such conduct will be subject to disciplinary action. </w:t>
      </w:r>
    </w:p>
    <w:p w14:paraId="0673950B"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p>
    <w:p w14:paraId="1B298C15" w14:textId="77777777" w:rsidR="00503765" w:rsidRPr="00813BF3" w:rsidRDefault="00503765" w:rsidP="00503765">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9.4</w:t>
      </w:r>
      <w:r w:rsidRPr="00813BF3">
        <w:rPr>
          <w:rFonts w:ascii="Titillium" w:hAnsi="Titillium"/>
          <w:bCs/>
          <w:color w:val="000000"/>
        </w:rPr>
        <w:tab/>
        <w:t>Carefirst, the University’s confidential support and counselling hotline, is available to all staff. Their contact details are set out at the end of this policy.</w:t>
      </w:r>
    </w:p>
    <w:p w14:paraId="0084F101" w14:textId="77777777" w:rsidR="00503765" w:rsidRPr="00813BF3" w:rsidRDefault="00503765" w:rsidP="000C7A9C">
      <w:pPr>
        <w:tabs>
          <w:tab w:val="center" w:pos="4513"/>
        </w:tabs>
        <w:spacing w:after="160" w:line="320" w:lineRule="atLeast"/>
        <w:ind w:right="312"/>
        <w:jc w:val="both"/>
        <w:rPr>
          <w:rFonts w:ascii="Titillium" w:hAnsi="Titillium"/>
          <w:b/>
          <w:color w:val="67B8E7"/>
          <w:sz w:val="32"/>
          <w:szCs w:val="32"/>
        </w:rPr>
      </w:pPr>
    </w:p>
    <w:p w14:paraId="0786BD11" w14:textId="58139B2F" w:rsidR="006A5D0E" w:rsidRPr="00813BF3" w:rsidRDefault="006A5D0E" w:rsidP="000C7A9C">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t>10. Reporting Of Outcomes</w:t>
      </w:r>
    </w:p>
    <w:p w14:paraId="289B28A8" w14:textId="77777777" w:rsidR="001F5002" w:rsidRPr="00813BF3" w:rsidRDefault="001F5002" w:rsidP="001F5002">
      <w:pPr>
        <w:autoSpaceDE w:val="0"/>
        <w:autoSpaceDN w:val="0"/>
        <w:adjustRightInd w:val="0"/>
        <w:ind w:left="709" w:hanging="709"/>
        <w:jc w:val="both"/>
        <w:rPr>
          <w:rFonts w:ascii="Titillium" w:hAnsi="Titillium"/>
          <w:color w:val="000000"/>
        </w:rPr>
      </w:pPr>
      <w:r w:rsidRPr="00813BF3">
        <w:rPr>
          <w:rFonts w:ascii="Titillium" w:hAnsi="Titillium"/>
          <w:color w:val="000000"/>
        </w:rPr>
        <w:t>10.1</w:t>
      </w:r>
      <w:r w:rsidRPr="00813BF3">
        <w:rPr>
          <w:rFonts w:ascii="Titillium" w:hAnsi="Titillium"/>
          <w:color w:val="000000"/>
        </w:rPr>
        <w:tab/>
        <w:t xml:space="preserve">A report of all disclosures and any subsequent actions taken will be made by the University Secretary who will retain such reports for a specified </w:t>
      </w:r>
      <w:proofErr w:type="gramStart"/>
      <w:r w:rsidRPr="00813BF3">
        <w:rPr>
          <w:rFonts w:ascii="Titillium" w:hAnsi="Titillium"/>
          <w:color w:val="000000"/>
        </w:rPr>
        <w:t>period of time</w:t>
      </w:r>
      <w:proofErr w:type="gramEnd"/>
      <w:r w:rsidRPr="00813BF3">
        <w:rPr>
          <w:rFonts w:ascii="Titillium" w:hAnsi="Titillium"/>
          <w:color w:val="000000"/>
        </w:rPr>
        <w:t xml:space="preserve"> (e.g. three years). In all cases a report of the outcomes of any investigation will be made to the Audit Committee in detail where the issues fall within its purview, and in summary in other cases, as means of allowing the Committee to monitor the effectiveness of the procedure. In cases involving the misuse of public funds, the outcome will be reported to Scottish Funding Council. </w:t>
      </w:r>
    </w:p>
    <w:p w14:paraId="01A9ABAC" w14:textId="77777777" w:rsidR="001F5002" w:rsidRPr="00813BF3" w:rsidRDefault="001F5002" w:rsidP="000C7A9C">
      <w:pPr>
        <w:tabs>
          <w:tab w:val="center" w:pos="4513"/>
        </w:tabs>
        <w:spacing w:after="160" w:line="320" w:lineRule="atLeast"/>
        <w:ind w:right="312"/>
        <w:jc w:val="both"/>
        <w:rPr>
          <w:rFonts w:ascii="Titillium" w:hAnsi="Titillium"/>
          <w:b/>
          <w:color w:val="67B8E7"/>
          <w:sz w:val="32"/>
          <w:szCs w:val="32"/>
        </w:rPr>
      </w:pPr>
    </w:p>
    <w:p w14:paraId="52CB6229" w14:textId="5F81B308" w:rsidR="001F5002" w:rsidRPr="00813BF3" w:rsidRDefault="006A5D0E" w:rsidP="000C7A9C">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t>11. Responsibility for the Success of This Policy</w:t>
      </w:r>
    </w:p>
    <w:p w14:paraId="3F2459D8" w14:textId="77777777" w:rsidR="001F5002" w:rsidRPr="00813BF3" w:rsidRDefault="001F5002" w:rsidP="001F5002">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11.1</w:t>
      </w:r>
      <w:r w:rsidRPr="00813BF3">
        <w:rPr>
          <w:rFonts w:ascii="Titillium" w:hAnsi="Titillium"/>
          <w:bCs/>
          <w:color w:val="000000"/>
        </w:rPr>
        <w:tab/>
        <w:t>The University Court has overall responsibility for this policy, and for reviewing the effectiveness of actions taken in response to concerns raised under this policy.</w:t>
      </w:r>
    </w:p>
    <w:p w14:paraId="709785F6" w14:textId="77777777" w:rsidR="001F5002" w:rsidRPr="00813BF3" w:rsidRDefault="001F5002" w:rsidP="001F5002">
      <w:pPr>
        <w:tabs>
          <w:tab w:val="num" w:pos="720"/>
        </w:tabs>
        <w:autoSpaceDE w:val="0"/>
        <w:autoSpaceDN w:val="0"/>
        <w:adjustRightInd w:val="0"/>
        <w:ind w:left="709" w:hanging="709"/>
        <w:jc w:val="both"/>
        <w:rPr>
          <w:rFonts w:ascii="Titillium" w:hAnsi="Titillium"/>
          <w:b/>
          <w:bCs/>
          <w:color w:val="000000"/>
        </w:rPr>
      </w:pPr>
    </w:p>
    <w:p w14:paraId="7FFB2E0B" w14:textId="77777777" w:rsidR="001F5002" w:rsidRPr="00813BF3" w:rsidRDefault="001F5002" w:rsidP="001F5002">
      <w:pPr>
        <w:tabs>
          <w:tab w:val="num" w:pos="720"/>
        </w:tabs>
        <w:autoSpaceDE w:val="0"/>
        <w:autoSpaceDN w:val="0"/>
        <w:adjustRightInd w:val="0"/>
        <w:ind w:left="709" w:hanging="709"/>
        <w:jc w:val="both"/>
        <w:rPr>
          <w:rFonts w:ascii="Titillium" w:hAnsi="Titillium"/>
          <w:bCs/>
          <w:color w:val="000000"/>
        </w:rPr>
      </w:pPr>
      <w:r w:rsidRPr="00813BF3">
        <w:rPr>
          <w:rFonts w:ascii="Titillium" w:hAnsi="Titillium"/>
          <w:bCs/>
          <w:color w:val="000000"/>
        </w:rPr>
        <w:t>11.2</w:t>
      </w:r>
      <w:r w:rsidRPr="00813BF3">
        <w:rPr>
          <w:rFonts w:ascii="Titillium" w:hAnsi="Titillium"/>
          <w:bCs/>
          <w:color w:val="000000"/>
        </w:rPr>
        <w:tab/>
        <w:t xml:space="preserve">The Whistle-blowing Officer has day-to-day operational responsibility for this </w:t>
      </w:r>
      <w:proofErr w:type="gramStart"/>
      <w:r w:rsidRPr="00813BF3">
        <w:rPr>
          <w:rFonts w:ascii="Titillium" w:hAnsi="Titillium"/>
          <w:bCs/>
          <w:color w:val="000000"/>
        </w:rPr>
        <w:t>policy, and</w:t>
      </w:r>
      <w:proofErr w:type="gramEnd"/>
      <w:r w:rsidRPr="00813BF3">
        <w:rPr>
          <w:rFonts w:ascii="Titillium" w:hAnsi="Titillium"/>
          <w:bCs/>
          <w:color w:val="000000"/>
        </w:rPr>
        <w:t xml:space="preserve"> must ensure that all managers and other staff who may deal with concerns or investigations under this policy receive regular and appropriate training. </w:t>
      </w:r>
    </w:p>
    <w:p w14:paraId="6222499D" w14:textId="77777777" w:rsidR="001F5002" w:rsidRPr="00813BF3" w:rsidRDefault="001F5002" w:rsidP="001F5002">
      <w:pPr>
        <w:tabs>
          <w:tab w:val="num" w:pos="720"/>
        </w:tabs>
        <w:autoSpaceDE w:val="0"/>
        <w:autoSpaceDN w:val="0"/>
        <w:adjustRightInd w:val="0"/>
        <w:ind w:left="709" w:hanging="709"/>
        <w:jc w:val="both"/>
        <w:rPr>
          <w:rFonts w:ascii="Titillium" w:hAnsi="Titillium"/>
          <w:b/>
          <w:bCs/>
          <w:color w:val="000000"/>
        </w:rPr>
      </w:pPr>
    </w:p>
    <w:p w14:paraId="586F0259" w14:textId="77777777" w:rsidR="001F5002" w:rsidRPr="00813BF3" w:rsidRDefault="001F5002" w:rsidP="001F5002">
      <w:pPr>
        <w:tabs>
          <w:tab w:val="num" w:pos="720"/>
        </w:tabs>
        <w:autoSpaceDE w:val="0"/>
        <w:autoSpaceDN w:val="0"/>
        <w:adjustRightInd w:val="0"/>
        <w:ind w:left="709" w:hanging="709"/>
        <w:jc w:val="both"/>
        <w:rPr>
          <w:rFonts w:ascii="Titillium" w:hAnsi="Titillium"/>
          <w:b/>
          <w:bCs/>
          <w:color w:val="000000"/>
        </w:rPr>
      </w:pPr>
      <w:r w:rsidRPr="00813BF3">
        <w:rPr>
          <w:rFonts w:ascii="Titillium" w:hAnsi="Titillium"/>
          <w:bCs/>
          <w:color w:val="000000"/>
        </w:rPr>
        <w:t>11.3.</w:t>
      </w:r>
      <w:r w:rsidRPr="00813BF3">
        <w:rPr>
          <w:rFonts w:ascii="Titillium" w:hAnsi="Titillium"/>
          <w:bCs/>
          <w:color w:val="000000"/>
        </w:rPr>
        <w:tab/>
        <w:t>All staff are responsible for the success of this policy and should ensure that they use it to disclose any suspected danger or wrongdoing.</w:t>
      </w:r>
      <w:r w:rsidRPr="00813BF3">
        <w:rPr>
          <w:rFonts w:ascii="Titillium" w:hAnsi="Titillium"/>
          <w:b/>
          <w:bCs/>
          <w:color w:val="000000"/>
        </w:rPr>
        <w:t xml:space="preserve"> </w:t>
      </w:r>
    </w:p>
    <w:p w14:paraId="09EA3396" w14:textId="77777777" w:rsidR="001F5002" w:rsidRPr="00813BF3" w:rsidRDefault="001F5002" w:rsidP="000C7A9C">
      <w:pPr>
        <w:tabs>
          <w:tab w:val="center" w:pos="4513"/>
        </w:tabs>
        <w:spacing w:after="160" w:line="320" w:lineRule="atLeast"/>
        <w:ind w:right="312"/>
        <w:jc w:val="both"/>
        <w:rPr>
          <w:rFonts w:ascii="Titillium" w:hAnsi="Titillium"/>
          <w:b/>
          <w:color w:val="67B8E7"/>
          <w:sz w:val="32"/>
          <w:szCs w:val="32"/>
        </w:rPr>
      </w:pPr>
    </w:p>
    <w:p w14:paraId="699004A3" w14:textId="47373282" w:rsidR="006A5D0E" w:rsidRPr="00813BF3" w:rsidRDefault="006A5D0E" w:rsidP="000C7A9C">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t>Useful Policy:</w:t>
      </w:r>
    </w:p>
    <w:p w14:paraId="1CE123C3" w14:textId="77777777" w:rsidR="001F5002" w:rsidRPr="00813BF3" w:rsidRDefault="001F5002" w:rsidP="001F5002">
      <w:pPr>
        <w:pStyle w:val="ListParagraph"/>
        <w:numPr>
          <w:ilvl w:val="0"/>
          <w:numId w:val="23"/>
        </w:numPr>
        <w:jc w:val="both"/>
        <w:rPr>
          <w:rFonts w:ascii="Titillium" w:hAnsi="Titillium"/>
        </w:rPr>
      </w:pPr>
      <w:r w:rsidRPr="00813BF3">
        <w:rPr>
          <w:rFonts w:ascii="Titillium" w:hAnsi="Titillium"/>
          <w:bCs/>
          <w:color w:val="000000"/>
        </w:rPr>
        <w:t>Grievance Policy &amp; Procedure</w:t>
      </w:r>
    </w:p>
    <w:p w14:paraId="19F8440B" w14:textId="77777777" w:rsidR="006A5D0E" w:rsidRPr="00813BF3" w:rsidRDefault="006A5D0E" w:rsidP="000C7A9C">
      <w:pPr>
        <w:tabs>
          <w:tab w:val="center" w:pos="4513"/>
        </w:tabs>
        <w:spacing w:after="160" w:line="320" w:lineRule="atLeast"/>
        <w:ind w:right="312"/>
        <w:jc w:val="both"/>
        <w:rPr>
          <w:rFonts w:ascii="Titillium" w:hAnsi="Titillium"/>
          <w:b/>
          <w:color w:val="67B8E7"/>
          <w:sz w:val="32"/>
          <w:szCs w:val="32"/>
        </w:rPr>
      </w:pPr>
    </w:p>
    <w:p w14:paraId="67648BFA" w14:textId="77777777" w:rsidR="00190273" w:rsidRPr="00813BF3" w:rsidRDefault="00190273" w:rsidP="006A5D0E">
      <w:pPr>
        <w:tabs>
          <w:tab w:val="center" w:pos="4513"/>
        </w:tabs>
        <w:spacing w:after="160" w:line="320" w:lineRule="atLeast"/>
        <w:ind w:right="312"/>
        <w:jc w:val="both"/>
        <w:rPr>
          <w:rFonts w:ascii="Titillium" w:hAnsi="Titillium"/>
          <w:b/>
          <w:color w:val="67B8E7"/>
          <w:sz w:val="32"/>
          <w:szCs w:val="32"/>
        </w:rPr>
      </w:pPr>
    </w:p>
    <w:p w14:paraId="1746D9BC" w14:textId="77777777" w:rsidR="00190273" w:rsidRPr="00813BF3" w:rsidRDefault="00190273" w:rsidP="006A5D0E">
      <w:pPr>
        <w:tabs>
          <w:tab w:val="center" w:pos="4513"/>
        </w:tabs>
        <w:spacing w:after="160" w:line="320" w:lineRule="atLeast"/>
        <w:ind w:right="312"/>
        <w:jc w:val="both"/>
        <w:rPr>
          <w:rFonts w:ascii="Titillium" w:hAnsi="Titillium"/>
          <w:b/>
          <w:color w:val="67B8E7"/>
          <w:sz w:val="32"/>
          <w:szCs w:val="32"/>
        </w:rPr>
      </w:pPr>
    </w:p>
    <w:p w14:paraId="072953A3" w14:textId="77777777" w:rsidR="00190273" w:rsidRPr="00813BF3" w:rsidRDefault="00190273" w:rsidP="006A5D0E">
      <w:pPr>
        <w:tabs>
          <w:tab w:val="center" w:pos="4513"/>
        </w:tabs>
        <w:spacing w:after="160" w:line="320" w:lineRule="atLeast"/>
        <w:ind w:right="312"/>
        <w:jc w:val="both"/>
        <w:rPr>
          <w:rFonts w:ascii="Titillium" w:hAnsi="Titillium"/>
          <w:b/>
          <w:color w:val="67B8E7"/>
          <w:sz w:val="32"/>
          <w:szCs w:val="32"/>
        </w:rPr>
      </w:pPr>
    </w:p>
    <w:p w14:paraId="497CE9C2" w14:textId="141BBCDE" w:rsidR="000C7A9C" w:rsidRPr="00813BF3" w:rsidRDefault="005704EE" w:rsidP="006A5D0E">
      <w:pPr>
        <w:tabs>
          <w:tab w:val="center" w:pos="4513"/>
        </w:tabs>
        <w:spacing w:after="160" w:line="320" w:lineRule="atLeast"/>
        <w:ind w:right="312"/>
        <w:jc w:val="both"/>
        <w:rPr>
          <w:rFonts w:ascii="Titillium" w:hAnsi="Titillium"/>
          <w:b/>
          <w:color w:val="67B8E7"/>
          <w:sz w:val="32"/>
          <w:szCs w:val="32"/>
        </w:rPr>
      </w:pPr>
      <w:r w:rsidRPr="00813BF3">
        <w:rPr>
          <w:rFonts w:ascii="Titillium" w:hAnsi="Titillium"/>
          <w:b/>
          <w:color w:val="67B8E7"/>
          <w:sz w:val="32"/>
          <w:szCs w:val="32"/>
        </w:rPr>
        <w:t xml:space="preserve">Appendix 1 - </w:t>
      </w:r>
      <w:r w:rsidR="006A5D0E" w:rsidRPr="00813BF3">
        <w:rPr>
          <w:rFonts w:ascii="Titillium" w:hAnsi="Titillium"/>
          <w:b/>
          <w:color w:val="67B8E7"/>
          <w:sz w:val="32"/>
          <w:szCs w:val="32"/>
        </w:rPr>
        <w:t>Key Contacts</w:t>
      </w:r>
    </w:p>
    <w:p w14:paraId="36793C94" w14:textId="77777777" w:rsidR="005704EE" w:rsidRPr="00813BF3" w:rsidRDefault="005704EE" w:rsidP="006A5D0E">
      <w:pPr>
        <w:tabs>
          <w:tab w:val="center" w:pos="4513"/>
        </w:tabs>
        <w:spacing w:after="160" w:line="320" w:lineRule="atLeast"/>
        <w:ind w:right="312"/>
        <w:jc w:val="both"/>
        <w:rPr>
          <w:rFonts w:ascii="Titillium" w:hAnsi="Titillium"/>
          <w:b/>
          <w:color w:val="67B8E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5704EE" w:rsidRPr="00813BF3" w14:paraId="691B8AEB" w14:textId="77777777" w:rsidTr="0038758F">
        <w:tc>
          <w:tcPr>
            <w:tcW w:w="4154" w:type="dxa"/>
          </w:tcPr>
          <w:p w14:paraId="375ED7D1" w14:textId="77777777" w:rsidR="005704EE" w:rsidRPr="00813BF3" w:rsidRDefault="005704EE" w:rsidP="0038758F">
            <w:pPr>
              <w:autoSpaceDE w:val="0"/>
              <w:autoSpaceDN w:val="0"/>
              <w:adjustRightInd w:val="0"/>
              <w:ind w:left="709" w:hanging="709"/>
              <w:rPr>
                <w:rFonts w:ascii="Titillium" w:hAnsi="Titillium"/>
                <w:b/>
                <w:bCs/>
                <w:color w:val="000000"/>
              </w:rPr>
            </w:pPr>
            <w:r w:rsidRPr="00813BF3">
              <w:rPr>
                <w:rFonts w:ascii="Titillium" w:hAnsi="Titillium"/>
                <w:b/>
                <w:bCs/>
                <w:color w:val="000000"/>
              </w:rPr>
              <w:t>Whistle-blowing Officer -</w:t>
            </w:r>
          </w:p>
          <w:p w14:paraId="4C8A4724" w14:textId="77777777" w:rsidR="005704EE" w:rsidRPr="00813BF3" w:rsidRDefault="005704EE" w:rsidP="0038758F">
            <w:pPr>
              <w:autoSpaceDE w:val="0"/>
              <w:autoSpaceDN w:val="0"/>
              <w:adjustRightInd w:val="0"/>
              <w:ind w:left="709" w:hanging="709"/>
              <w:rPr>
                <w:rFonts w:ascii="Titillium" w:hAnsi="Titillium"/>
                <w:b/>
                <w:bCs/>
                <w:color w:val="000000"/>
              </w:rPr>
            </w:pPr>
            <w:r w:rsidRPr="00813BF3">
              <w:rPr>
                <w:rFonts w:ascii="Titillium" w:hAnsi="Titillium"/>
                <w:b/>
                <w:bCs/>
                <w:color w:val="000000"/>
              </w:rPr>
              <w:t>University Secretary</w:t>
            </w:r>
          </w:p>
        </w:tc>
        <w:tc>
          <w:tcPr>
            <w:tcW w:w="4154" w:type="dxa"/>
          </w:tcPr>
          <w:p w14:paraId="6FD7FE3A" w14:textId="77777777" w:rsidR="005704EE" w:rsidRPr="00813BF3" w:rsidRDefault="005704EE" w:rsidP="0038758F">
            <w:pPr>
              <w:autoSpaceDE w:val="0"/>
              <w:autoSpaceDN w:val="0"/>
              <w:adjustRightInd w:val="0"/>
              <w:ind w:left="709" w:hanging="709"/>
              <w:rPr>
                <w:rFonts w:ascii="Titillium" w:hAnsi="Titillium"/>
                <w:b/>
                <w:bCs/>
                <w:color w:val="000000"/>
              </w:rPr>
            </w:pPr>
            <w:r w:rsidRPr="00813BF3">
              <w:rPr>
                <w:rFonts w:ascii="Titillium" w:hAnsi="Titillium"/>
                <w:b/>
                <w:bCs/>
                <w:color w:val="000000"/>
              </w:rPr>
              <w:t>David Cloy</w:t>
            </w:r>
          </w:p>
          <w:p w14:paraId="4C40E238" w14:textId="77777777" w:rsidR="005704EE" w:rsidRPr="00813BF3" w:rsidRDefault="005704EE" w:rsidP="0038758F">
            <w:pPr>
              <w:autoSpaceDE w:val="0"/>
              <w:autoSpaceDN w:val="0"/>
              <w:adjustRightInd w:val="0"/>
              <w:ind w:left="709" w:hanging="709"/>
              <w:rPr>
                <w:rFonts w:ascii="Titillium" w:hAnsi="Titillium"/>
                <w:bCs/>
                <w:color w:val="000000"/>
              </w:rPr>
            </w:pPr>
            <w:r w:rsidRPr="00813BF3">
              <w:rPr>
                <w:rFonts w:ascii="Titillium" w:hAnsi="Titillium"/>
                <w:bCs/>
                <w:color w:val="000000"/>
              </w:rPr>
              <w:t>Telephone - 0131 455 6471</w:t>
            </w:r>
          </w:p>
          <w:p w14:paraId="70334E97" w14:textId="77777777" w:rsidR="005704EE" w:rsidRPr="00813BF3" w:rsidRDefault="005704EE" w:rsidP="0038758F">
            <w:pPr>
              <w:autoSpaceDE w:val="0"/>
              <w:autoSpaceDN w:val="0"/>
              <w:adjustRightInd w:val="0"/>
              <w:ind w:left="709" w:hanging="709"/>
              <w:rPr>
                <w:rFonts w:ascii="Titillium" w:hAnsi="Titillium"/>
                <w:bCs/>
                <w:color w:val="000000"/>
              </w:rPr>
            </w:pPr>
            <w:r w:rsidRPr="00813BF3">
              <w:rPr>
                <w:rFonts w:ascii="Titillium" w:hAnsi="Titillium"/>
                <w:bCs/>
                <w:color w:val="000000"/>
              </w:rPr>
              <w:t xml:space="preserve">Email – </w:t>
            </w:r>
            <w:hyperlink r:id="rId12" w:history="1">
              <w:r w:rsidRPr="00813BF3">
                <w:rPr>
                  <w:rStyle w:val="Hyperlink"/>
                  <w:rFonts w:ascii="Titillium" w:hAnsi="Titillium"/>
                  <w:bCs/>
                </w:rPr>
                <w:t>d.cloy@napier.ac.uk</w:t>
              </w:r>
            </w:hyperlink>
          </w:p>
          <w:p w14:paraId="7B5AE54C" w14:textId="77777777" w:rsidR="005704EE" w:rsidRPr="00813BF3" w:rsidRDefault="005704EE" w:rsidP="0038758F">
            <w:pPr>
              <w:autoSpaceDE w:val="0"/>
              <w:autoSpaceDN w:val="0"/>
              <w:adjustRightInd w:val="0"/>
              <w:ind w:left="709" w:hanging="709"/>
              <w:rPr>
                <w:rFonts w:ascii="Titillium" w:hAnsi="Titillium"/>
                <w:b/>
                <w:bCs/>
                <w:color w:val="000000"/>
              </w:rPr>
            </w:pPr>
          </w:p>
        </w:tc>
      </w:tr>
      <w:tr w:rsidR="005704EE" w:rsidRPr="00813BF3" w14:paraId="287728F8" w14:textId="77777777" w:rsidTr="0038758F">
        <w:tc>
          <w:tcPr>
            <w:tcW w:w="4154" w:type="dxa"/>
          </w:tcPr>
          <w:p w14:paraId="60AD5261" w14:textId="77777777" w:rsidR="005704EE" w:rsidRPr="00813BF3" w:rsidRDefault="005704EE" w:rsidP="0038758F">
            <w:pPr>
              <w:autoSpaceDE w:val="0"/>
              <w:autoSpaceDN w:val="0"/>
              <w:adjustRightInd w:val="0"/>
              <w:ind w:left="709" w:hanging="709"/>
              <w:rPr>
                <w:rFonts w:ascii="Titillium" w:hAnsi="Titillium"/>
                <w:b/>
                <w:bCs/>
                <w:color w:val="000000"/>
              </w:rPr>
            </w:pPr>
            <w:r w:rsidRPr="00813BF3">
              <w:rPr>
                <w:rFonts w:ascii="Titillium" w:hAnsi="Titillium"/>
                <w:b/>
                <w:bCs/>
                <w:color w:val="000000"/>
              </w:rPr>
              <w:t xml:space="preserve">Principal </w:t>
            </w:r>
          </w:p>
        </w:tc>
        <w:tc>
          <w:tcPr>
            <w:tcW w:w="4154" w:type="dxa"/>
          </w:tcPr>
          <w:p w14:paraId="743E3A7D" w14:textId="77777777" w:rsidR="005704EE" w:rsidRPr="00813BF3" w:rsidRDefault="005704EE" w:rsidP="0038758F">
            <w:pPr>
              <w:autoSpaceDE w:val="0"/>
              <w:autoSpaceDN w:val="0"/>
              <w:adjustRightInd w:val="0"/>
              <w:ind w:left="709" w:hanging="709"/>
              <w:rPr>
                <w:rFonts w:ascii="Titillium" w:hAnsi="Titillium"/>
                <w:b/>
                <w:bCs/>
                <w:color w:val="000000"/>
              </w:rPr>
            </w:pPr>
            <w:r w:rsidRPr="00813BF3">
              <w:rPr>
                <w:rFonts w:ascii="Titillium" w:hAnsi="Titillium"/>
                <w:b/>
                <w:bCs/>
                <w:color w:val="000000"/>
              </w:rPr>
              <w:t>Professor A Nolan</w:t>
            </w:r>
          </w:p>
          <w:p w14:paraId="1256B2CB" w14:textId="77777777" w:rsidR="005704EE" w:rsidRPr="00813BF3" w:rsidRDefault="005704EE" w:rsidP="0038758F">
            <w:pPr>
              <w:autoSpaceDE w:val="0"/>
              <w:autoSpaceDN w:val="0"/>
              <w:adjustRightInd w:val="0"/>
              <w:ind w:left="709" w:hanging="709"/>
              <w:rPr>
                <w:rFonts w:ascii="Titillium" w:hAnsi="Titillium"/>
                <w:bCs/>
                <w:color w:val="000000"/>
              </w:rPr>
            </w:pPr>
            <w:r w:rsidRPr="00813BF3">
              <w:rPr>
                <w:rFonts w:ascii="Titillium" w:hAnsi="Titillium"/>
                <w:bCs/>
                <w:color w:val="000000"/>
              </w:rPr>
              <w:t>Telephone – 0131 455 6400</w:t>
            </w:r>
          </w:p>
          <w:p w14:paraId="2315C015" w14:textId="77777777" w:rsidR="005704EE" w:rsidRPr="00813BF3" w:rsidRDefault="005704EE" w:rsidP="0038758F">
            <w:pPr>
              <w:autoSpaceDE w:val="0"/>
              <w:autoSpaceDN w:val="0"/>
              <w:adjustRightInd w:val="0"/>
              <w:ind w:left="709" w:hanging="709"/>
              <w:rPr>
                <w:rFonts w:ascii="Titillium" w:hAnsi="Titillium"/>
                <w:bCs/>
              </w:rPr>
            </w:pPr>
            <w:r w:rsidRPr="00813BF3">
              <w:rPr>
                <w:rFonts w:ascii="Titillium" w:hAnsi="Titillium"/>
                <w:bCs/>
                <w:color w:val="000000"/>
              </w:rPr>
              <w:t>Email –</w:t>
            </w:r>
            <w:r w:rsidRPr="00813BF3">
              <w:rPr>
                <w:rFonts w:ascii="Titillium" w:hAnsi="Titillium"/>
                <w:bCs/>
              </w:rPr>
              <w:t xml:space="preserve"> </w:t>
            </w:r>
            <w:hyperlink r:id="rId13" w:history="1">
              <w:r w:rsidRPr="00813BF3">
                <w:rPr>
                  <w:rStyle w:val="Hyperlink"/>
                  <w:rFonts w:ascii="Titillium" w:hAnsi="Titillium"/>
                  <w:bCs/>
                </w:rPr>
                <w:t>a.nolan@napier.ac.uk</w:t>
              </w:r>
            </w:hyperlink>
            <w:r w:rsidRPr="00813BF3">
              <w:rPr>
                <w:rFonts w:ascii="Titillium" w:hAnsi="Titillium"/>
                <w:bCs/>
              </w:rPr>
              <w:t xml:space="preserve"> </w:t>
            </w:r>
          </w:p>
          <w:p w14:paraId="1476B129" w14:textId="77777777" w:rsidR="005704EE" w:rsidRPr="00813BF3" w:rsidRDefault="005704EE" w:rsidP="0038758F">
            <w:pPr>
              <w:autoSpaceDE w:val="0"/>
              <w:autoSpaceDN w:val="0"/>
              <w:adjustRightInd w:val="0"/>
              <w:ind w:left="709" w:hanging="709"/>
              <w:rPr>
                <w:rFonts w:ascii="Titillium" w:hAnsi="Titillium"/>
                <w:b/>
                <w:bCs/>
                <w:color w:val="000000"/>
              </w:rPr>
            </w:pPr>
          </w:p>
        </w:tc>
      </w:tr>
      <w:tr w:rsidR="005704EE" w:rsidRPr="00813BF3" w14:paraId="11A4A009" w14:textId="77777777" w:rsidTr="0038758F">
        <w:tc>
          <w:tcPr>
            <w:tcW w:w="4154" w:type="dxa"/>
          </w:tcPr>
          <w:p w14:paraId="7E6B78F9" w14:textId="77777777" w:rsidR="005704EE" w:rsidRPr="00813BF3" w:rsidRDefault="005704EE" w:rsidP="0038758F">
            <w:pPr>
              <w:autoSpaceDE w:val="0"/>
              <w:autoSpaceDN w:val="0"/>
              <w:adjustRightInd w:val="0"/>
              <w:ind w:left="709" w:hanging="709"/>
              <w:rPr>
                <w:rFonts w:ascii="Titillium" w:hAnsi="Titillium"/>
                <w:b/>
                <w:bCs/>
                <w:color w:val="000000"/>
              </w:rPr>
            </w:pPr>
            <w:r w:rsidRPr="00813BF3">
              <w:rPr>
                <w:rFonts w:ascii="Titillium" w:hAnsi="Titillium"/>
                <w:b/>
                <w:bCs/>
                <w:color w:val="000000"/>
              </w:rPr>
              <w:t xml:space="preserve">Public Concern at Work </w:t>
            </w:r>
          </w:p>
          <w:p w14:paraId="7C0CE236" w14:textId="77777777" w:rsidR="005704EE" w:rsidRPr="00813BF3" w:rsidRDefault="005704EE" w:rsidP="0038758F">
            <w:pPr>
              <w:autoSpaceDE w:val="0"/>
              <w:autoSpaceDN w:val="0"/>
              <w:adjustRightInd w:val="0"/>
              <w:ind w:left="709" w:hanging="709"/>
              <w:rPr>
                <w:rFonts w:ascii="Titillium" w:hAnsi="Titillium"/>
                <w:b/>
                <w:bCs/>
                <w:color w:val="000000"/>
              </w:rPr>
            </w:pPr>
            <w:r w:rsidRPr="00813BF3">
              <w:rPr>
                <w:rFonts w:ascii="Titillium" w:hAnsi="Titillium"/>
                <w:b/>
                <w:bCs/>
                <w:color w:val="000000"/>
              </w:rPr>
              <w:t>(Independent whistle-blowing charity)</w:t>
            </w:r>
          </w:p>
        </w:tc>
        <w:tc>
          <w:tcPr>
            <w:tcW w:w="4154" w:type="dxa"/>
          </w:tcPr>
          <w:p w14:paraId="154F3844" w14:textId="77777777" w:rsidR="005704EE" w:rsidRPr="00813BF3" w:rsidRDefault="005704EE" w:rsidP="0038758F">
            <w:pPr>
              <w:autoSpaceDE w:val="0"/>
              <w:autoSpaceDN w:val="0"/>
              <w:adjustRightInd w:val="0"/>
              <w:ind w:left="709" w:hanging="709"/>
              <w:rPr>
                <w:rFonts w:ascii="Titillium" w:hAnsi="Titillium"/>
                <w:bCs/>
                <w:color w:val="000000"/>
              </w:rPr>
            </w:pPr>
            <w:r w:rsidRPr="00813BF3">
              <w:rPr>
                <w:rFonts w:ascii="Titillium" w:hAnsi="Titillium"/>
                <w:bCs/>
                <w:color w:val="000000"/>
              </w:rPr>
              <w:t>Helpline: (020) 7404 6609</w:t>
            </w:r>
          </w:p>
          <w:p w14:paraId="1B2E4BEB" w14:textId="77777777" w:rsidR="005704EE" w:rsidRPr="00813BF3" w:rsidRDefault="005704EE" w:rsidP="0038758F">
            <w:pPr>
              <w:autoSpaceDE w:val="0"/>
              <w:autoSpaceDN w:val="0"/>
              <w:adjustRightInd w:val="0"/>
              <w:ind w:left="709" w:hanging="709"/>
              <w:rPr>
                <w:rFonts w:ascii="Titillium" w:hAnsi="Titillium"/>
                <w:bCs/>
                <w:color w:val="000000"/>
              </w:rPr>
            </w:pPr>
            <w:r w:rsidRPr="00813BF3">
              <w:rPr>
                <w:rFonts w:ascii="Titillium" w:hAnsi="Titillium"/>
                <w:bCs/>
                <w:color w:val="000000"/>
              </w:rPr>
              <w:t xml:space="preserve">E-mail: </w:t>
            </w:r>
            <w:hyperlink r:id="rId14" w:history="1">
              <w:r w:rsidRPr="00813BF3">
                <w:rPr>
                  <w:rStyle w:val="Hyperlink"/>
                  <w:rFonts w:ascii="Titillium" w:hAnsi="Titillium"/>
                  <w:bCs/>
                </w:rPr>
                <w:t>whistle@pcaw.co.uk</w:t>
              </w:r>
            </w:hyperlink>
            <w:r w:rsidRPr="00813BF3">
              <w:rPr>
                <w:rFonts w:ascii="Titillium" w:hAnsi="Titillium"/>
                <w:bCs/>
                <w:color w:val="000000"/>
              </w:rPr>
              <w:t xml:space="preserve"> </w:t>
            </w:r>
          </w:p>
          <w:p w14:paraId="5A232739" w14:textId="77777777" w:rsidR="005704EE" w:rsidRPr="00813BF3" w:rsidRDefault="005704EE" w:rsidP="0038758F">
            <w:pPr>
              <w:autoSpaceDE w:val="0"/>
              <w:autoSpaceDN w:val="0"/>
              <w:adjustRightInd w:val="0"/>
              <w:ind w:left="709" w:hanging="709"/>
              <w:rPr>
                <w:rFonts w:ascii="Titillium" w:hAnsi="Titillium"/>
                <w:b/>
                <w:bCs/>
                <w:color w:val="000000"/>
              </w:rPr>
            </w:pPr>
            <w:r w:rsidRPr="00813BF3">
              <w:rPr>
                <w:rFonts w:ascii="Titillium" w:hAnsi="Titillium"/>
                <w:bCs/>
                <w:color w:val="000000"/>
              </w:rPr>
              <w:t xml:space="preserve">Website: </w:t>
            </w:r>
            <w:hyperlink r:id="rId15" w:history="1">
              <w:r w:rsidRPr="00813BF3">
                <w:rPr>
                  <w:rStyle w:val="Hyperlink"/>
                  <w:rFonts w:ascii="Titillium" w:hAnsi="Titillium"/>
                  <w:bCs/>
                </w:rPr>
                <w:t>www.pcaw.co.uk</w:t>
              </w:r>
            </w:hyperlink>
            <w:r w:rsidRPr="00813BF3">
              <w:rPr>
                <w:rFonts w:ascii="Titillium" w:hAnsi="Titillium"/>
                <w:b/>
                <w:bCs/>
                <w:color w:val="000000"/>
              </w:rPr>
              <w:t xml:space="preserve"> </w:t>
            </w:r>
          </w:p>
        </w:tc>
      </w:tr>
    </w:tbl>
    <w:p w14:paraId="5EE0A761" w14:textId="77777777" w:rsidR="005704EE" w:rsidRPr="00813BF3" w:rsidRDefault="005704EE" w:rsidP="006A5D0E">
      <w:pPr>
        <w:tabs>
          <w:tab w:val="center" w:pos="4513"/>
        </w:tabs>
        <w:spacing w:after="160" w:line="320" w:lineRule="atLeast"/>
        <w:ind w:right="312"/>
        <w:jc w:val="both"/>
        <w:rPr>
          <w:rFonts w:ascii="Titillium" w:hAnsi="Titillium"/>
          <w:b/>
          <w:color w:val="67B8E7"/>
          <w:sz w:val="32"/>
          <w:szCs w:val="32"/>
        </w:rPr>
      </w:pPr>
    </w:p>
    <w:p w14:paraId="4C921C87" w14:textId="77777777" w:rsidR="00614EC0" w:rsidRPr="00813BF3" w:rsidRDefault="00614EC0">
      <w:pPr>
        <w:rPr>
          <w:rFonts w:ascii="Titillium" w:hAnsi="Titillium"/>
        </w:rPr>
      </w:pPr>
    </w:p>
    <w:p w14:paraId="4149DE5F" w14:textId="77777777" w:rsidR="00614EC0" w:rsidRPr="00813BF3" w:rsidRDefault="00614EC0">
      <w:pPr>
        <w:rPr>
          <w:rFonts w:ascii="Titillium" w:hAnsi="Titillium"/>
        </w:rPr>
      </w:pPr>
    </w:p>
    <w:p w14:paraId="7CFB58BD" w14:textId="77777777" w:rsidR="00570BC7" w:rsidRPr="00813BF3" w:rsidRDefault="00570BC7" w:rsidP="00570BC7">
      <w:pPr>
        <w:framePr w:hSpace="180" w:wrap="around" w:vAnchor="text" w:hAnchor="margin" w:x="-284" w:y="657"/>
        <w:tabs>
          <w:tab w:val="center" w:pos="4513"/>
        </w:tabs>
        <w:suppressOverlap/>
        <w:jc w:val="both"/>
        <w:rPr>
          <w:rFonts w:ascii="Titillium" w:hAnsi="Titillium"/>
          <w:b/>
          <w:color w:val="67B8E7"/>
          <w:sz w:val="22"/>
          <w:szCs w:val="22"/>
        </w:rPr>
      </w:pPr>
    </w:p>
    <w:p w14:paraId="44255610" w14:textId="77777777" w:rsidR="00190273" w:rsidRPr="00813BF3" w:rsidRDefault="00190273" w:rsidP="00E007E8">
      <w:pPr>
        <w:spacing w:after="100" w:afterAutospacing="1"/>
        <w:rPr>
          <w:rFonts w:ascii="Titillium" w:hAnsi="Titillium" w:cs="Noto Serif"/>
          <w:b/>
          <w:bCs/>
          <w:color w:val="00B0F0"/>
          <w:sz w:val="32"/>
          <w:szCs w:val="32"/>
          <w:lang w:eastAsia="en-GB"/>
        </w:rPr>
      </w:pPr>
    </w:p>
    <w:p w14:paraId="5FAAC50F" w14:textId="77777777" w:rsidR="00E007E8" w:rsidRPr="00813BF3" w:rsidRDefault="00E007E8" w:rsidP="00E007E8">
      <w:pPr>
        <w:shd w:val="clear" w:color="auto" w:fill="FFFFFF"/>
        <w:spacing w:after="100" w:afterAutospacing="1"/>
        <w:rPr>
          <w:rFonts w:ascii="Titillium" w:eastAsiaTheme="minorEastAsia" w:hAnsi="Titillium" w:cs="Titillium-Semibold"/>
          <w:color w:val="579FBB"/>
          <w:sz w:val="20"/>
          <w:szCs w:val="20"/>
        </w:rPr>
      </w:pPr>
    </w:p>
    <w:sectPr w:rsidR="00E007E8" w:rsidRPr="00813BF3" w:rsidSect="00190273">
      <w:headerReference w:type="even" r:id="rId16"/>
      <w:headerReference w:type="default" r:id="rId17"/>
      <w:footerReference w:type="even" r:id="rId18"/>
      <w:footerReference w:type="default" r:id="rId19"/>
      <w:headerReference w:type="first" r:id="rId20"/>
      <w:type w:val="continuous"/>
      <w:pgSz w:w="11900" w:h="16820"/>
      <w:pgMar w:top="1985" w:right="1134" w:bottom="1701" w:left="1134" w:header="1247" w:footer="624" w:gutter="0"/>
      <w:pgNumType w:start="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691C4" w14:textId="77777777" w:rsidR="007B11BF" w:rsidRDefault="007B11BF" w:rsidP="00EC31D5">
      <w:r>
        <w:separator/>
      </w:r>
    </w:p>
  </w:endnote>
  <w:endnote w:type="continuationSeparator" w:id="0">
    <w:p w14:paraId="1361E262" w14:textId="77777777" w:rsidR="007B11BF" w:rsidRDefault="007B11BF" w:rsidP="00EC31D5">
      <w:r>
        <w:continuationSeparator/>
      </w:r>
    </w:p>
  </w:endnote>
  <w:endnote w:type="continuationNotice" w:id="1">
    <w:p w14:paraId="1D77C4CE" w14:textId="77777777" w:rsidR="007B11BF" w:rsidRDefault="007B1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Semibold">
    <w:panose1 w:val="00000000000000000000"/>
    <w:charset w:val="00"/>
    <w:family w:val="swiss"/>
    <w:notTrueType/>
    <w:pitch w:val="default"/>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3B4E" w14:textId="77777777" w:rsidR="0026005F" w:rsidRDefault="0026005F" w:rsidP="00AC5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80E9BE" w14:textId="77777777" w:rsidR="0026005F" w:rsidRDefault="0026005F" w:rsidP="0006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859EA4"/>
      </w:rPr>
      <w:id w:val="753006551"/>
      <w:docPartObj>
        <w:docPartGallery w:val="Page Numbers (Bottom of Page)"/>
        <w:docPartUnique/>
      </w:docPartObj>
    </w:sdtPr>
    <w:sdtEndPr>
      <w:rPr>
        <w:rStyle w:val="PageNumber"/>
        <w:rFonts w:ascii="Titillium" w:hAnsi="Titillium"/>
        <w:sz w:val="21"/>
        <w:szCs w:val="21"/>
      </w:rPr>
    </w:sdtEndPr>
    <w:sdtContent>
      <w:p w14:paraId="46F834BB" w14:textId="77777777" w:rsidR="0026005F" w:rsidRPr="00064BDC" w:rsidRDefault="0026005F" w:rsidP="00064BDC">
        <w:pPr>
          <w:pStyle w:val="Footer"/>
          <w:framePr w:wrap="none" w:vAnchor="text" w:hAnchor="page" w:x="10647" w:y="7"/>
          <w:rPr>
            <w:rStyle w:val="PageNumber"/>
            <w:rFonts w:ascii="Titillium" w:hAnsi="Titillium"/>
            <w:color w:val="859EA4"/>
            <w:sz w:val="21"/>
            <w:szCs w:val="21"/>
          </w:rPr>
        </w:pPr>
        <w:r w:rsidRPr="00064BDC">
          <w:rPr>
            <w:rStyle w:val="PageNumber"/>
            <w:rFonts w:ascii="Titillium" w:hAnsi="Titillium"/>
            <w:color w:val="859EA4"/>
            <w:sz w:val="21"/>
            <w:szCs w:val="21"/>
          </w:rPr>
          <w:fldChar w:fldCharType="begin"/>
        </w:r>
        <w:r w:rsidRPr="00064BDC">
          <w:rPr>
            <w:rStyle w:val="PageNumber"/>
            <w:rFonts w:ascii="Titillium" w:hAnsi="Titillium"/>
            <w:color w:val="859EA4"/>
            <w:sz w:val="21"/>
            <w:szCs w:val="21"/>
          </w:rPr>
          <w:instrText xml:space="preserve"> PAGE </w:instrText>
        </w:r>
        <w:r w:rsidRPr="00064BDC">
          <w:rPr>
            <w:rStyle w:val="PageNumber"/>
            <w:rFonts w:ascii="Titillium" w:hAnsi="Titillium"/>
            <w:color w:val="859EA4"/>
            <w:sz w:val="21"/>
            <w:szCs w:val="21"/>
          </w:rPr>
          <w:fldChar w:fldCharType="separate"/>
        </w:r>
        <w:r w:rsidR="004D559D">
          <w:rPr>
            <w:rStyle w:val="PageNumber"/>
            <w:rFonts w:ascii="Titillium" w:hAnsi="Titillium"/>
            <w:noProof/>
            <w:color w:val="859EA4"/>
            <w:sz w:val="21"/>
            <w:szCs w:val="21"/>
          </w:rPr>
          <w:t>2</w:t>
        </w:r>
        <w:r w:rsidRPr="00064BDC">
          <w:rPr>
            <w:rStyle w:val="PageNumber"/>
            <w:rFonts w:ascii="Titillium" w:hAnsi="Titillium"/>
            <w:color w:val="859EA4"/>
            <w:sz w:val="21"/>
            <w:szCs w:val="21"/>
          </w:rPr>
          <w:fldChar w:fldCharType="end"/>
        </w:r>
      </w:p>
    </w:sdtContent>
  </w:sdt>
  <w:p w14:paraId="3B0BB7B6" w14:textId="608F8CD4" w:rsidR="0026005F" w:rsidRPr="00645728" w:rsidRDefault="0026005F" w:rsidP="00064BDC">
    <w:pPr>
      <w:pStyle w:val="Footer"/>
      <w:ind w:right="360"/>
      <w:jc w:val="center"/>
      <w:rPr>
        <w:rFonts w:ascii="Titillium" w:hAnsi="Titillium"/>
        <w:i/>
        <w:iCs/>
        <w:caps/>
        <w:noProof/>
        <w:sz w:val="22"/>
        <w:szCs w:val="22"/>
      </w:rPr>
    </w:pPr>
    <w:r w:rsidRPr="00645728">
      <w:rPr>
        <w:rFonts w:ascii="Titillium" w:hAnsi="Titillium"/>
        <w:i/>
        <w:iCs/>
        <w:caps/>
        <w:noProof/>
        <w:sz w:val="22"/>
        <w:szCs w:val="22"/>
        <w:lang w:eastAsia="en-GB"/>
      </w:rPr>
      <mc:AlternateContent>
        <mc:Choice Requires="wps">
          <w:drawing>
            <wp:anchor distT="0" distB="0" distL="114300" distR="114300" simplePos="0" relativeHeight="251658242" behindDoc="0" locked="0" layoutInCell="1" allowOverlap="1" wp14:anchorId="3BAD25BD" wp14:editId="7C8DA79C">
              <wp:simplePos x="0" y="0"/>
              <wp:positionH relativeFrom="column">
                <wp:posOffset>-339090</wp:posOffset>
              </wp:positionH>
              <wp:positionV relativeFrom="paragraph">
                <wp:posOffset>-40640</wp:posOffset>
              </wp:positionV>
              <wp:extent cx="3905250" cy="34932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05250" cy="349321"/>
                      </a:xfrm>
                      <a:prstGeom prst="rect">
                        <a:avLst/>
                      </a:prstGeom>
                      <a:noFill/>
                      <a:ln w="6350">
                        <a:noFill/>
                      </a:ln>
                    </wps:spPr>
                    <wps:txbx>
                      <w:txbxContent>
                        <w:p w14:paraId="0FE8B3E3" w14:textId="0D1CB3C4" w:rsidR="00F01DA0" w:rsidRPr="00F01DA0" w:rsidRDefault="00190273">
                          <w:pPr>
                            <w:rPr>
                              <w:rFonts w:ascii="Titillium" w:hAnsi="Titillium"/>
                              <w:b/>
                              <w:bCs/>
                              <w:i/>
                              <w:iCs/>
                              <w:color w:val="859EA4"/>
                              <w:sz w:val="21"/>
                              <w:szCs w:val="21"/>
                            </w:rPr>
                          </w:pPr>
                          <w:r w:rsidRPr="00190273">
                            <w:rPr>
                              <w:rFonts w:ascii="Titillium" w:hAnsi="Titillium"/>
                              <w:b/>
                              <w:bCs/>
                              <w:i/>
                              <w:iCs/>
                              <w:color w:val="859EA4"/>
                              <w:sz w:val="21"/>
                              <w:szCs w:val="21"/>
                            </w:rPr>
                            <w:t>Public Interest Disclosure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D25BD" id="_x0000_t202" coordsize="21600,21600" o:spt="202" path="m,l,21600r21600,l21600,xe">
              <v:stroke joinstyle="miter"/>
              <v:path gradientshapeok="t" o:connecttype="rect"/>
            </v:shapetype>
            <v:shape id="Text Box 16" o:spid="_x0000_s1026" type="#_x0000_t202" style="position:absolute;left:0;text-align:left;margin-left:-26.7pt;margin-top:-3.2pt;width:307.5pt;height: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" filled="f" stroked="f" strokeweight=".5pt">
              <v:textbox>
                <w:txbxContent>
                  <w:p w14:paraId="0FE8B3E3" w14:textId="0D1CB3C4" w:rsidR="00F01DA0" w:rsidRPr="00F01DA0" w:rsidRDefault="00190273">
                    <w:pPr>
                      <w:rPr>
                        <w:rFonts w:ascii="Titillium" w:hAnsi="Titillium"/>
                        <w:b/>
                        <w:bCs/>
                        <w:i/>
                        <w:iCs/>
                        <w:color w:val="859EA4"/>
                        <w:sz w:val="21"/>
                        <w:szCs w:val="21"/>
                      </w:rPr>
                    </w:pPr>
                    <w:r w:rsidRPr="00190273">
                      <w:rPr>
                        <w:rFonts w:ascii="Titillium" w:hAnsi="Titillium"/>
                        <w:b/>
                        <w:bCs/>
                        <w:i/>
                        <w:iCs/>
                        <w:color w:val="859EA4"/>
                        <w:sz w:val="21"/>
                        <w:szCs w:val="21"/>
                      </w:rPr>
                      <w:t>Public Interest Disclosure Policy</w:t>
                    </w:r>
                  </w:p>
                </w:txbxContent>
              </v:textbox>
            </v:shape>
          </w:pict>
        </mc:Fallback>
      </mc:AlternateContent>
    </w:r>
    <w:r w:rsidR="00645728">
      <w:rPr>
        <w:rFonts w:ascii="Titillium" w:hAnsi="Titillium"/>
        <w:b/>
        <w:bCs/>
        <w:i/>
        <w:iCs/>
        <w:color w:val="859EA4"/>
        <w:sz w:val="21"/>
        <w:szCs w:val="21"/>
      </w:rPr>
      <w:t xml:space="preserve">Created </w:t>
    </w:r>
    <w:r w:rsidR="00190273">
      <w:rPr>
        <w:rFonts w:ascii="Titillium" w:hAnsi="Titillium"/>
        <w:b/>
        <w:bCs/>
        <w:i/>
        <w:iCs/>
        <w:color w:val="859EA4"/>
        <w:sz w:val="21"/>
        <w:szCs w:val="21"/>
      </w:rPr>
      <w:t>July</w:t>
    </w:r>
    <w:r w:rsidR="00645728">
      <w:rPr>
        <w:rFonts w:ascii="Titillium" w:hAnsi="Titillium"/>
        <w:b/>
        <w:bCs/>
        <w:i/>
        <w:iCs/>
        <w:color w:val="859EA4"/>
        <w:sz w:val="21"/>
        <w:szCs w:val="21"/>
      </w:rPr>
      <w:t xml:space="preserve"> 20</w:t>
    </w:r>
    <w:r w:rsidR="00190273">
      <w:rPr>
        <w:rFonts w:ascii="Titillium" w:hAnsi="Titillium"/>
        <w:b/>
        <w:bCs/>
        <w:i/>
        <w:iCs/>
        <w:color w:val="859EA4"/>
        <w:sz w:val="21"/>
        <w:szCs w:val="21"/>
      </w:rPr>
      <w:t>13</w:t>
    </w:r>
  </w:p>
  <w:p w14:paraId="4B93896C" w14:textId="77777777" w:rsidR="0026005F" w:rsidRDefault="0026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008DE" w14:textId="77777777" w:rsidR="007B11BF" w:rsidRDefault="007B11BF" w:rsidP="00EC31D5">
      <w:r>
        <w:separator/>
      </w:r>
    </w:p>
  </w:footnote>
  <w:footnote w:type="continuationSeparator" w:id="0">
    <w:p w14:paraId="754EF3F4" w14:textId="77777777" w:rsidR="007B11BF" w:rsidRDefault="007B11BF" w:rsidP="00EC31D5">
      <w:r>
        <w:continuationSeparator/>
      </w:r>
    </w:p>
  </w:footnote>
  <w:footnote w:type="continuationNotice" w:id="1">
    <w:p w14:paraId="091079D3" w14:textId="77777777" w:rsidR="007B11BF" w:rsidRDefault="007B1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5E71" w14:textId="77777777" w:rsidR="0026005F" w:rsidRDefault="00000000">
    <w:pPr>
      <w:pStyle w:val="Header"/>
    </w:pPr>
    <w:sdt>
      <w:sdtPr>
        <w:id w:val="196288142"/>
        <w:placeholder>
          <w:docPart w:val="3F2B03ACD5DCCB409DA6B025703A710A"/>
        </w:placeholder>
        <w:temporary/>
        <w:showingPlcHdr/>
      </w:sdtPr>
      <w:sdtContent>
        <w:r w:rsidR="0026005F">
          <w:t>[Type text]</w:t>
        </w:r>
      </w:sdtContent>
    </w:sdt>
    <w:r w:rsidR="0026005F">
      <w:ptab w:relativeTo="margin" w:alignment="center" w:leader="none"/>
    </w:r>
    <w:sdt>
      <w:sdtPr>
        <w:id w:val="1926532305"/>
        <w:placeholder>
          <w:docPart w:val="CFACCB42C3B3404CAA11B9BB648C050E"/>
        </w:placeholder>
        <w:temporary/>
        <w:showingPlcHdr/>
      </w:sdtPr>
      <w:sdtContent>
        <w:r w:rsidR="0026005F">
          <w:t>[Type text]</w:t>
        </w:r>
      </w:sdtContent>
    </w:sdt>
    <w:r w:rsidR="0026005F">
      <w:ptab w:relativeTo="margin" w:alignment="right" w:leader="none"/>
    </w:r>
    <w:sdt>
      <w:sdtPr>
        <w:id w:val="-1643106329"/>
        <w:placeholder>
          <w:docPart w:val="EAB493A49408F545AC98EEFF5D8D7889"/>
        </w:placeholder>
        <w:temporary/>
        <w:showingPlcHdr/>
      </w:sdtPr>
      <w:sdtContent>
        <w:r w:rsidR="0026005F">
          <w:t>[Type text]</w:t>
        </w:r>
      </w:sdtContent>
    </w:sdt>
  </w:p>
  <w:p w14:paraId="1CD3145B" w14:textId="77777777" w:rsidR="0026005F" w:rsidRDefault="0026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339" w14:textId="77777777" w:rsidR="0026005F" w:rsidRPr="00640328" w:rsidRDefault="0026005F"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58241" behindDoc="1" locked="0" layoutInCell="1" allowOverlap="1" wp14:anchorId="0321979C" wp14:editId="3AC1E64F">
          <wp:simplePos x="0" y="0"/>
          <wp:positionH relativeFrom="column">
            <wp:posOffset>-720091</wp:posOffset>
          </wp:positionH>
          <wp:positionV relativeFrom="paragraph">
            <wp:posOffset>-781571</wp:posOffset>
          </wp:positionV>
          <wp:extent cx="7564539" cy="75001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Pr="00054539">
      <w:rPr>
        <w:noProof/>
        <w:lang w:eastAsia="en-GB"/>
      </w:rPr>
      <w:t xml:space="preserve"> </w:t>
    </w:r>
  </w:p>
  <w:p w14:paraId="37E6AB70" w14:textId="77777777" w:rsidR="0026005F" w:rsidRDefault="00260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4DD3" w14:textId="77777777" w:rsidR="0026005F" w:rsidRDefault="0026005F" w:rsidP="00D85313">
    <w:pPr>
      <w:pStyle w:val="Header"/>
      <w:jc w:val="right"/>
    </w:pPr>
    <w:r>
      <w:rPr>
        <w:noProof/>
        <w:lang w:eastAsia="en-GB"/>
      </w:rPr>
      <mc:AlternateContent>
        <mc:Choice Requires="wps">
          <w:drawing>
            <wp:anchor distT="0" distB="0" distL="114300" distR="114300" simplePos="0" relativeHeight="251658240" behindDoc="0" locked="0" layoutInCell="1" allowOverlap="1" wp14:anchorId="616417B6" wp14:editId="57EE8DB0">
              <wp:simplePos x="0" y="0"/>
              <wp:positionH relativeFrom="margin">
                <wp:align>center</wp:align>
              </wp:positionH>
              <wp:positionV relativeFrom="paragraph">
                <wp:posOffset>150495</wp:posOffset>
              </wp:positionV>
              <wp:extent cx="7105650" cy="904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05650" cy="904875"/>
                      </a:xfrm>
                      <a:prstGeom prst="rect">
                        <a:avLst/>
                      </a:prstGeom>
                      <a:noFill/>
                      <a:ln w="6350">
                        <a:noFill/>
                      </a:ln>
                    </wps:spPr>
                    <wps:txbx>
                      <w:txbxContent>
                        <w:p w14:paraId="33E194A6" w14:textId="1A73009B" w:rsidR="0026005F" w:rsidRPr="00F20129" w:rsidRDefault="006A5D0E" w:rsidP="00910461">
                          <w:pPr>
                            <w:jc w:val="center"/>
                            <w:rPr>
                              <w:rFonts w:ascii="Titillium" w:hAnsi="Titillium"/>
                              <w:b/>
                              <w:bCs/>
                              <w:i/>
                            </w:rPr>
                          </w:pPr>
                          <w:r w:rsidRPr="006A5D0E">
                            <w:rPr>
                              <w:rFonts w:ascii="Titillium" w:hAnsi="Titillium"/>
                              <w:b/>
                              <w:bCs/>
                              <w:sz w:val="36"/>
                              <w:szCs w:val="36"/>
                            </w:rPr>
                            <w:t>Public Interest Disclosure (Whistle-blowing)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417B6" id="_x0000_t202" coordsize="21600,21600" o:spt="202" path="m,l,21600r21600,l21600,xe">
              <v:stroke joinstyle="miter"/>
              <v:path gradientshapeok="t" o:connecttype="rect"/>
            </v:shapetype>
            <v:shape id="Text Box 12" o:spid="_x0000_s1027" type="#_x0000_t202" style="position:absolute;left:0;text-align:left;margin-left:0;margin-top:11.85pt;width:559.5pt;height:7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DGAIAADM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" filled="f" stroked="f" strokeweight=".5pt">
              <v:textbox>
                <w:txbxContent>
                  <w:p w14:paraId="33E194A6" w14:textId="1A73009B" w:rsidR="0026005F" w:rsidRPr="00F20129" w:rsidRDefault="006A5D0E" w:rsidP="00910461">
                    <w:pPr>
                      <w:jc w:val="center"/>
                      <w:rPr>
                        <w:rFonts w:ascii="Titillium" w:hAnsi="Titillium"/>
                        <w:b/>
                        <w:bCs/>
                        <w:i/>
                      </w:rPr>
                    </w:pPr>
                    <w:r w:rsidRPr="006A5D0E">
                      <w:rPr>
                        <w:rFonts w:ascii="Titillium" w:hAnsi="Titillium"/>
                        <w:b/>
                        <w:bCs/>
                        <w:sz w:val="36"/>
                        <w:szCs w:val="36"/>
                      </w:rPr>
                      <w:t>Public Interest Disclosure (Whistle-blowing) Policy</w:t>
                    </w:r>
                  </w:p>
                </w:txbxContent>
              </v:textbox>
              <w10:wrap anchorx="margin"/>
            </v:shape>
          </w:pict>
        </mc:Fallback>
      </mc:AlternateContent>
    </w:r>
    <w:r>
      <w:rPr>
        <w:noProof/>
        <w:lang w:eastAsia="en-GB"/>
      </w:rPr>
      <w:drawing>
        <wp:anchor distT="0" distB="0" distL="114300" distR="114300" simplePos="0" relativeHeight="251658243" behindDoc="1" locked="0" layoutInCell="1" allowOverlap="1" wp14:anchorId="75BE7A57" wp14:editId="276860E8">
          <wp:simplePos x="0" y="0"/>
          <wp:positionH relativeFrom="column">
            <wp:posOffset>-710565</wp:posOffset>
          </wp:positionH>
          <wp:positionV relativeFrom="paragraph">
            <wp:posOffset>-791845</wp:posOffset>
          </wp:positionV>
          <wp:extent cx="7566246" cy="1533525"/>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8898" cy="15340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0.55pt;height:500.55pt" o:bullet="t">
        <v:imagedata r:id="rId1" o:title="Tick-01"/>
      </v:shape>
    </w:pict>
  </w:numPicBullet>
  <w:abstractNum w:abstractNumId="0" w15:restartNumberingAfterBreak="0">
    <w:nsid w:val="005D0FFE"/>
    <w:multiLevelType w:val="hybridMultilevel"/>
    <w:tmpl w:val="8CE2460E"/>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008A5B87"/>
    <w:multiLevelType w:val="hybridMultilevel"/>
    <w:tmpl w:val="DBA6F68C"/>
    <w:lvl w:ilvl="0" w:tplc="31363C20">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BD5865"/>
    <w:multiLevelType w:val="hybridMultilevel"/>
    <w:tmpl w:val="F5AC6EEA"/>
    <w:lvl w:ilvl="0" w:tplc="31363C20">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B066A"/>
    <w:multiLevelType w:val="multilevel"/>
    <w:tmpl w:val="A71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A1D11"/>
    <w:multiLevelType w:val="hybridMultilevel"/>
    <w:tmpl w:val="D0503B20"/>
    <w:lvl w:ilvl="0" w:tplc="16A8B006">
      <w:start w:val="1"/>
      <w:numFmt w:val="decimal"/>
      <w:lvlText w:val="%1."/>
      <w:lvlJc w:val="left"/>
      <w:pPr>
        <w:ind w:left="1038" w:hanging="360"/>
      </w:pPr>
      <w:rPr>
        <w:rFonts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 w15:restartNumberingAfterBreak="0">
    <w:nsid w:val="192D1AC9"/>
    <w:multiLevelType w:val="multilevel"/>
    <w:tmpl w:val="9AECC48E"/>
    <w:lvl w:ilvl="0">
      <w:start w:val="1"/>
      <w:numFmt w:val="decimal"/>
      <w:lvlText w:val="%1."/>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6" w15:restartNumberingAfterBreak="0">
    <w:nsid w:val="1D1B5560"/>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44C39BD"/>
    <w:multiLevelType w:val="hybridMultilevel"/>
    <w:tmpl w:val="C832D9EA"/>
    <w:lvl w:ilvl="0" w:tplc="3740214E">
      <w:start w:val="1"/>
      <w:numFmt w:val="decimal"/>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8" w15:restartNumberingAfterBreak="0">
    <w:nsid w:val="25957A0D"/>
    <w:multiLevelType w:val="hybridMultilevel"/>
    <w:tmpl w:val="704693FC"/>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85EDC"/>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DAF3604"/>
    <w:multiLevelType w:val="multilevel"/>
    <w:tmpl w:val="111CD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17530"/>
    <w:multiLevelType w:val="hybridMultilevel"/>
    <w:tmpl w:val="E592A5CA"/>
    <w:lvl w:ilvl="0" w:tplc="31363C20">
      <w:start w:val="1"/>
      <w:numFmt w:val="bullet"/>
      <w:lvlText w:val=""/>
      <w:lvlJc w:val="left"/>
      <w:pPr>
        <w:tabs>
          <w:tab w:val="num" w:pos="720"/>
        </w:tabs>
        <w:ind w:left="720" w:hanging="360"/>
      </w:pPr>
      <w:rPr>
        <w:rFonts w:ascii="Symbol" w:hAnsi="Symbol" w:hint="default"/>
      </w:rPr>
    </w:lvl>
    <w:lvl w:ilvl="1" w:tplc="7A08FF06" w:tentative="1">
      <w:start w:val="1"/>
      <w:numFmt w:val="bullet"/>
      <w:lvlText w:val="-"/>
      <w:lvlJc w:val="left"/>
      <w:pPr>
        <w:tabs>
          <w:tab w:val="num" w:pos="1440"/>
        </w:tabs>
        <w:ind w:left="1440" w:hanging="360"/>
      </w:pPr>
      <w:rPr>
        <w:rFonts w:ascii="Times New Roman" w:hAnsi="Times New Roman" w:hint="default"/>
      </w:rPr>
    </w:lvl>
    <w:lvl w:ilvl="2" w:tplc="416AF29C" w:tentative="1">
      <w:start w:val="1"/>
      <w:numFmt w:val="bullet"/>
      <w:lvlText w:val="-"/>
      <w:lvlJc w:val="left"/>
      <w:pPr>
        <w:tabs>
          <w:tab w:val="num" w:pos="2160"/>
        </w:tabs>
        <w:ind w:left="2160" w:hanging="360"/>
      </w:pPr>
      <w:rPr>
        <w:rFonts w:ascii="Times New Roman" w:hAnsi="Times New Roman" w:hint="default"/>
      </w:rPr>
    </w:lvl>
    <w:lvl w:ilvl="3" w:tplc="D4265884" w:tentative="1">
      <w:start w:val="1"/>
      <w:numFmt w:val="bullet"/>
      <w:lvlText w:val="-"/>
      <w:lvlJc w:val="left"/>
      <w:pPr>
        <w:tabs>
          <w:tab w:val="num" w:pos="2880"/>
        </w:tabs>
        <w:ind w:left="2880" w:hanging="360"/>
      </w:pPr>
      <w:rPr>
        <w:rFonts w:ascii="Times New Roman" w:hAnsi="Times New Roman" w:hint="default"/>
      </w:rPr>
    </w:lvl>
    <w:lvl w:ilvl="4" w:tplc="53D8F280" w:tentative="1">
      <w:start w:val="1"/>
      <w:numFmt w:val="bullet"/>
      <w:lvlText w:val="-"/>
      <w:lvlJc w:val="left"/>
      <w:pPr>
        <w:tabs>
          <w:tab w:val="num" w:pos="3600"/>
        </w:tabs>
        <w:ind w:left="3600" w:hanging="360"/>
      </w:pPr>
      <w:rPr>
        <w:rFonts w:ascii="Times New Roman" w:hAnsi="Times New Roman" w:hint="default"/>
      </w:rPr>
    </w:lvl>
    <w:lvl w:ilvl="5" w:tplc="BC2C8764" w:tentative="1">
      <w:start w:val="1"/>
      <w:numFmt w:val="bullet"/>
      <w:lvlText w:val="-"/>
      <w:lvlJc w:val="left"/>
      <w:pPr>
        <w:tabs>
          <w:tab w:val="num" w:pos="4320"/>
        </w:tabs>
        <w:ind w:left="4320" w:hanging="360"/>
      </w:pPr>
      <w:rPr>
        <w:rFonts w:ascii="Times New Roman" w:hAnsi="Times New Roman" w:hint="default"/>
      </w:rPr>
    </w:lvl>
    <w:lvl w:ilvl="6" w:tplc="AC40A6E4" w:tentative="1">
      <w:start w:val="1"/>
      <w:numFmt w:val="bullet"/>
      <w:lvlText w:val="-"/>
      <w:lvlJc w:val="left"/>
      <w:pPr>
        <w:tabs>
          <w:tab w:val="num" w:pos="5040"/>
        </w:tabs>
        <w:ind w:left="5040" w:hanging="360"/>
      </w:pPr>
      <w:rPr>
        <w:rFonts w:ascii="Times New Roman" w:hAnsi="Times New Roman" w:hint="default"/>
      </w:rPr>
    </w:lvl>
    <w:lvl w:ilvl="7" w:tplc="19923580" w:tentative="1">
      <w:start w:val="1"/>
      <w:numFmt w:val="bullet"/>
      <w:lvlText w:val="-"/>
      <w:lvlJc w:val="left"/>
      <w:pPr>
        <w:tabs>
          <w:tab w:val="num" w:pos="5760"/>
        </w:tabs>
        <w:ind w:left="5760" w:hanging="360"/>
      </w:pPr>
      <w:rPr>
        <w:rFonts w:ascii="Times New Roman" w:hAnsi="Times New Roman" w:hint="default"/>
      </w:rPr>
    </w:lvl>
    <w:lvl w:ilvl="8" w:tplc="C772EB9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D8575F"/>
    <w:multiLevelType w:val="multilevel"/>
    <w:tmpl w:val="52E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A66733"/>
    <w:multiLevelType w:val="hybridMultilevel"/>
    <w:tmpl w:val="B8C04BCC"/>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A5B0D"/>
    <w:multiLevelType w:val="hybridMultilevel"/>
    <w:tmpl w:val="AE64E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0314EA"/>
    <w:multiLevelType w:val="hybridMultilevel"/>
    <w:tmpl w:val="0B48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62347"/>
    <w:multiLevelType w:val="hybridMultilevel"/>
    <w:tmpl w:val="6CC677FE"/>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51412"/>
    <w:multiLevelType w:val="hybridMultilevel"/>
    <w:tmpl w:val="392829F2"/>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74D8B"/>
    <w:multiLevelType w:val="hybridMultilevel"/>
    <w:tmpl w:val="018CB67E"/>
    <w:lvl w:ilvl="0" w:tplc="31363C20">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B727FA"/>
    <w:multiLevelType w:val="hybridMultilevel"/>
    <w:tmpl w:val="BE86BC3C"/>
    <w:lvl w:ilvl="0" w:tplc="C76ABA8A">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04675"/>
    <w:multiLevelType w:val="multilevel"/>
    <w:tmpl w:val="823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868D6"/>
    <w:multiLevelType w:val="hybridMultilevel"/>
    <w:tmpl w:val="6456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32185"/>
    <w:multiLevelType w:val="hybridMultilevel"/>
    <w:tmpl w:val="5184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26817">
    <w:abstractNumId w:val="7"/>
  </w:num>
  <w:num w:numId="2" w16cid:durableId="427892272">
    <w:abstractNumId w:val="17"/>
  </w:num>
  <w:num w:numId="3" w16cid:durableId="1764835355">
    <w:abstractNumId w:val="11"/>
  </w:num>
  <w:num w:numId="4" w16cid:durableId="391347218">
    <w:abstractNumId w:val="8"/>
  </w:num>
  <w:num w:numId="5" w16cid:durableId="1684504385">
    <w:abstractNumId w:val="16"/>
  </w:num>
  <w:num w:numId="6" w16cid:durableId="1906792584">
    <w:abstractNumId w:val="5"/>
  </w:num>
  <w:num w:numId="7" w16cid:durableId="767967392">
    <w:abstractNumId w:val="20"/>
  </w:num>
  <w:num w:numId="8" w16cid:durableId="431170584">
    <w:abstractNumId w:val="10"/>
  </w:num>
  <w:num w:numId="9" w16cid:durableId="145127734">
    <w:abstractNumId w:val="3"/>
  </w:num>
  <w:num w:numId="10" w16cid:durableId="1807432722">
    <w:abstractNumId w:val="14"/>
  </w:num>
  <w:num w:numId="11" w16cid:durableId="50229500">
    <w:abstractNumId w:val="6"/>
  </w:num>
  <w:num w:numId="12" w16cid:durableId="1326132834">
    <w:abstractNumId w:val="9"/>
  </w:num>
  <w:num w:numId="13" w16cid:durableId="221646896">
    <w:abstractNumId w:val="12"/>
  </w:num>
  <w:num w:numId="14" w16cid:durableId="1312564593">
    <w:abstractNumId w:val="19"/>
  </w:num>
  <w:num w:numId="15" w16cid:durableId="9065402">
    <w:abstractNumId w:val="0"/>
  </w:num>
  <w:num w:numId="16" w16cid:durableId="1119641477">
    <w:abstractNumId w:val="4"/>
  </w:num>
  <w:num w:numId="17" w16cid:durableId="1089043106">
    <w:abstractNumId w:val="21"/>
  </w:num>
  <w:num w:numId="18" w16cid:durableId="188762840">
    <w:abstractNumId w:val="18"/>
  </w:num>
  <w:num w:numId="19" w16cid:durableId="1906720388">
    <w:abstractNumId w:val="22"/>
  </w:num>
  <w:num w:numId="20" w16cid:durableId="334575321">
    <w:abstractNumId w:val="1"/>
  </w:num>
  <w:num w:numId="21" w16cid:durableId="1114443270">
    <w:abstractNumId w:val="15"/>
  </w:num>
  <w:num w:numId="22" w16cid:durableId="1921789577">
    <w:abstractNumId w:val="2"/>
  </w:num>
  <w:num w:numId="23" w16cid:durableId="165583493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01A3E"/>
    <w:rsid w:val="0000203B"/>
    <w:rsid w:val="000076FF"/>
    <w:rsid w:val="00010A5E"/>
    <w:rsid w:val="00010F51"/>
    <w:rsid w:val="0001129F"/>
    <w:rsid w:val="00013CFA"/>
    <w:rsid w:val="000179AA"/>
    <w:rsid w:val="00022079"/>
    <w:rsid w:val="00023556"/>
    <w:rsid w:val="00023576"/>
    <w:rsid w:val="00025E53"/>
    <w:rsid w:val="00030E78"/>
    <w:rsid w:val="00031846"/>
    <w:rsid w:val="000334FC"/>
    <w:rsid w:val="00035FDD"/>
    <w:rsid w:val="00036ABF"/>
    <w:rsid w:val="00036E5D"/>
    <w:rsid w:val="000373F2"/>
    <w:rsid w:val="00043EE5"/>
    <w:rsid w:val="000516ED"/>
    <w:rsid w:val="00052B79"/>
    <w:rsid w:val="000537B2"/>
    <w:rsid w:val="00054539"/>
    <w:rsid w:val="00056176"/>
    <w:rsid w:val="0006064B"/>
    <w:rsid w:val="000631B9"/>
    <w:rsid w:val="00064BDC"/>
    <w:rsid w:val="00070C7B"/>
    <w:rsid w:val="000713AF"/>
    <w:rsid w:val="00072627"/>
    <w:rsid w:val="000750D6"/>
    <w:rsid w:val="00075B6F"/>
    <w:rsid w:val="00076EC9"/>
    <w:rsid w:val="0008233E"/>
    <w:rsid w:val="000842DB"/>
    <w:rsid w:val="00087160"/>
    <w:rsid w:val="00092208"/>
    <w:rsid w:val="00094039"/>
    <w:rsid w:val="000954D5"/>
    <w:rsid w:val="00097D8F"/>
    <w:rsid w:val="000A1C41"/>
    <w:rsid w:val="000A227A"/>
    <w:rsid w:val="000A3BB2"/>
    <w:rsid w:val="000A4C5F"/>
    <w:rsid w:val="000A57FF"/>
    <w:rsid w:val="000B0E02"/>
    <w:rsid w:val="000B5BCA"/>
    <w:rsid w:val="000B772A"/>
    <w:rsid w:val="000B7C47"/>
    <w:rsid w:val="000C1463"/>
    <w:rsid w:val="000C2F9A"/>
    <w:rsid w:val="000C498A"/>
    <w:rsid w:val="000C77FB"/>
    <w:rsid w:val="000C7A9C"/>
    <w:rsid w:val="000D26D6"/>
    <w:rsid w:val="000D57D9"/>
    <w:rsid w:val="000E5CF6"/>
    <w:rsid w:val="000E749D"/>
    <w:rsid w:val="000F1498"/>
    <w:rsid w:val="000F1C67"/>
    <w:rsid w:val="000F229B"/>
    <w:rsid w:val="000F35EC"/>
    <w:rsid w:val="000F3816"/>
    <w:rsid w:val="000F42C5"/>
    <w:rsid w:val="000F7788"/>
    <w:rsid w:val="001001E1"/>
    <w:rsid w:val="00102C79"/>
    <w:rsid w:val="00103661"/>
    <w:rsid w:val="00104F20"/>
    <w:rsid w:val="00120ABF"/>
    <w:rsid w:val="001227D9"/>
    <w:rsid w:val="00122D9B"/>
    <w:rsid w:val="00126623"/>
    <w:rsid w:val="001279C4"/>
    <w:rsid w:val="0013285A"/>
    <w:rsid w:val="001363D5"/>
    <w:rsid w:val="00141BDE"/>
    <w:rsid w:val="00142D3D"/>
    <w:rsid w:val="00154F14"/>
    <w:rsid w:val="00170DA1"/>
    <w:rsid w:val="001719E9"/>
    <w:rsid w:val="00171C80"/>
    <w:rsid w:val="001724F5"/>
    <w:rsid w:val="001733B7"/>
    <w:rsid w:val="0017403E"/>
    <w:rsid w:val="0017528E"/>
    <w:rsid w:val="00187F4F"/>
    <w:rsid w:val="00190273"/>
    <w:rsid w:val="00192969"/>
    <w:rsid w:val="00194518"/>
    <w:rsid w:val="0019676B"/>
    <w:rsid w:val="001A072E"/>
    <w:rsid w:val="001A4E44"/>
    <w:rsid w:val="001B18FC"/>
    <w:rsid w:val="001B1CB0"/>
    <w:rsid w:val="001B489D"/>
    <w:rsid w:val="001B6BA7"/>
    <w:rsid w:val="001C0ABB"/>
    <w:rsid w:val="001C0DF2"/>
    <w:rsid w:val="001C27D2"/>
    <w:rsid w:val="001C5088"/>
    <w:rsid w:val="001C7FF6"/>
    <w:rsid w:val="001D12B5"/>
    <w:rsid w:val="001D3727"/>
    <w:rsid w:val="001D4224"/>
    <w:rsid w:val="001E0D8F"/>
    <w:rsid w:val="001E1204"/>
    <w:rsid w:val="001E4C37"/>
    <w:rsid w:val="001F063C"/>
    <w:rsid w:val="001F3506"/>
    <w:rsid w:val="001F3710"/>
    <w:rsid w:val="001F5002"/>
    <w:rsid w:val="002061F2"/>
    <w:rsid w:val="0020658E"/>
    <w:rsid w:val="00207E21"/>
    <w:rsid w:val="00210BEA"/>
    <w:rsid w:val="00213139"/>
    <w:rsid w:val="00213EAC"/>
    <w:rsid w:val="0021440B"/>
    <w:rsid w:val="00216A4C"/>
    <w:rsid w:val="00217D5F"/>
    <w:rsid w:val="002200B6"/>
    <w:rsid w:val="0022284C"/>
    <w:rsid w:val="00225396"/>
    <w:rsid w:val="00226C3A"/>
    <w:rsid w:val="002277DC"/>
    <w:rsid w:val="00230FE0"/>
    <w:rsid w:val="002340E7"/>
    <w:rsid w:val="00234D0E"/>
    <w:rsid w:val="00236BC8"/>
    <w:rsid w:val="002377CB"/>
    <w:rsid w:val="00237D17"/>
    <w:rsid w:val="00243C37"/>
    <w:rsid w:val="00243E32"/>
    <w:rsid w:val="002450AF"/>
    <w:rsid w:val="00245748"/>
    <w:rsid w:val="002529E3"/>
    <w:rsid w:val="0025688D"/>
    <w:rsid w:val="0026005F"/>
    <w:rsid w:val="00260A7A"/>
    <w:rsid w:val="00261662"/>
    <w:rsid w:val="00261732"/>
    <w:rsid w:val="00264777"/>
    <w:rsid w:val="00273D80"/>
    <w:rsid w:val="002766E9"/>
    <w:rsid w:val="002805CE"/>
    <w:rsid w:val="0028149A"/>
    <w:rsid w:val="00281D08"/>
    <w:rsid w:val="00282416"/>
    <w:rsid w:val="00285443"/>
    <w:rsid w:val="0028639B"/>
    <w:rsid w:val="00286DAF"/>
    <w:rsid w:val="00290859"/>
    <w:rsid w:val="0029159D"/>
    <w:rsid w:val="00291F58"/>
    <w:rsid w:val="0029255E"/>
    <w:rsid w:val="002A18C6"/>
    <w:rsid w:val="002A2102"/>
    <w:rsid w:val="002A369C"/>
    <w:rsid w:val="002B3956"/>
    <w:rsid w:val="002B6A27"/>
    <w:rsid w:val="002C0436"/>
    <w:rsid w:val="002C0D92"/>
    <w:rsid w:val="002C7B1D"/>
    <w:rsid w:val="002D19E3"/>
    <w:rsid w:val="002D5F42"/>
    <w:rsid w:val="002E0639"/>
    <w:rsid w:val="002E1BE3"/>
    <w:rsid w:val="002E21BD"/>
    <w:rsid w:val="002E497F"/>
    <w:rsid w:val="002E6E3D"/>
    <w:rsid w:val="002F25DC"/>
    <w:rsid w:val="002F5A43"/>
    <w:rsid w:val="002F6B3F"/>
    <w:rsid w:val="002F7AE2"/>
    <w:rsid w:val="0030138F"/>
    <w:rsid w:val="003045E6"/>
    <w:rsid w:val="00306518"/>
    <w:rsid w:val="00310501"/>
    <w:rsid w:val="0031060B"/>
    <w:rsid w:val="00317BE5"/>
    <w:rsid w:val="00320496"/>
    <w:rsid w:val="003238E4"/>
    <w:rsid w:val="00325781"/>
    <w:rsid w:val="00330D46"/>
    <w:rsid w:val="003315D3"/>
    <w:rsid w:val="003344BB"/>
    <w:rsid w:val="00335DAA"/>
    <w:rsid w:val="0033779E"/>
    <w:rsid w:val="003407C1"/>
    <w:rsid w:val="003434D8"/>
    <w:rsid w:val="00344C85"/>
    <w:rsid w:val="00345276"/>
    <w:rsid w:val="00346724"/>
    <w:rsid w:val="00350E46"/>
    <w:rsid w:val="00351611"/>
    <w:rsid w:val="00353ADB"/>
    <w:rsid w:val="00356728"/>
    <w:rsid w:val="00360358"/>
    <w:rsid w:val="003606E9"/>
    <w:rsid w:val="00372519"/>
    <w:rsid w:val="00374325"/>
    <w:rsid w:val="00381161"/>
    <w:rsid w:val="00381CDB"/>
    <w:rsid w:val="0039045B"/>
    <w:rsid w:val="00395C0B"/>
    <w:rsid w:val="00396A78"/>
    <w:rsid w:val="003A71D3"/>
    <w:rsid w:val="003B2C11"/>
    <w:rsid w:val="003B31AD"/>
    <w:rsid w:val="003B6C5C"/>
    <w:rsid w:val="003B701C"/>
    <w:rsid w:val="003C33B2"/>
    <w:rsid w:val="003C33CE"/>
    <w:rsid w:val="003C5A33"/>
    <w:rsid w:val="003C654F"/>
    <w:rsid w:val="003D0CF0"/>
    <w:rsid w:val="003D52A1"/>
    <w:rsid w:val="003D6EC5"/>
    <w:rsid w:val="003E2237"/>
    <w:rsid w:val="003E2271"/>
    <w:rsid w:val="003E2C2B"/>
    <w:rsid w:val="003E6C33"/>
    <w:rsid w:val="003E765A"/>
    <w:rsid w:val="003F148E"/>
    <w:rsid w:val="003F20ED"/>
    <w:rsid w:val="003F46AD"/>
    <w:rsid w:val="003F5799"/>
    <w:rsid w:val="003F7525"/>
    <w:rsid w:val="0040343E"/>
    <w:rsid w:val="00405B11"/>
    <w:rsid w:val="00405DF0"/>
    <w:rsid w:val="00405FBE"/>
    <w:rsid w:val="004072E0"/>
    <w:rsid w:val="00414C26"/>
    <w:rsid w:val="004153AB"/>
    <w:rsid w:val="004165B4"/>
    <w:rsid w:val="00416845"/>
    <w:rsid w:val="00417A66"/>
    <w:rsid w:val="00423E5E"/>
    <w:rsid w:val="00426161"/>
    <w:rsid w:val="0043209D"/>
    <w:rsid w:val="004364BF"/>
    <w:rsid w:val="004401DC"/>
    <w:rsid w:val="004404E9"/>
    <w:rsid w:val="00440580"/>
    <w:rsid w:val="00443148"/>
    <w:rsid w:val="004505BE"/>
    <w:rsid w:val="00450839"/>
    <w:rsid w:val="00450FD3"/>
    <w:rsid w:val="00451894"/>
    <w:rsid w:val="0045403F"/>
    <w:rsid w:val="00455789"/>
    <w:rsid w:val="004606A8"/>
    <w:rsid w:val="00461073"/>
    <w:rsid w:val="0046232C"/>
    <w:rsid w:val="0047431A"/>
    <w:rsid w:val="004748E9"/>
    <w:rsid w:val="00480977"/>
    <w:rsid w:val="004810A5"/>
    <w:rsid w:val="004810AB"/>
    <w:rsid w:val="004817B8"/>
    <w:rsid w:val="00481D4E"/>
    <w:rsid w:val="004850B6"/>
    <w:rsid w:val="00486BC9"/>
    <w:rsid w:val="0048700C"/>
    <w:rsid w:val="0049178A"/>
    <w:rsid w:val="004920F4"/>
    <w:rsid w:val="00497E8C"/>
    <w:rsid w:val="004A4C3D"/>
    <w:rsid w:val="004A5566"/>
    <w:rsid w:val="004A5CF5"/>
    <w:rsid w:val="004A6E49"/>
    <w:rsid w:val="004B37B2"/>
    <w:rsid w:val="004B45EB"/>
    <w:rsid w:val="004B46A6"/>
    <w:rsid w:val="004B5C3F"/>
    <w:rsid w:val="004B6014"/>
    <w:rsid w:val="004B6CAC"/>
    <w:rsid w:val="004B6E84"/>
    <w:rsid w:val="004C27A8"/>
    <w:rsid w:val="004C7172"/>
    <w:rsid w:val="004D0F18"/>
    <w:rsid w:val="004D1B58"/>
    <w:rsid w:val="004D2E49"/>
    <w:rsid w:val="004D3679"/>
    <w:rsid w:val="004D443E"/>
    <w:rsid w:val="004D48C2"/>
    <w:rsid w:val="004D559D"/>
    <w:rsid w:val="004D6611"/>
    <w:rsid w:val="004D77AA"/>
    <w:rsid w:val="004E10E6"/>
    <w:rsid w:val="004E140E"/>
    <w:rsid w:val="004E303E"/>
    <w:rsid w:val="004F0EF1"/>
    <w:rsid w:val="004F2E9B"/>
    <w:rsid w:val="004F3AD4"/>
    <w:rsid w:val="004F3AF2"/>
    <w:rsid w:val="004F774B"/>
    <w:rsid w:val="005005C6"/>
    <w:rsid w:val="0050101B"/>
    <w:rsid w:val="00503765"/>
    <w:rsid w:val="0050569E"/>
    <w:rsid w:val="00506224"/>
    <w:rsid w:val="00506799"/>
    <w:rsid w:val="00506A88"/>
    <w:rsid w:val="0051093E"/>
    <w:rsid w:val="005137AB"/>
    <w:rsid w:val="0051449B"/>
    <w:rsid w:val="0052078B"/>
    <w:rsid w:val="005254F9"/>
    <w:rsid w:val="00527465"/>
    <w:rsid w:val="00534A63"/>
    <w:rsid w:val="005362D5"/>
    <w:rsid w:val="00540228"/>
    <w:rsid w:val="00540320"/>
    <w:rsid w:val="00540B65"/>
    <w:rsid w:val="00543470"/>
    <w:rsid w:val="00545185"/>
    <w:rsid w:val="005452D9"/>
    <w:rsid w:val="0054764A"/>
    <w:rsid w:val="00552E16"/>
    <w:rsid w:val="00562956"/>
    <w:rsid w:val="00564ACC"/>
    <w:rsid w:val="00564D9C"/>
    <w:rsid w:val="005704D1"/>
    <w:rsid w:val="005704EE"/>
    <w:rsid w:val="00570BC7"/>
    <w:rsid w:val="0057241C"/>
    <w:rsid w:val="00576291"/>
    <w:rsid w:val="00580AB0"/>
    <w:rsid w:val="00582850"/>
    <w:rsid w:val="00584078"/>
    <w:rsid w:val="00584D7A"/>
    <w:rsid w:val="00590452"/>
    <w:rsid w:val="005938C6"/>
    <w:rsid w:val="005939B1"/>
    <w:rsid w:val="0059633B"/>
    <w:rsid w:val="005A0F47"/>
    <w:rsid w:val="005A2607"/>
    <w:rsid w:val="005A466D"/>
    <w:rsid w:val="005B0472"/>
    <w:rsid w:val="005B2298"/>
    <w:rsid w:val="005B525C"/>
    <w:rsid w:val="005C1B82"/>
    <w:rsid w:val="005C2872"/>
    <w:rsid w:val="005D0021"/>
    <w:rsid w:val="005D14A3"/>
    <w:rsid w:val="005D2474"/>
    <w:rsid w:val="005D4F61"/>
    <w:rsid w:val="005D6210"/>
    <w:rsid w:val="005D6CB4"/>
    <w:rsid w:val="005D6F3B"/>
    <w:rsid w:val="005E3A95"/>
    <w:rsid w:val="005E44EC"/>
    <w:rsid w:val="005E4E40"/>
    <w:rsid w:val="005F201B"/>
    <w:rsid w:val="005F3561"/>
    <w:rsid w:val="005F4E0B"/>
    <w:rsid w:val="005F7161"/>
    <w:rsid w:val="005F71ED"/>
    <w:rsid w:val="00600C15"/>
    <w:rsid w:val="00602903"/>
    <w:rsid w:val="00605443"/>
    <w:rsid w:val="006059C2"/>
    <w:rsid w:val="006121E8"/>
    <w:rsid w:val="006142C7"/>
    <w:rsid w:val="00614EC0"/>
    <w:rsid w:val="00615A32"/>
    <w:rsid w:val="006223A7"/>
    <w:rsid w:val="00625483"/>
    <w:rsid w:val="006256F7"/>
    <w:rsid w:val="00626308"/>
    <w:rsid w:val="0062663A"/>
    <w:rsid w:val="0063269C"/>
    <w:rsid w:val="006343C3"/>
    <w:rsid w:val="00636F47"/>
    <w:rsid w:val="00640328"/>
    <w:rsid w:val="00640B6D"/>
    <w:rsid w:val="006418EB"/>
    <w:rsid w:val="00643736"/>
    <w:rsid w:val="00645728"/>
    <w:rsid w:val="006521E0"/>
    <w:rsid w:val="00654607"/>
    <w:rsid w:val="00655832"/>
    <w:rsid w:val="006603EC"/>
    <w:rsid w:val="0066188E"/>
    <w:rsid w:val="006644BB"/>
    <w:rsid w:val="0066463B"/>
    <w:rsid w:val="00665E80"/>
    <w:rsid w:val="006710A2"/>
    <w:rsid w:val="00672C60"/>
    <w:rsid w:val="00676C01"/>
    <w:rsid w:val="00681EA7"/>
    <w:rsid w:val="00684265"/>
    <w:rsid w:val="00685D2B"/>
    <w:rsid w:val="00690EDD"/>
    <w:rsid w:val="0069485C"/>
    <w:rsid w:val="006972D9"/>
    <w:rsid w:val="006A280F"/>
    <w:rsid w:val="006A2A5E"/>
    <w:rsid w:val="006A391E"/>
    <w:rsid w:val="006A5D0E"/>
    <w:rsid w:val="006A6839"/>
    <w:rsid w:val="006B11B2"/>
    <w:rsid w:val="006B1D7D"/>
    <w:rsid w:val="006B2DF2"/>
    <w:rsid w:val="006B31D3"/>
    <w:rsid w:val="006B3F7D"/>
    <w:rsid w:val="006B40EC"/>
    <w:rsid w:val="006B47BE"/>
    <w:rsid w:val="006B6FB5"/>
    <w:rsid w:val="006C0AC2"/>
    <w:rsid w:val="006C5321"/>
    <w:rsid w:val="006C6347"/>
    <w:rsid w:val="006D0A6A"/>
    <w:rsid w:val="006D1883"/>
    <w:rsid w:val="006D2140"/>
    <w:rsid w:val="006D5AD4"/>
    <w:rsid w:val="006E0A38"/>
    <w:rsid w:val="006E1227"/>
    <w:rsid w:val="006E20F5"/>
    <w:rsid w:val="006E7CDA"/>
    <w:rsid w:val="006F10AB"/>
    <w:rsid w:val="006F402B"/>
    <w:rsid w:val="006F6F84"/>
    <w:rsid w:val="00701F69"/>
    <w:rsid w:val="0070296F"/>
    <w:rsid w:val="00710DDD"/>
    <w:rsid w:val="00712395"/>
    <w:rsid w:val="00716C89"/>
    <w:rsid w:val="00721283"/>
    <w:rsid w:val="00727821"/>
    <w:rsid w:val="007308D4"/>
    <w:rsid w:val="007329D6"/>
    <w:rsid w:val="00735366"/>
    <w:rsid w:val="00736A8A"/>
    <w:rsid w:val="00736E09"/>
    <w:rsid w:val="00751AD8"/>
    <w:rsid w:val="007535D2"/>
    <w:rsid w:val="00755AF1"/>
    <w:rsid w:val="00756BBC"/>
    <w:rsid w:val="00757E91"/>
    <w:rsid w:val="00760C30"/>
    <w:rsid w:val="00767018"/>
    <w:rsid w:val="00767559"/>
    <w:rsid w:val="0077583A"/>
    <w:rsid w:val="0077695F"/>
    <w:rsid w:val="00783D56"/>
    <w:rsid w:val="007840AF"/>
    <w:rsid w:val="00786BBB"/>
    <w:rsid w:val="00787800"/>
    <w:rsid w:val="0079014A"/>
    <w:rsid w:val="00790B9D"/>
    <w:rsid w:val="00793CA9"/>
    <w:rsid w:val="007975FC"/>
    <w:rsid w:val="007B11BF"/>
    <w:rsid w:val="007B5C63"/>
    <w:rsid w:val="007B72F3"/>
    <w:rsid w:val="007C07CB"/>
    <w:rsid w:val="007C0DF5"/>
    <w:rsid w:val="007C0E8D"/>
    <w:rsid w:val="007C3B1B"/>
    <w:rsid w:val="007C6A58"/>
    <w:rsid w:val="007D11D0"/>
    <w:rsid w:val="007D2455"/>
    <w:rsid w:val="007D36C4"/>
    <w:rsid w:val="007D5AAE"/>
    <w:rsid w:val="007D6534"/>
    <w:rsid w:val="007D66F6"/>
    <w:rsid w:val="007D6D7B"/>
    <w:rsid w:val="007E0518"/>
    <w:rsid w:val="007F3765"/>
    <w:rsid w:val="007F3DB7"/>
    <w:rsid w:val="0080567B"/>
    <w:rsid w:val="008076AC"/>
    <w:rsid w:val="0081185D"/>
    <w:rsid w:val="00813BF3"/>
    <w:rsid w:val="008142DA"/>
    <w:rsid w:val="008201CF"/>
    <w:rsid w:val="00820872"/>
    <w:rsid w:val="008209E2"/>
    <w:rsid w:val="0082166C"/>
    <w:rsid w:val="00823C28"/>
    <w:rsid w:val="0082522B"/>
    <w:rsid w:val="00825947"/>
    <w:rsid w:val="008271F4"/>
    <w:rsid w:val="00827560"/>
    <w:rsid w:val="00830B69"/>
    <w:rsid w:val="008320ED"/>
    <w:rsid w:val="00833861"/>
    <w:rsid w:val="00834FED"/>
    <w:rsid w:val="008351AE"/>
    <w:rsid w:val="00837FE9"/>
    <w:rsid w:val="008416F1"/>
    <w:rsid w:val="008419BA"/>
    <w:rsid w:val="0084488E"/>
    <w:rsid w:val="008469CB"/>
    <w:rsid w:val="00854008"/>
    <w:rsid w:val="008560E2"/>
    <w:rsid w:val="008639E7"/>
    <w:rsid w:val="00865141"/>
    <w:rsid w:val="0086709C"/>
    <w:rsid w:val="00870DE5"/>
    <w:rsid w:val="00873777"/>
    <w:rsid w:val="0087781B"/>
    <w:rsid w:val="00880FAD"/>
    <w:rsid w:val="008834D9"/>
    <w:rsid w:val="00883966"/>
    <w:rsid w:val="00884924"/>
    <w:rsid w:val="008904B7"/>
    <w:rsid w:val="008915CA"/>
    <w:rsid w:val="0089311B"/>
    <w:rsid w:val="00893414"/>
    <w:rsid w:val="00896882"/>
    <w:rsid w:val="008A13C0"/>
    <w:rsid w:val="008A2266"/>
    <w:rsid w:val="008A4462"/>
    <w:rsid w:val="008B3BBE"/>
    <w:rsid w:val="008B4BD6"/>
    <w:rsid w:val="008C47BF"/>
    <w:rsid w:val="008C5A5E"/>
    <w:rsid w:val="008C622A"/>
    <w:rsid w:val="008C7EF6"/>
    <w:rsid w:val="008D2013"/>
    <w:rsid w:val="008E2088"/>
    <w:rsid w:val="008E30CA"/>
    <w:rsid w:val="008E326F"/>
    <w:rsid w:val="008E3ADB"/>
    <w:rsid w:val="008E3B09"/>
    <w:rsid w:val="008E6288"/>
    <w:rsid w:val="008E721E"/>
    <w:rsid w:val="008E78E3"/>
    <w:rsid w:val="008F0BEA"/>
    <w:rsid w:val="008F1B53"/>
    <w:rsid w:val="008F1C74"/>
    <w:rsid w:val="008F5021"/>
    <w:rsid w:val="008F50B2"/>
    <w:rsid w:val="008F6130"/>
    <w:rsid w:val="008F68B6"/>
    <w:rsid w:val="00900D3D"/>
    <w:rsid w:val="00900EBB"/>
    <w:rsid w:val="00901E8F"/>
    <w:rsid w:val="00902960"/>
    <w:rsid w:val="00905C6E"/>
    <w:rsid w:val="00910461"/>
    <w:rsid w:val="009124CF"/>
    <w:rsid w:val="00914B0C"/>
    <w:rsid w:val="00915D84"/>
    <w:rsid w:val="00916677"/>
    <w:rsid w:val="009170FC"/>
    <w:rsid w:val="00920D72"/>
    <w:rsid w:val="00922462"/>
    <w:rsid w:val="00927AB7"/>
    <w:rsid w:val="00930845"/>
    <w:rsid w:val="00934354"/>
    <w:rsid w:val="0093752E"/>
    <w:rsid w:val="00940495"/>
    <w:rsid w:val="00942DC8"/>
    <w:rsid w:val="00943A9B"/>
    <w:rsid w:val="00944F6E"/>
    <w:rsid w:val="00944F77"/>
    <w:rsid w:val="00945E52"/>
    <w:rsid w:val="00946F2B"/>
    <w:rsid w:val="00947950"/>
    <w:rsid w:val="0095091A"/>
    <w:rsid w:val="009531C7"/>
    <w:rsid w:val="00954A71"/>
    <w:rsid w:val="009560B1"/>
    <w:rsid w:val="00963DE0"/>
    <w:rsid w:val="0096631E"/>
    <w:rsid w:val="00970CF7"/>
    <w:rsid w:val="00973A58"/>
    <w:rsid w:val="0097570B"/>
    <w:rsid w:val="00976337"/>
    <w:rsid w:val="00976AED"/>
    <w:rsid w:val="0097793D"/>
    <w:rsid w:val="00982404"/>
    <w:rsid w:val="00983469"/>
    <w:rsid w:val="00983FD1"/>
    <w:rsid w:val="009844E2"/>
    <w:rsid w:val="009848DE"/>
    <w:rsid w:val="00990988"/>
    <w:rsid w:val="00996352"/>
    <w:rsid w:val="009967DA"/>
    <w:rsid w:val="009969AF"/>
    <w:rsid w:val="009A067B"/>
    <w:rsid w:val="009A7DEC"/>
    <w:rsid w:val="009B0DAD"/>
    <w:rsid w:val="009B514E"/>
    <w:rsid w:val="009C1D21"/>
    <w:rsid w:val="009C3DC6"/>
    <w:rsid w:val="009C6EA4"/>
    <w:rsid w:val="009D3BE0"/>
    <w:rsid w:val="009D48E2"/>
    <w:rsid w:val="009E07B2"/>
    <w:rsid w:val="009E223F"/>
    <w:rsid w:val="009E28F1"/>
    <w:rsid w:val="009E427B"/>
    <w:rsid w:val="009E5C97"/>
    <w:rsid w:val="009F3B85"/>
    <w:rsid w:val="009F5480"/>
    <w:rsid w:val="009F5625"/>
    <w:rsid w:val="00A00F62"/>
    <w:rsid w:val="00A05209"/>
    <w:rsid w:val="00A0673E"/>
    <w:rsid w:val="00A1524B"/>
    <w:rsid w:val="00A316FC"/>
    <w:rsid w:val="00A31A26"/>
    <w:rsid w:val="00A346F0"/>
    <w:rsid w:val="00A35DEB"/>
    <w:rsid w:val="00A37912"/>
    <w:rsid w:val="00A47858"/>
    <w:rsid w:val="00A47C6D"/>
    <w:rsid w:val="00A50CF4"/>
    <w:rsid w:val="00A551CD"/>
    <w:rsid w:val="00A60425"/>
    <w:rsid w:val="00A63AC3"/>
    <w:rsid w:val="00A66003"/>
    <w:rsid w:val="00A718AD"/>
    <w:rsid w:val="00A71BA5"/>
    <w:rsid w:val="00A72230"/>
    <w:rsid w:val="00A76705"/>
    <w:rsid w:val="00A76E0D"/>
    <w:rsid w:val="00A816A8"/>
    <w:rsid w:val="00A81DBC"/>
    <w:rsid w:val="00A81F80"/>
    <w:rsid w:val="00A82E7D"/>
    <w:rsid w:val="00A83657"/>
    <w:rsid w:val="00A87867"/>
    <w:rsid w:val="00A94480"/>
    <w:rsid w:val="00AA0606"/>
    <w:rsid w:val="00AA1A78"/>
    <w:rsid w:val="00AA24AC"/>
    <w:rsid w:val="00AA556D"/>
    <w:rsid w:val="00AB6B74"/>
    <w:rsid w:val="00AC223A"/>
    <w:rsid w:val="00AC3016"/>
    <w:rsid w:val="00AC5907"/>
    <w:rsid w:val="00AC664C"/>
    <w:rsid w:val="00AC6EDE"/>
    <w:rsid w:val="00AE09BD"/>
    <w:rsid w:val="00AE3BA0"/>
    <w:rsid w:val="00AE3FDC"/>
    <w:rsid w:val="00AE53BA"/>
    <w:rsid w:val="00AE57F3"/>
    <w:rsid w:val="00AE7D5F"/>
    <w:rsid w:val="00AF0B18"/>
    <w:rsid w:val="00AF2F22"/>
    <w:rsid w:val="00AF7942"/>
    <w:rsid w:val="00B01026"/>
    <w:rsid w:val="00B01A81"/>
    <w:rsid w:val="00B03824"/>
    <w:rsid w:val="00B11B28"/>
    <w:rsid w:val="00B14695"/>
    <w:rsid w:val="00B153BA"/>
    <w:rsid w:val="00B222EB"/>
    <w:rsid w:val="00B239DF"/>
    <w:rsid w:val="00B25874"/>
    <w:rsid w:val="00B276BC"/>
    <w:rsid w:val="00B30B98"/>
    <w:rsid w:val="00B35B1E"/>
    <w:rsid w:val="00B37196"/>
    <w:rsid w:val="00B417A6"/>
    <w:rsid w:val="00B41BD7"/>
    <w:rsid w:val="00B422E1"/>
    <w:rsid w:val="00B42963"/>
    <w:rsid w:val="00B4311E"/>
    <w:rsid w:val="00B46F52"/>
    <w:rsid w:val="00B47310"/>
    <w:rsid w:val="00B53721"/>
    <w:rsid w:val="00B55CFC"/>
    <w:rsid w:val="00B623C7"/>
    <w:rsid w:val="00B63693"/>
    <w:rsid w:val="00B65F36"/>
    <w:rsid w:val="00B70EE8"/>
    <w:rsid w:val="00B722B6"/>
    <w:rsid w:val="00B7289E"/>
    <w:rsid w:val="00B742C1"/>
    <w:rsid w:val="00B7543A"/>
    <w:rsid w:val="00B81409"/>
    <w:rsid w:val="00B81636"/>
    <w:rsid w:val="00B82138"/>
    <w:rsid w:val="00B84173"/>
    <w:rsid w:val="00B85B2A"/>
    <w:rsid w:val="00B863AB"/>
    <w:rsid w:val="00B97095"/>
    <w:rsid w:val="00BA390A"/>
    <w:rsid w:val="00BA3A59"/>
    <w:rsid w:val="00BA75BA"/>
    <w:rsid w:val="00BB2212"/>
    <w:rsid w:val="00BB38E6"/>
    <w:rsid w:val="00BB5CC2"/>
    <w:rsid w:val="00BB7942"/>
    <w:rsid w:val="00BC2EC4"/>
    <w:rsid w:val="00BC39A0"/>
    <w:rsid w:val="00BC3F89"/>
    <w:rsid w:val="00BC66D1"/>
    <w:rsid w:val="00BC6B1B"/>
    <w:rsid w:val="00BD00B3"/>
    <w:rsid w:val="00BD1067"/>
    <w:rsid w:val="00BD7B6C"/>
    <w:rsid w:val="00BE1596"/>
    <w:rsid w:val="00BE1860"/>
    <w:rsid w:val="00BE2EDC"/>
    <w:rsid w:val="00BE46F9"/>
    <w:rsid w:val="00BE509F"/>
    <w:rsid w:val="00BE7B15"/>
    <w:rsid w:val="00BF1729"/>
    <w:rsid w:val="00BF31C2"/>
    <w:rsid w:val="00BF31F3"/>
    <w:rsid w:val="00BF7F3D"/>
    <w:rsid w:val="00C004B1"/>
    <w:rsid w:val="00C01986"/>
    <w:rsid w:val="00C01B08"/>
    <w:rsid w:val="00C01BF9"/>
    <w:rsid w:val="00C03249"/>
    <w:rsid w:val="00C03622"/>
    <w:rsid w:val="00C05A27"/>
    <w:rsid w:val="00C07021"/>
    <w:rsid w:val="00C0794D"/>
    <w:rsid w:val="00C12C68"/>
    <w:rsid w:val="00C141B8"/>
    <w:rsid w:val="00C147BE"/>
    <w:rsid w:val="00C15344"/>
    <w:rsid w:val="00C306A0"/>
    <w:rsid w:val="00C33390"/>
    <w:rsid w:val="00C41175"/>
    <w:rsid w:val="00C46FBE"/>
    <w:rsid w:val="00C53B0B"/>
    <w:rsid w:val="00C56898"/>
    <w:rsid w:val="00C6169E"/>
    <w:rsid w:val="00C64FED"/>
    <w:rsid w:val="00C665D3"/>
    <w:rsid w:val="00C66FDC"/>
    <w:rsid w:val="00C728D5"/>
    <w:rsid w:val="00C72ED4"/>
    <w:rsid w:val="00C75B55"/>
    <w:rsid w:val="00C76070"/>
    <w:rsid w:val="00C7665F"/>
    <w:rsid w:val="00C83FB9"/>
    <w:rsid w:val="00C862B7"/>
    <w:rsid w:val="00C864A2"/>
    <w:rsid w:val="00C8657E"/>
    <w:rsid w:val="00C877E9"/>
    <w:rsid w:val="00C94434"/>
    <w:rsid w:val="00C94449"/>
    <w:rsid w:val="00C94653"/>
    <w:rsid w:val="00C96C62"/>
    <w:rsid w:val="00C9723A"/>
    <w:rsid w:val="00CA41F9"/>
    <w:rsid w:val="00CB093B"/>
    <w:rsid w:val="00CB1A8D"/>
    <w:rsid w:val="00CB4579"/>
    <w:rsid w:val="00CB7F9A"/>
    <w:rsid w:val="00CC0616"/>
    <w:rsid w:val="00CD3BE0"/>
    <w:rsid w:val="00CE099E"/>
    <w:rsid w:val="00CE64C8"/>
    <w:rsid w:val="00CF097D"/>
    <w:rsid w:val="00CF37BA"/>
    <w:rsid w:val="00CF57C8"/>
    <w:rsid w:val="00CF7E1D"/>
    <w:rsid w:val="00D02C2B"/>
    <w:rsid w:val="00D032F7"/>
    <w:rsid w:val="00D0460F"/>
    <w:rsid w:val="00D1072F"/>
    <w:rsid w:val="00D12245"/>
    <w:rsid w:val="00D12902"/>
    <w:rsid w:val="00D17498"/>
    <w:rsid w:val="00D17D98"/>
    <w:rsid w:val="00D205BE"/>
    <w:rsid w:val="00D210E7"/>
    <w:rsid w:val="00D2595C"/>
    <w:rsid w:val="00D3116A"/>
    <w:rsid w:val="00D314D6"/>
    <w:rsid w:val="00D36760"/>
    <w:rsid w:val="00D412C2"/>
    <w:rsid w:val="00D46212"/>
    <w:rsid w:val="00D47231"/>
    <w:rsid w:val="00D5379A"/>
    <w:rsid w:val="00D550B0"/>
    <w:rsid w:val="00D6007E"/>
    <w:rsid w:val="00D605C1"/>
    <w:rsid w:val="00D60F4C"/>
    <w:rsid w:val="00D61ECD"/>
    <w:rsid w:val="00D62EF1"/>
    <w:rsid w:val="00D67A1D"/>
    <w:rsid w:val="00D73412"/>
    <w:rsid w:val="00D751BD"/>
    <w:rsid w:val="00D8232A"/>
    <w:rsid w:val="00D82B65"/>
    <w:rsid w:val="00D82EC9"/>
    <w:rsid w:val="00D85313"/>
    <w:rsid w:val="00D85E08"/>
    <w:rsid w:val="00D92326"/>
    <w:rsid w:val="00DA13A9"/>
    <w:rsid w:val="00DA1AA5"/>
    <w:rsid w:val="00DA3D66"/>
    <w:rsid w:val="00DA5811"/>
    <w:rsid w:val="00DA6015"/>
    <w:rsid w:val="00DB73DA"/>
    <w:rsid w:val="00DC0FD5"/>
    <w:rsid w:val="00DC1426"/>
    <w:rsid w:val="00DC1A8D"/>
    <w:rsid w:val="00DC28E9"/>
    <w:rsid w:val="00DC39ED"/>
    <w:rsid w:val="00DC6285"/>
    <w:rsid w:val="00DC7ABA"/>
    <w:rsid w:val="00DD4A17"/>
    <w:rsid w:val="00DE0811"/>
    <w:rsid w:val="00DE15DF"/>
    <w:rsid w:val="00DE3C6F"/>
    <w:rsid w:val="00DE5277"/>
    <w:rsid w:val="00DE5BFC"/>
    <w:rsid w:val="00DE71A9"/>
    <w:rsid w:val="00DF35A4"/>
    <w:rsid w:val="00E007E8"/>
    <w:rsid w:val="00E04299"/>
    <w:rsid w:val="00E0659B"/>
    <w:rsid w:val="00E11661"/>
    <w:rsid w:val="00E13264"/>
    <w:rsid w:val="00E14929"/>
    <w:rsid w:val="00E1720C"/>
    <w:rsid w:val="00E221F1"/>
    <w:rsid w:val="00E23202"/>
    <w:rsid w:val="00E24581"/>
    <w:rsid w:val="00E251FE"/>
    <w:rsid w:val="00E318C1"/>
    <w:rsid w:val="00E3427B"/>
    <w:rsid w:val="00E37114"/>
    <w:rsid w:val="00E4236A"/>
    <w:rsid w:val="00E423C6"/>
    <w:rsid w:val="00E47509"/>
    <w:rsid w:val="00E4759E"/>
    <w:rsid w:val="00E51C77"/>
    <w:rsid w:val="00E52EAC"/>
    <w:rsid w:val="00E551C0"/>
    <w:rsid w:val="00E562F6"/>
    <w:rsid w:val="00E5632B"/>
    <w:rsid w:val="00E6027F"/>
    <w:rsid w:val="00E61768"/>
    <w:rsid w:val="00E6420B"/>
    <w:rsid w:val="00E662F3"/>
    <w:rsid w:val="00E74D07"/>
    <w:rsid w:val="00E778DF"/>
    <w:rsid w:val="00E81B27"/>
    <w:rsid w:val="00E84EC6"/>
    <w:rsid w:val="00E8793B"/>
    <w:rsid w:val="00E91279"/>
    <w:rsid w:val="00E9313D"/>
    <w:rsid w:val="00E935FE"/>
    <w:rsid w:val="00EA0F36"/>
    <w:rsid w:val="00EA75BA"/>
    <w:rsid w:val="00EB081A"/>
    <w:rsid w:val="00EB0865"/>
    <w:rsid w:val="00EB6640"/>
    <w:rsid w:val="00EC0395"/>
    <w:rsid w:val="00EC0583"/>
    <w:rsid w:val="00EC0BE7"/>
    <w:rsid w:val="00EC31D5"/>
    <w:rsid w:val="00EC6246"/>
    <w:rsid w:val="00ED5C89"/>
    <w:rsid w:val="00ED7C08"/>
    <w:rsid w:val="00EE451E"/>
    <w:rsid w:val="00EF0683"/>
    <w:rsid w:val="00EF3ACF"/>
    <w:rsid w:val="00EF44C3"/>
    <w:rsid w:val="00EF6AAA"/>
    <w:rsid w:val="00F01DA0"/>
    <w:rsid w:val="00F04CC5"/>
    <w:rsid w:val="00F0542F"/>
    <w:rsid w:val="00F069F9"/>
    <w:rsid w:val="00F1267F"/>
    <w:rsid w:val="00F20129"/>
    <w:rsid w:val="00F23601"/>
    <w:rsid w:val="00F23A11"/>
    <w:rsid w:val="00F30B06"/>
    <w:rsid w:val="00F44CE4"/>
    <w:rsid w:val="00F44E6F"/>
    <w:rsid w:val="00F47ED9"/>
    <w:rsid w:val="00F52332"/>
    <w:rsid w:val="00F60588"/>
    <w:rsid w:val="00F606B5"/>
    <w:rsid w:val="00F63484"/>
    <w:rsid w:val="00F66907"/>
    <w:rsid w:val="00F70483"/>
    <w:rsid w:val="00F73488"/>
    <w:rsid w:val="00F73912"/>
    <w:rsid w:val="00F74463"/>
    <w:rsid w:val="00F75F0B"/>
    <w:rsid w:val="00F77E4A"/>
    <w:rsid w:val="00F85243"/>
    <w:rsid w:val="00F90018"/>
    <w:rsid w:val="00F917AF"/>
    <w:rsid w:val="00F95CD0"/>
    <w:rsid w:val="00F97972"/>
    <w:rsid w:val="00FA0C38"/>
    <w:rsid w:val="00FA380E"/>
    <w:rsid w:val="00FA42E5"/>
    <w:rsid w:val="00FA50F6"/>
    <w:rsid w:val="00FA790A"/>
    <w:rsid w:val="00FB2DF9"/>
    <w:rsid w:val="00FB3282"/>
    <w:rsid w:val="00FB373D"/>
    <w:rsid w:val="00FB447F"/>
    <w:rsid w:val="00FB56E2"/>
    <w:rsid w:val="00FB7961"/>
    <w:rsid w:val="00FC160B"/>
    <w:rsid w:val="00FC31AD"/>
    <w:rsid w:val="00FC4BCC"/>
    <w:rsid w:val="00FC7B42"/>
    <w:rsid w:val="00FD1C59"/>
    <w:rsid w:val="00FD30E7"/>
    <w:rsid w:val="00FD34CB"/>
    <w:rsid w:val="00FD4F2F"/>
    <w:rsid w:val="00FE0522"/>
    <w:rsid w:val="00FE1837"/>
    <w:rsid w:val="00FF022C"/>
    <w:rsid w:val="00FF0CEE"/>
    <w:rsid w:val="00FF35D8"/>
    <w:rsid w:val="00FF5ED7"/>
    <w:rsid w:val="23C864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D26BF"/>
  <w15:docId w15:val="{2E7FC29F-42EA-4626-91E6-8C31E41E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2">
    <w:name w:val="heading 2"/>
    <w:basedOn w:val="Normal"/>
    <w:link w:val="Heading2Char"/>
    <w:uiPriority w:val="9"/>
    <w:qFormat/>
    <w:rsid w:val="009D3BE0"/>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551CD"/>
    <w:pPr>
      <w:keepNext/>
      <w:keepLines/>
      <w:spacing w:before="40"/>
      <w:outlineLvl w:val="2"/>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3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3BE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semiHidden/>
    <w:rsid w:val="00A551CD"/>
    <w:rPr>
      <w:rFonts w:asciiTheme="majorHAnsi" w:eastAsiaTheme="majorEastAsia" w:hAnsiTheme="majorHAnsi" w:cstheme="majorBidi"/>
      <w:color w:val="6E6E6E" w:themeColor="accent1" w:themeShade="7F"/>
    </w:rPr>
  </w:style>
  <w:style w:type="character" w:styleId="PageNumber">
    <w:name w:val="page number"/>
    <w:basedOn w:val="DefaultParagraphFont"/>
    <w:uiPriority w:val="99"/>
    <w:semiHidden/>
    <w:unhideWhenUsed/>
    <w:rsid w:val="00064BDC"/>
  </w:style>
  <w:style w:type="character" w:customStyle="1" w:styleId="normaltextrun">
    <w:name w:val="normaltextrun"/>
    <w:basedOn w:val="DefaultParagraphFont"/>
    <w:rsid w:val="00F63484"/>
  </w:style>
  <w:style w:type="paragraph" w:customStyle="1" w:styleId="xmsonormal">
    <w:name w:val="x_msonormal"/>
    <w:basedOn w:val="Normal"/>
    <w:rsid w:val="00F66907"/>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844E2"/>
    <w:rPr>
      <w:color w:val="605E5C"/>
      <w:shd w:val="clear" w:color="auto" w:fill="E1DFDD"/>
    </w:rPr>
  </w:style>
  <w:style w:type="paragraph" w:styleId="Revision">
    <w:name w:val="Revision"/>
    <w:hidden/>
    <w:uiPriority w:val="99"/>
    <w:semiHidden/>
    <w:rsid w:val="0025688D"/>
    <w:rPr>
      <w:rFonts w:ascii="Arial" w:eastAsia="Times New Roman" w:hAnsi="Arial" w:cs="Arial"/>
    </w:rPr>
  </w:style>
  <w:style w:type="paragraph" w:customStyle="1" w:styleId="paragraph">
    <w:name w:val="paragraph"/>
    <w:basedOn w:val="Normal"/>
    <w:rsid w:val="008C5A5E"/>
    <w:pPr>
      <w:spacing w:before="100" w:beforeAutospacing="1" w:after="100" w:afterAutospacing="1"/>
    </w:pPr>
    <w:rPr>
      <w:rFonts w:ascii="Times New Roman" w:hAnsi="Times New Roman" w:cs="Times New Roman"/>
      <w:lang w:eastAsia="en-GB"/>
    </w:rPr>
  </w:style>
  <w:style w:type="character" w:customStyle="1" w:styleId="eop">
    <w:name w:val="eop"/>
    <w:basedOn w:val="DefaultParagraphFont"/>
    <w:rsid w:val="008C5A5E"/>
  </w:style>
  <w:style w:type="table" w:customStyle="1" w:styleId="TableGrid4">
    <w:name w:val="Table Grid4"/>
    <w:basedOn w:val="TableNormal"/>
    <w:next w:val="TableGrid"/>
    <w:uiPriority w:val="39"/>
    <w:rsid w:val="00E931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6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182">
          <w:marLeft w:val="446"/>
          <w:marRight w:val="0"/>
          <w:marTop w:val="200"/>
          <w:marBottom w:val="0"/>
          <w:divBdr>
            <w:top w:val="none" w:sz="0" w:space="0" w:color="auto"/>
            <w:left w:val="none" w:sz="0" w:space="0" w:color="auto"/>
            <w:bottom w:val="none" w:sz="0" w:space="0" w:color="auto"/>
            <w:right w:val="none" w:sz="0" w:space="0" w:color="auto"/>
          </w:divBdr>
        </w:div>
        <w:div w:id="519466667">
          <w:marLeft w:val="446"/>
          <w:marRight w:val="0"/>
          <w:marTop w:val="200"/>
          <w:marBottom w:val="0"/>
          <w:divBdr>
            <w:top w:val="none" w:sz="0" w:space="0" w:color="auto"/>
            <w:left w:val="none" w:sz="0" w:space="0" w:color="auto"/>
            <w:bottom w:val="none" w:sz="0" w:space="0" w:color="auto"/>
            <w:right w:val="none" w:sz="0" w:space="0" w:color="auto"/>
          </w:divBdr>
        </w:div>
        <w:div w:id="779645660">
          <w:marLeft w:val="446"/>
          <w:marRight w:val="0"/>
          <w:marTop w:val="200"/>
          <w:marBottom w:val="0"/>
          <w:divBdr>
            <w:top w:val="none" w:sz="0" w:space="0" w:color="auto"/>
            <w:left w:val="none" w:sz="0" w:space="0" w:color="auto"/>
            <w:bottom w:val="none" w:sz="0" w:space="0" w:color="auto"/>
            <w:right w:val="none" w:sz="0" w:space="0" w:color="auto"/>
          </w:divBdr>
        </w:div>
        <w:div w:id="882867727">
          <w:marLeft w:val="446"/>
          <w:marRight w:val="0"/>
          <w:marTop w:val="200"/>
          <w:marBottom w:val="0"/>
          <w:divBdr>
            <w:top w:val="none" w:sz="0" w:space="0" w:color="auto"/>
            <w:left w:val="none" w:sz="0" w:space="0" w:color="auto"/>
            <w:bottom w:val="none" w:sz="0" w:space="0" w:color="auto"/>
            <w:right w:val="none" w:sz="0" w:space="0" w:color="auto"/>
          </w:divBdr>
        </w:div>
        <w:div w:id="1075712605">
          <w:marLeft w:val="446"/>
          <w:marRight w:val="0"/>
          <w:marTop w:val="200"/>
          <w:marBottom w:val="0"/>
          <w:divBdr>
            <w:top w:val="none" w:sz="0" w:space="0" w:color="auto"/>
            <w:left w:val="none" w:sz="0" w:space="0" w:color="auto"/>
            <w:bottom w:val="none" w:sz="0" w:space="0" w:color="auto"/>
            <w:right w:val="none" w:sz="0" w:space="0" w:color="auto"/>
          </w:divBdr>
        </w:div>
        <w:div w:id="1471244680">
          <w:marLeft w:val="446"/>
          <w:marRight w:val="0"/>
          <w:marTop w:val="200"/>
          <w:marBottom w:val="0"/>
          <w:divBdr>
            <w:top w:val="none" w:sz="0" w:space="0" w:color="auto"/>
            <w:left w:val="none" w:sz="0" w:space="0" w:color="auto"/>
            <w:bottom w:val="none" w:sz="0" w:space="0" w:color="auto"/>
            <w:right w:val="none" w:sz="0" w:space="0" w:color="auto"/>
          </w:divBdr>
        </w:div>
        <w:div w:id="1680304149">
          <w:marLeft w:val="446"/>
          <w:marRight w:val="0"/>
          <w:marTop w:val="200"/>
          <w:marBottom w:val="0"/>
          <w:divBdr>
            <w:top w:val="none" w:sz="0" w:space="0" w:color="auto"/>
            <w:left w:val="none" w:sz="0" w:space="0" w:color="auto"/>
            <w:bottom w:val="none" w:sz="0" w:space="0" w:color="auto"/>
            <w:right w:val="none" w:sz="0" w:space="0" w:color="auto"/>
          </w:divBdr>
        </w:div>
        <w:div w:id="1779370137">
          <w:marLeft w:val="446"/>
          <w:marRight w:val="0"/>
          <w:marTop w:val="200"/>
          <w:marBottom w:val="0"/>
          <w:divBdr>
            <w:top w:val="none" w:sz="0" w:space="0" w:color="auto"/>
            <w:left w:val="none" w:sz="0" w:space="0" w:color="auto"/>
            <w:bottom w:val="none" w:sz="0" w:space="0" w:color="auto"/>
            <w:right w:val="none" w:sz="0" w:space="0" w:color="auto"/>
          </w:divBdr>
        </w:div>
      </w:divsChild>
    </w:div>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3437">
      <w:bodyDiv w:val="1"/>
      <w:marLeft w:val="0"/>
      <w:marRight w:val="0"/>
      <w:marTop w:val="0"/>
      <w:marBottom w:val="0"/>
      <w:divBdr>
        <w:top w:val="none" w:sz="0" w:space="0" w:color="auto"/>
        <w:left w:val="none" w:sz="0" w:space="0" w:color="auto"/>
        <w:bottom w:val="none" w:sz="0" w:space="0" w:color="auto"/>
        <w:right w:val="none" w:sz="0" w:space="0" w:color="auto"/>
      </w:divBdr>
      <w:divsChild>
        <w:div w:id="557590845">
          <w:marLeft w:val="274"/>
          <w:marRight w:val="0"/>
          <w:marTop w:val="0"/>
          <w:marBottom w:val="0"/>
          <w:divBdr>
            <w:top w:val="none" w:sz="0" w:space="0" w:color="auto"/>
            <w:left w:val="none" w:sz="0" w:space="0" w:color="auto"/>
            <w:bottom w:val="none" w:sz="0" w:space="0" w:color="auto"/>
            <w:right w:val="none" w:sz="0" w:space="0" w:color="auto"/>
          </w:divBdr>
        </w:div>
        <w:div w:id="1099134034">
          <w:marLeft w:val="274"/>
          <w:marRight w:val="0"/>
          <w:marTop w:val="0"/>
          <w:marBottom w:val="0"/>
          <w:divBdr>
            <w:top w:val="none" w:sz="0" w:space="0" w:color="auto"/>
            <w:left w:val="none" w:sz="0" w:space="0" w:color="auto"/>
            <w:bottom w:val="none" w:sz="0" w:space="0" w:color="auto"/>
            <w:right w:val="none" w:sz="0" w:space="0" w:color="auto"/>
          </w:divBdr>
        </w:div>
        <w:div w:id="1924484325">
          <w:marLeft w:val="274"/>
          <w:marRight w:val="0"/>
          <w:marTop w:val="0"/>
          <w:marBottom w:val="0"/>
          <w:divBdr>
            <w:top w:val="none" w:sz="0" w:space="0" w:color="auto"/>
            <w:left w:val="none" w:sz="0" w:space="0" w:color="auto"/>
            <w:bottom w:val="none" w:sz="0" w:space="0" w:color="auto"/>
            <w:right w:val="none" w:sz="0" w:space="0" w:color="auto"/>
          </w:divBdr>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257156">
      <w:bodyDiv w:val="1"/>
      <w:marLeft w:val="0"/>
      <w:marRight w:val="0"/>
      <w:marTop w:val="0"/>
      <w:marBottom w:val="0"/>
      <w:divBdr>
        <w:top w:val="none" w:sz="0" w:space="0" w:color="auto"/>
        <w:left w:val="none" w:sz="0" w:space="0" w:color="auto"/>
        <w:bottom w:val="none" w:sz="0" w:space="0" w:color="auto"/>
        <w:right w:val="none" w:sz="0" w:space="0" w:color="auto"/>
      </w:divBdr>
    </w:div>
    <w:div w:id="646325936">
      <w:bodyDiv w:val="1"/>
      <w:marLeft w:val="0"/>
      <w:marRight w:val="0"/>
      <w:marTop w:val="0"/>
      <w:marBottom w:val="0"/>
      <w:divBdr>
        <w:top w:val="none" w:sz="0" w:space="0" w:color="auto"/>
        <w:left w:val="none" w:sz="0" w:space="0" w:color="auto"/>
        <w:bottom w:val="none" w:sz="0" w:space="0" w:color="auto"/>
        <w:right w:val="none" w:sz="0" w:space="0" w:color="auto"/>
      </w:divBdr>
      <w:divsChild>
        <w:div w:id="1353802770">
          <w:marLeft w:val="446"/>
          <w:marRight w:val="0"/>
          <w:marTop w:val="200"/>
          <w:marBottom w:val="0"/>
          <w:divBdr>
            <w:top w:val="none" w:sz="0" w:space="0" w:color="auto"/>
            <w:left w:val="none" w:sz="0" w:space="0" w:color="auto"/>
            <w:bottom w:val="none" w:sz="0" w:space="0" w:color="auto"/>
            <w:right w:val="none" w:sz="0" w:space="0" w:color="auto"/>
          </w:divBdr>
        </w:div>
        <w:div w:id="1980956764">
          <w:marLeft w:val="446"/>
          <w:marRight w:val="0"/>
          <w:marTop w:val="200"/>
          <w:marBottom w:val="0"/>
          <w:divBdr>
            <w:top w:val="none" w:sz="0" w:space="0" w:color="auto"/>
            <w:left w:val="none" w:sz="0" w:space="0" w:color="auto"/>
            <w:bottom w:val="none" w:sz="0" w:space="0" w:color="auto"/>
            <w:right w:val="none" w:sz="0" w:space="0" w:color="auto"/>
          </w:divBdr>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30374">
      <w:bodyDiv w:val="1"/>
      <w:marLeft w:val="0"/>
      <w:marRight w:val="0"/>
      <w:marTop w:val="0"/>
      <w:marBottom w:val="0"/>
      <w:divBdr>
        <w:top w:val="none" w:sz="0" w:space="0" w:color="auto"/>
        <w:left w:val="none" w:sz="0" w:space="0" w:color="auto"/>
        <w:bottom w:val="none" w:sz="0" w:space="0" w:color="auto"/>
        <w:right w:val="none" w:sz="0" w:space="0" w:color="auto"/>
      </w:divBdr>
      <w:divsChild>
        <w:div w:id="93209790">
          <w:marLeft w:val="446"/>
          <w:marRight w:val="0"/>
          <w:marTop w:val="200"/>
          <w:marBottom w:val="0"/>
          <w:divBdr>
            <w:top w:val="none" w:sz="0" w:space="0" w:color="auto"/>
            <w:left w:val="none" w:sz="0" w:space="0" w:color="auto"/>
            <w:bottom w:val="none" w:sz="0" w:space="0" w:color="auto"/>
            <w:right w:val="none" w:sz="0" w:space="0" w:color="auto"/>
          </w:divBdr>
        </w:div>
        <w:div w:id="379132359">
          <w:marLeft w:val="446"/>
          <w:marRight w:val="0"/>
          <w:marTop w:val="200"/>
          <w:marBottom w:val="0"/>
          <w:divBdr>
            <w:top w:val="none" w:sz="0" w:space="0" w:color="auto"/>
            <w:left w:val="none" w:sz="0" w:space="0" w:color="auto"/>
            <w:bottom w:val="none" w:sz="0" w:space="0" w:color="auto"/>
            <w:right w:val="none" w:sz="0" w:space="0" w:color="auto"/>
          </w:divBdr>
        </w:div>
        <w:div w:id="718937965">
          <w:marLeft w:val="446"/>
          <w:marRight w:val="0"/>
          <w:marTop w:val="200"/>
          <w:marBottom w:val="0"/>
          <w:divBdr>
            <w:top w:val="none" w:sz="0" w:space="0" w:color="auto"/>
            <w:left w:val="none" w:sz="0" w:space="0" w:color="auto"/>
            <w:bottom w:val="none" w:sz="0" w:space="0" w:color="auto"/>
            <w:right w:val="none" w:sz="0" w:space="0" w:color="auto"/>
          </w:divBdr>
        </w:div>
        <w:div w:id="1285313535">
          <w:marLeft w:val="446"/>
          <w:marRight w:val="0"/>
          <w:marTop w:val="200"/>
          <w:marBottom w:val="0"/>
          <w:divBdr>
            <w:top w:val="none" w:sz="0" w:space="0" w:color="auto"/>
            <w:left w:val="none" w:sz="0" w:space="0" w:color="auto"/>
            <w:bottom w:val="none" w:sz="0" w:space="0" w:color="auto"/>
            <w:right w:val="none" w:sz="0" w:space="0" w:color="auto"/>
          </w:divBdr>
        </w:div>
        <w:div w:id="1640648592">
          <w:marLeft w:val="446"/>
          <w:marRight w:val="0"/>
          <w:marTop w:val="200"/>
          <w:marBottom w:val="0"/>
          <w:divBdr>
            <w:top w:val="none" w:sz="0" w:space="0" w:color="auto"/>
            <w:left w:val="none" w:sz="0" w:space="0" w:color="auto"/>
            <w:bottom w:val="none" w:sz="0" w:space="0" w:color="auto"/>
            <w:right w:val="none" w:sz="0" w:space="0" w:color="auto"/>
          </w:divBdr>
        </w:div>
        <w:div w:id="1700544634">
          <w:marLeft w:val="446"/>
          <w:marRight w:val="0"/>
          <w:marTop w:val="200"/>
          <w:marBottom w:val="0"/>
          <w:divBdr>
            <w:top w:val="none" w:sz="0" w:space="0" w:color="auto"/>
            <w:left w:val="none" w:sz="0" w:space="0" w:color="auto"/>
            <w:bottom w:val="none" w:sz="0" w:space="0" w:color="auto"/>
            <w:right w:val="none" w:sz="0" w:space="0" w:color="auto"/>
          </w:divBdr>
        </w:div>
        <w:div w:id="1961301138">
          <w:marLeft w:val="446"/>
          <w:marRight w:val="0"/>
          <w:marTop w:val="200"/>
          <w:marBottom w:val="0"/>
          <w:divBdr>
            <w:top w:val="none" w:sz="0" w:space="0" w:color="auto"/>
            <w:left w:val="none" w:sz="0" w:space="0" w:color="auto"/>
            <w:bottom w:val="none" w:sz="0" w:space="0" w:color="auto"/>
            <w:right w:val="none" w:sz="0" w:space="0" w:color="auto"/>
          </w:divBdr>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50687241">
      <w:bodyDiv w:val="1"/>
      <w:marLeft w:val="0"/>
      <w:marRight w:val="0"/>
      <w:marTop w:val="0"/>
      <w:marBottom w:val="0"/>
      <w:divBdr>
        <w:top w:val="none" w:sz="0" w:space="0" w:color="auto"/>
        <w:left w:val="none" w:sz="0" w:space="0" w:color="auto"/>
        <w:bottom w:val="none" w:sz="0" w:space="0" w:color="auto"/>
        <w:right w:val="none" w:sz="0" w:space="0" w:color="auto"/>
      </w:divBdr>
      <w:divsChild>
        <w:div w:id="155732380">
          <w:marLeft w:val="446"/>
          <w:marRight w:val="0"/>
          <w:marTop w:val="0"/>
          <w:marBottom w:val="0"/>
          <w:divBdr>
            <w:top w:val="none" w:sz="0" w:space="0" w:color="auto"/>
            <w:left w:val="none" w:sz="0" w:space="0" w:color="auto"/>
            <w:bottom w:val="none" w:sz="0" w:space="0" w:color="auto"/>
            <w:right w:val="none" w:sz="0" w:space="0" w:color="auto"/>
          </w:divBdr>
        </w:div>
        <w:div w:id="594634244">
          <w:marLeft w:val="446"/>
          <w:marRight w:val="0"/>
          <w:marTop w:val="0"/>
          <w:marBottom w:val="0"/>
          <w:divBdr>
            <w:top w:val="none" w:sz="0" w:space="0" w:color="auto"/>
            <w:left w:val="none" w:sz="0" w:space="0" w:color="auto"/>
            <w:bottom w:val="none" w:sz="0" w:space="0" w:color="auto"/>
            <w:right w:val="none" w:sz="0" w:space="0" w:color="auto"/>
          </w:divBdr>
        </w:div>
        <w:div w:id="957444085">
          <w:marLeft w:val="446"/>
          <w:marRight w:val="0"/>
          <w:marTop w:val="0"/>
          <w:marBottom w:val="0"/>
          <w:divBdr>
            <w:top w:val="none" w:sz="0" w:space="0" w:color="auto"/>
            <w:left w:val="none" w:sz="0" w:space="0" w:color="auto"/>
            <w:bottom w:val="none" w:sz="0" w:space="0" w:color="auto"/>
            <w:right w:val="none" w:sz="0" w:space="0" w:color="auto"/>
          </w:divBdr>
        </w:div>
        <w:div w:id="959914985">
          <w:marLeft w:val="446"/>
          <w:marRight w:val="0"/>
          <w:marTop w:val="0"/>
          <w:marBottom w:val="0"/>
          <w:divBdr>
            <w:top w:val="none" w:sz="0" w:space="0" w:color="auto"/>
            <w:left w:val="none" w:sz="0" w:space="0" w:color="auto"/>
            <w:bottom w:val="none" w:sz="0" w:space="0" w:color="auto"/>
            <w:right w:val="none" w:sz="0" w:space="0" w:color="auto"/>
          </w:divBdr>
        </w:div>
        <w:div w:id="1418090724">
          <w:marLeft w:val="446"/>
          <w:marRight w:val="0"/>
          <w:marTop w:val="0"/>
          <w:marBottom w:val="0"/>
          <w:divBdr>
            <w:top w:val="none" w:sz="0" w:space="0" w:color="auto"/>
            <w:left w:val="none" w:sz="0" w:space="0" w:color="auto"/>
            <w:bottom w:val="none" w:sz="0" w:space="0" w:color="auto"/>
            <w:right w:val="none" w:sz="0" w:space="0" w:color="auto"/>
          </w:divBdr>
        </w:div>
        <w:div w:id="1694838750">
          <w:marLeft w:val="446"/>
          <w:marRight w:val="0"/>
          <w:marTop w:val="0"/>
          <w:marBottom w:val="0"/>
          <w:divBdr>
            <w:top w:val="none" w:sz="0" w:space="0" w:color="auto"/>
            <w:left w:val="none" w:sz="0" w:space="0" w:color="auto"/>
            <w:bottom w:val="none" w:sz="0" w:space="0" w:color="auto"/>
            <w:right w:val="none" w:sz="0" w:space="0" w:color="auto"/>
          </w:divBdr>
        </w:div>
      </w:divsChild>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137534006">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05920">
      <w:bodyDiv w:val="1"/>
      <w:marLeft w:val="0"/>
      <w:marRight w:val="0"/>
      <w:marTop w:val="0"/>
      <w:marBottom w:val="0"/>
      <w:divBdr>
        <w:top w:val="none" w:sz="0" w:space="0" w:color="auto"/>
        <w:left w:val="none" w:sz="0" w:space="0" w:color="auto"/>
        <w:bottom w:val="none" w:sz="0" w:space="0" w:color="auto"/>
        <w:right w:val="none" w:sz="0" w:space="0" w:color="auto"/>
      </w:divBdr>
      <w:divsChild>
        <w:div w:id="98763314">
          <w:marLeft w:val="446"/>
          <w:marRight w:val="0"/>
          <w:marTop w:val="0"/>
          <w:marBottom w:val="0"/>
          <w:divBdr>
            <w:top w:val="none" w:sz="0" w:space="0" w:color="auto"/>
            <w:left w:val="none" w:sz="0" w:space="0" w:color="auto"/>
            <w:bottom w:val="none" w:sz="0" w:space="0" w:color="auto"/>
            <w:right w:val="none" w:sz="0" w:space="0" w:color="auto"/>
          </w:divBdr>
        </w:div>
        <w:div w:id="495338777">
          <w:marLeft w:val="446"/>
          <w:marRight w:val="0"/>
          <w:marTop w:val="0"/>
          <w:marBottom w:val="0"/>
          <w:divBdr>
            <w:top w:val="none" w:sz="0" w:space="0" w:color="auto"/>
            <w:left w:val="none" w:sz="0" w:space="0" w:color="auto"/>
            <w:bottom w:val="none" w:sz="0" w:space="0" w:color="auto"/>
            <w:right w:val="none" w:sz="0" w:space="0" w:color="auto"/>
          </w:divBdr>
        </w:div>
        <w:div w:id="972439723">
          <w:marLeft w:val="446"/>
          <w:marRight w:val="0"/>
          <w:marTop w:val="0"/>
          <w:marBottom w:val="0"/>
          <w:divBdr>
            <w:top w:val="none" w:sz="0" w:space="0" w:color="auto"/>
            <w:left w:val="none" w:sz="0" w:space="0" w:color="auto"/>
            <w:bottom w:val="none" w:sz="0" w:space="0" w:color="auto"/>
            <w:right w:val="none" w:sz="0" w:space="0" w:color="auto"/>
          </w:divBdr>
        </w:div>
        <w:div w:id="2104764743">
          <w:marLeft w:val="446"/>
          <w:marRight w:val="0"/>
          <w:marTop w:val="0"/>
          <w:marBottom w:val="0"/>
          <w:divBdr>
            <w:top w:val="none" w:sz="0" w:space="0" w:color="auto"/>
            <w:left w:val="none" w:sz="0" w:space="0" w:color="auto"/>
            <w:bottom w:val="none" w:sz="0" w:space="0" w:color="auto"/>
            <w:right w:val="none" w:sz="0" w:space="0" w:color="auto"/>
          </w:divBdr>
        </w:div>
      </w:divsChild>
    </w:div>
    <w:div w:id="1386879500">
      <w:bodyDiv w:val="1"/>
      <w:marLeft w:val="0"/>
      <w:marRight w:val="0"/>
      <w:marTop w:val="0"/>
      <w:marBottom w:val="0"/>
      <w:divBdr>
        <w:top w:val="none" w:sz="0" w:space="0" w:color="auto"/>
        <w:left w:val="none" w:sz="0" w:space="0" w:color="auto"/>
        <w:bottom w:val="none" w:sz="0" w:space="0" w:color="auto"/>
        <w:right w:val="none" w:sz="0" w:space="0" w:color="auto"/>
      </w:divBdr>
      <w:divsChild>
        <w:div w:id="920722724">
          <w:marLeft w:val="0"/>
          <w:marRight w:val="0"/>
          <w:marTop w:val="0"/>
          <w:marBottom w:val="0"/>
          <w:divBdr>
            <w:top w:val="none" w:sz="0" w:space="0" w:color="auto"/>
            <w:left w:val="none" w:sz="0" w:space="0" w:color="auto"/>
            <w:bottom w:val="none" w:sz="0" w:space="0" w:color="auto"/>
            <w:right w:val="none" w:sz="0" w:space="0" w:color="auto"/>
          </w:divBdr>
        </w:div>
        <w:div w:id="40717009">
          <w:marLeft w:val="0"/>
          <w:marRight w:val="0"/>
          <w:marTop w:val="0"/>
          <w:marBottom w:val="0"/>
          <w:divBdr>
            <w:top w:val="none" w:sz="0" w:space="0" w:color="auto"/>
            <w:left w:val="none" w:sz="0" w:space="0" w:color="auto"/>
            <w:bottom w:val="none" w:sz="0" w:space="0" w:color="auto"/>
            <w:right w:val="none" w:sz="0" w:space="0" w:color="auto"/>
          </w:divBdr>
        </w:div>
        <w:div w:id="1307970748">
          <w:marLeft w:val="0"/>
          <w:marRight w:val="0"/>
          <w:marTop w:val="0"/>
          <w:marBottom w:val="0"/>
          <w:divBdr>
            <w:top w:val="none" w:sz="0" w:space="0" w:color="auto"/>
            <w:left w:val="none" w:sz="0" w:space="0" w:color="auto"/>
            <w:bottom w:val="none" w:sz="0" w:space="0" w:color="auto"/>
            <w:right w:val="none" w:sz="0" w:space="0" w:color="auto"/>
          </w:divBdr>
        </w:div>
        <w:div w:id="581795575">
          <w:marLeft w:val="0"/>
          <w:marRight w:val="0"/>
          <w:marTop w:val="0"/>
          <w:marBottom w:val="0"/>
          <w:divBdr>
            <w:top w:val="none" w:sz="0" w:space="0" w:color="auto"/>
            <w:left w:val="none" w:sz="0" w:space="0" w:color="auto"/>
            <w:bottom w:val="none" w:sz="0" w:space="0" w:color="auto"/>
            <w:right w:val="none" w:sz="0" w:space="0" w:color="auto"/>
          </w:divBdr>
        </w:div>
        <w:div w:id="58989202">
          <w:marLeft w:val="0"/>
          <w:marRight w:val="0"/>
          <w:marTop w:val="0"/>
          <w:marBottom w:val="0"/>
          <w:divBdr>
            <w:top w:val="none" w:sz="0" w:space="0" w:color="auto"/>
            <w:left w:val="none" w:sz="0" w:space="0" w:color="auto"/>
            <w:bottom w:val="none" w:sz="0" w:space="0" w:color="auto"/>
            <w:right w:val="none" w:sz="0" w:space="0" w:color="auto"/>
          </w:divBdr>
        </w:div>
        <w:div w:id="1455371140">
          <w:marLeft w:val="0"/>
          <w:marRight w:val="0"/>
          <w:marTop w:val="0"/>
          <w:marBottom w:val="0"/>
          <w:divBdr>
            <w:top w:val="none" w:sz="0" w:space="0" w:color="auto"/>
            <w:left w:val="none" w:sz="0" w:space="0" w:color="auto"/>
            <w:bottom w:val="none" w:sz="0" w:space="0" w:color="auto"/>
            <w:right w:val="none" w:sz="0" w:space="0" w:color="auto"/>
          </w:divBdr>
        </w:div>
        <w:div w:id="1538934055">
          <w:marLeft w:val="0"/>
          <w:marRight w:val="0"/>
          <w:marTop w:val="0"/>
          <w:marBottom w:val="0"/>
          <w:divBdr>
            <w:top w:val="none" w:sz="0" w:space="0" w:color="auto"/>
            <w:left w:val="none" w:sz="0" w:space="0" w:color="auto"/>
            <w:bottom w:val="none" w:sz="0" w:space="0" w:color="auto"/>
            <w:right w:val="none" w:sz="0" w:space="0" w:color="auto"/>
          </w:divBdr>
        </w:div>
        <w:div w:id="278225214">
          <w:marLeft w:val="0"/>
          <w:marRight w:val="0"/>
          <w:marTop w:val="0"/>
          <w:marBottom w:val="0"/>
          <w:divBdr>
            <w:top w:val="none" w:sz="0" w:space="0" w:color="auto"/>
            <w:left w:val="none" w:sz="0" w:space="0" w:color="auto"/>
            <w:bottom w:val="none" w:sz="0" w:space="0" w:color="auto"/>
            <w:right w:val="none" w:sz="0" w:space="0" w:color="auto"/>
          </w:divBdr>
        </w:div>
        <w:div w:id="535121432">
          <w:marLeft w:val="0"/>
          <w:marRight w:val="0"/>
          <w:marTop w:val="0"/>
          <w:marBottom w:val="0"/>
          <w:divBdr>
            <w:top w:val="none" w:sz="0" w:space="0" w:color="auto"/>
            <w:left w:val="none" w:sz="0" w:space="0" w:color="auto"/>
            <w:bottom w:val="none" w:sz="0" w:space="0" w:color="auto"/>
            <w:right w:val="none" w:sz="0" w:space="0" w:color="auto"/>
          </w:divBdr>
        </w:div>
        <w:div w:id="2074892023">
          <w:marLeft w:val="0"/>
          <w:marRight w:val="0"/>
          <w:marTop w:val="0"/>
          <w:marBottom w:val="0"/>
          <w:divBdr>
            <w:top w:val="none" w:sz="0" w:space="0" w:color="auto"/>
            <w:left w:val="none" w:sz="0" w:space="0" w:color="auto"/>
            <w:bottom w:val="none" w:sz="0" w:space="0" w:color="auto"/>
            <w:right w:val="none" w:sz="0" w:space="0" w:color="auto"/>
          </w:divBdr>
        </w:div>
        <w:div w:id="1354720675">
          <w:marLeft w:val="0"/>
          <w:marRight w:val="0"/>
          <w:marTop w:val="0"/>
          <w:marBottom w:val="0"/>
          <w:divBdr>
            <w:top w:val="none" w:sz="0" w:space="0" w:color="auto"/>
            <w:left w:val="none" w:sz="0" w:space="0" w:color="auto"/>
            <w:bottom w:val="none" w:sz="0" w:space="0" w:color="auto"/>
            <w:right w:val="none" w:sz="0" w:space="0" w:color="auto"/>
          </w:divBdr>
        </w:div>
        <w:div w:id="916134349">
          <w:marLeft w:val="0"/>
          <w:marRight w:val="0"/>
          <w:marTop w:val="0"/>
          <w:marBottom w:val="0"/>
          <w:divBdr>
            <w:top w:val="none" w:sz="0" w:space="0" w:color="auto"/>
            <w:left w:val="none" w:sz="0" w:space="0" w:color="auto"/>
            <w:bottom w:val="none" w:sz="0" w:space="0" w:color="auto"/>
            <w:right w:val="none" w:sz="0" w:space="0" w:color="auto"/>
          </w:divBdr>
        </w:div>
        <w:div w:id="1615944539">
          <w:marLeft w:val="0"/>
          <w:marRight w:val="0"/>
          <w:marTop w:val="0"/>
          <w:marBottom w:val="0"/>
          <w:divBdr>
            <w:top w:val="none" w:sz="0" w:space="0" w:color="auto"/>
            <w:left w:val="none" w:sz="0" w:space="0" w:color="auto"/>
            <w:bottom w:val="none" w:sz="0" w:space="0" w:color="auto"/>
            <w:right w:val="none" w:sz="0" w:space="0" w:color="auto"/>
          </w:divBdr>
        </w:div>
        <w:div w:id="1576817016">
          <w:marLeft w:val="0"/>
          <w:marRight w:val="0"/>
          <w:marTop w:val="0"/>
          <w:marBottom w:val="0"/>
          <w:divBdr>
            <w:top w:val="none" w:sz="0" w:space="0" w:color="auto"/>
            <w:left w:val="none" w:sz="0" w:space="0" w:color="auto"/>
            <w:bottom w:val="none" w:sz="0" w:space="0" w:color="auto"/>
            <w:right w:val="none" w:sz="0" w:space="0" w:color="auto"/>
          </w:divBdr>
        </w:div>
        <w:div w:id="337389171">
          <w:marLeft w:val="0"/>
          <w:marRight w:val="0"/>
          <w:marTop w:val="0"/>
          <w:marBottom w:val="0"/>
          <w:divBdr>
            <w:top w:val="none" w:sz="0" w:space="0" w:color="auto"/>
            <w:left w:val="none" w:sz="0" w:space="0" w:color="auto"/>
            <w:bottom w:val="none" w:sz="0" w:space="0" w:color="auto"/>
            <w:right w:val="none" w:sz="0" w:space="0" w:color="auto"/>
          </w:divBdr>
        </w:div>
        <w:div w:id="191581200">
          <w:marLeft w:val="0"/>
          <w:marRight w:val="0"/>
          <w:marTop w:val="0"/>
          <w:marBottom w:val="0"/>
          <w:divBdr>
            <w:top w:val="none" w:sz="0" w:space="0" w:color="auto"/>
            <w:left w:val="none" w:sz="0" w:space="0" w:color="auto"/>
            <w:bottom w:val="none" w:sz="0" w:space="0" w:color="auto"/>
            <w:right w:val="none" w:sz="0" w:space="0" w:color="auto"/>
          </w:divBdr>
        </w:div>
        <w:div w:id="395054946">
          <w:marLeft w:val="0"/>
          <w:marRight w:val="0"/>
          <w:marTop w:val="0"/>
          <w:marBottom w:val="0"/>
          <w:divBdr>
            <w:top w:val="none" w:sz="0" w:space="0" w:color="auto"/>
            <w:left w:val="none" w:sz="0" w:space="0" w:color="auto"/>
            <w:bottom w:val="none" w:sz="0" w:space="0" w:color="auto"/>
            <w:right w:val="none" w:sz="0" w:space="0" w:color="auto"/>
          </w:divBdr>
        </w:div>
        <w:div w:id="758599254">
          <w:marLeft w:val="0"/>
          <w:marRight w:val="0"/>
          <w:marTop w:val="0"/>
          <w:marBottom w:val="0"/>
          <w:divBdr>
            <w:top w:val="none" w:sz="0" w:space="0" w:color="auto"/>
            <w:left w:val="none" w:sz="0" w:space="0" w:color="auto"/>
            <w:bottom w:val="none" w:sz="0" w:space="0" w:color="auto"/>
            <w:right w:val="none" w:sz="0" w:space="0" w:color="auto"/>
          </w:divBdr>
        </w:div>
        <w:div w:id="1625038225">
          <w:marLeft w:val="0"/>
          <w:marRight w:val="0"/>
          <w:marTop w:val="0"/>
          <w:marBottom w:val="0"/>
          <w:divBdr>
            <w:top w:val="none" w:sz="0" w:space="0" w:color="auto"/>
            <w:left w:val="none" w:sz="0" w:space="0" w:color="auto"/>
            <w:bottom w:val="none" w:sz="0" w:space="0" w:color="auto"/>
            <w:right w:val="none" w:sz="0" w:space="0" w:color="auto"/>
          </w:divBdr>
        </w:div>
        <w:div w:id="1537498917">
          <w:marLeft w:val="0"/>
          <w:marRight w:val="0"/>
          <w:marTop w:val="0"/>
          <w:marBottom w:val="0"/>
          <w:divBdr>
            <w:top w:val="none" w:sz="0" w:space="0" w:color="auto"/>
            <w:left w:val="none" w:sz="0" w:space="0" w:color="auto"/>
            <w:bottom w:val="none" w:sz="0" w:space="0" w:color="auto"/>
            <w:right w:val="none" w:sz="0" w:space="0" w:color="auto"/>
          </w:divBdr>
        </w:div>
        <w:div w:id="787041567">
          <w:marLeft w:val="0"/>
          <w:marRight w:val="0"/>
          <w:marTop w:val="0"/>
          <w:marBottom w:val="0"/>
          <w:divBdr>
            <w:top w:val="none" w:sz="0" w:space="0" w:color="auto"/>
            <w:left w:val="none" w:sz="0" w:space="0" w:color="auto"/>
            <w:bottom w:val="none" w:sz="0" w:space="0" w:color="auto"/>
            <w:right w:val="none" w:sz="0" w:space="0" w:color="auto"/>
          </w:divBdr>
        </w:div>
        <w:div w:id="1040932465">
          <w:marLeft w:val="0"/>
          <w:marRight w:val="0"/>
          <w:marTop w:val="0"/>
          <w:marBottom w:val="0"/>
          <w:divBdr>
            <w:top w:val="none" w:sz="0" w:space="0" w:color="auto"/>
            <w:left w:val="none" w:sz="0" w:space="0" w:color="auto"/>
            <w:bottom w:val="none" w:sz="0" w:space="0" w:color="auto"/>
            <w:right w:val="none" w:sz="0" w:space="0" w:color="auto"/>
          </w:divBdr>
        </w:div>
        <w:div w:id="1051534533">
          <w:marLeft w:val="0"/>
          <w:marRight w:val="0"/>
          <w:marTop w:val="0"/>
          <w:marBottom w:val="0"/>
          <w:divBdr>
            <w:top w:val="none" w:sz="0" w:space="0" w:color="auto"/>
            <w:left w:val="none" w:sz="0" w:space="0" w:color="auto"/>
            <w:bottom w:val="none" w:sz="0" w:space="0" w:color="auto"/>
            <w:right w:val="none" w:sz="0" w:space="0" w:color="auto"/>
          </w:divBdr>
        </w:div>
        <w:div w:id="654531472">
          <w:marLeft w:val="0"/>
          <w:marRight w:val="0"/>
          <w:marTop w:val="0"/>
          <w:marBottom w:val="0"/>
          <w:divBdr>
            <w:top w:val="none" w:sz="0" w:space="0" w:color="auto"/>
            <w:left w:val="none" w:sz="0" w:space="0" w:color="auto"/>
            <w:bottom w:val="none" w:sz="0" w:space="0" w:color="auto"/>
            <w:right w:val="none" w:sz="0" w:space="0" w:color="auto"/>
          </w:divBdr>
        </w:div>
        <w:div w:id="1178734594">
          <w:marLeft w:val="0"/>
          <w:marRight w:val="0"/>
          <w:marTop w:val="0"/>
          <w:marBottom w:val="0"/>
          <w:divBdr>
            <w:top w:val="none" w:sz="0" w:space="0" w:color="auto"/>
            <w:left w:val="none" w:sz="0" w:space="0" w:color="auto"/>
            <w:bottom w:val="none" w:sz="0" w:space="0" w:color="auto"/>
            <w:right w:val="none" w:sz="0" w:space="0" w:color="auto"/>
          </w:divBdr>
        </w:div>
        <w:div w:id="969555964">
          <w:marLeft w:val="0"/>
          <w:marRight w:val="0"/>
          <w:marTop w:val="0"/>
          <w:marBottom w:val="0"/>
          <w:divBdr>
            <w:top w:val="none" w:sz="0" w:space="0" w:color="auto"/>
            <w:left w:val="none" w:sz="0" w:space="0" w:color="auto"/>
            <w:bottom w:val="none" w:sz="0" w:space="0" w:color="auto"/>
            <w:right w:val="none" w:sz="0" w:space="0" w:color="auto"/>
          </w:divBdr>
        </w:div>
        <w:div w:id="978806892">
          <w:marLeft w:val="0"/>
          <w:marRight w:val="0"/>
          <w:marTop w:val="0"/>
          <w:marBottom w:val="0"/>
          <w:divBdr>
            <w:top w:val="none" w:sz="0" w:space="0" w:color="auto"/>
            <w:left w:val="none" w:sz="0" w:space="0" w:color="auto"/>
            <w:bottom w:val="none" w:sz="0" w:space="0" w:color="auto"/>
            <w:right w:val="none" w:sz="0" w:space="0" w:color="auto"/>
          </w:divBdr>
        </w:div>
        <w:div w:id="321664891">
          <w:marLeft w:val="0"/>
          <w:marRight w:val="0"/>
          <w:marTop w:val="0"/>
          <w:marBottom w:val="0"/>
          <w:divBdr>
            <w:top w:val="none" w:sz="0" w:space="0" w:color="auto"/>
            <w:left w:val="none" w:sz="0" w:space="0" w:color="auto"/>
            <w:bottom w:val="none" w:sz="0" w:space="0" w:color="auto"/>
            <w:right w:val="none" w:sz="0" w:space="0" w:color="auto"/>
          </w:divBdr>
        </w:div>
        <w:div w:id="71197063">
          <w:marLeft w:val="0"/>
          <w:marRight w:val="0"/>
          <w:marTop w:val="0"/>
          <w:marBottom w:val="0"/>
          <w:divBdr>
            <w:top w:val="none" w:sz="0" w:space="0" w:color="auto"/>
            <w:left w:val="none" w:sz="0" w:space="0" w:color="auto"/>
            <w:bottom w:val="none" w:sz="0" w:space="0" w:color="auto"/>
            <w:right w:val="none" w:sz="0" w:space="0" w:color="auto"/>
          </w:divBdr>
        </w:div>
        <w:div w:id="307782701">
          <w:marLeft w:val="0"/>
          <w:marRight w:val="0"/>
          <w:marTop w:val="0"/>
          <w:marBottom w:val="0"/>
          <w:divBdr>
            <w:top w:val="none" w:sz="0" w:space="0" w:color="auto"/>
            <w:left w:val="none" w:sz="0" w:space="0" w:color="auto"/>
            <w:bottom w:val="none" w:sz="0" w:space="0" w:color="auto"/>
            <w:right w:val="none" w:sz="0" w:space="0" w:color="auto"/>
          </w:divBdr>
        </w:div>
        <w:div w:id="968897860">
          <w:marLeft w:val="0"/>
          <w:marRight w:val="0"/>
          <w:marTop w:val="0"/>
          <w:marBottom w:val="0"/>
          <w:divBdr>
            <w:top w:val="none" w:sz="0" w:space="0" w:color="auto"/>
            <w:left w:val="none" w:sz="0" w:space="0" w:color="auto"/>
            <w:bottom w:val="none" w:sz="0" w:space="0" w:color="auto"/>
            <w:right w:val="none" w:sz="0" w:space="0" w:color="auto"/>
          </w:divBdr>
        </w:div>
        <w:div w:id="439223454">
          <w:marLeft w:val="0"/>
          <w:marRight w:val="0"/>
          <w:marTop w:val="0"/>
          <w:marBottom w:val="0"/>
          <w:divBdr>
            <w:top w:val="none" w:sz="0" w:space="0" w:color="auto"/>
            <w:left w:val="none" w:sz="0" w:space="0" w:color="auto"/>
            <w:bottom w:val="none" w:sz="0" w:space="0" w:color="auto"/>
            <w:right w:val="none" w:sz="0" w:space="0" w:color="auto"/>
          </w:divBdr>
        </w:div>
        <w:div w:id="1026104276">
          <w:marLeft w:val="0"/>
          <w:marRight w:val="0"/>
          <w:marTop w:val="0"/>
          <w:marBottom w:val="0"/>
          <w:divBdr>
            <w:top w:val="none" w:sz="0" w:space="0" w:color="auto"/>
            <w:left w:val="none" w:sz="0" w:space="0" w:color="auto"/>
            <w:bottom w:val="none" w:sz="0" w:space="0" w:color="auto"/>
            <w:right w:val="none" w:sz="0" w:space="0" w:color="auto"/>
          </w:divBdr>
        </w:div>
        <w:div w:id="430857119">
          <w:marLeft w:val="0"/>
          <w:marRight w:val="0"/>
          <w:marTop w:val="0"/>
          <w:marBottom w:val="0"/>
          <w:divBdr>
            <w:top w:val="none" w:sz="0" w:space="0" w:color="auto"/>
            <w:left w:val="none" w:sz="0" w:space="0" w:color="auto"/>
            <w:bottom w:val="none" w:sz="0" w:space="0" w:color="auto"/>
            <w:right w:val="none" w:sz="0" w:space="0" w:color="auto"/>
          </w:divBdr>
        </w:div>
        <w:div w:id="182937624">
          <w:marLeft w:val="0"/>
          <w:marRight w:val="0"/>
          <w:marTop w:val="0"/>
          <w:marBottom w:val="0"/>
          <w:divBdr>
            <w:top w:val="none" w:sz="0" w:space="0" w:color="auto"/>
            <w:left w:val="none" w:sz="0" w:space="0" w:color="auto"/>
            <w:bottom w:val="none" w:sz="0" w:space="0" w:color="auto"/>
            <w:right w:val="none" w:sz="0" w:space="0" w:color="auto"/>
          </w:divBdr>
        </w:div>
        <w:div w:id="2051999057">
          <w:marLeft w:val="0"/>
          <w:marRight w:val="0"/>
          <w:marTop w:val="0"/>
          <w:marBottom w:val="0"/>
          <w:divBdr>
            <w:top w:val="none" w:sz="0" w:space="0" w:color="auto"/>
            <w:left w:val="none" w:sz="0" w:space="0" w:color="auto"/>
            <w:bottom w:val="none" w:sz="0" w:space="0" w:color="auto"/>
            <w:right w:val="none" w:sz="0" w:space="0" w:color="auto"/>
          </w:divBdr>
        </w:div>
        <w:div w:id="57094846">
          <w:marLeft w:val="0"/>
          <w:marRight w:val="0"/>
          <w:marTop w:val="0"/>
          <w:marBottom w:val="0"/>
          <w:divBdr>
            <w:top w:val="none" w:sz="0" w:space="0" w:color="auto"/>
            <w:left w:val="none" w:sz="0" w:space="0" w:color="auto"/>
            <w:bottom w:val="none" w:sz="0" w:space="0" w:color="auto"/>
            <w:right w:val="none" w:sz="0" w:space="0" w:color="auto"/>
          </w:divBdr>
        </w:div>
        <w:div w:id="968825066">
          <w:marLeft w:val="0"/>
          <w:marRight w:val="0"/>
          <w:marTop w:val="0"/>
          <w:marBottom w:val="0"/>
          <w:divBdr>
            <w:top w:val="none" w:sz="0" w:space="0" w:color="auto"/>
            <w:left w:val="none" w:sz="0" w:space="0" w:color="auto"/>
            <w:bottom w:val="none" w:sz="0" w:space="0" w:color="auto"/>
            <w:right w:val="none" w:sz="0" w:space="0" w:color="auto"/>
          </w:divBdr>
        </w:div>
        <w:div w:id="1614020897">
          <w:marLeft w:val="0"/>
          <w:marRight w:val="0"/>
          <w:marTop w:val="0"/>
          <w:marBottom w:val="0"/>
          <w:divBdr>
            <w:top w:val="none" w:sz="0" w:space="0" w:color="auto"/>
            <w:left w:val="none" w:sz="0" w:space="0" w:color="auto"/>
            <w:bottom w:val="none" w:sz="0" w:space="0" w:color="auto"/>
            <w:right w:val="none" w:sz="0" w:space="0" w:color="auto"/>
          </w:divBdr>
        </w:div>
        <w:div w:id="1783724000">
          <w:marLeft w:val="0"/>
          <w:marRight w:val="0"/>
          <w:marTop w:val="0"/>
          <w:marBottom w:val="0"/>
          <w:divBdr>
            <w:top w:val="none" w:sz="0" w:space="0" w:color="auto"/>
            <w:left w:val="none" w:sz="0" w:space="0" w:color="auto"/>
            <w:bottom w:val="none" w:sz="0" w:space="0" w:color="auto"/>
            <w:right w:val="none" w:sz="0" w:space="0" w:color="auto"/>
          </w:divBdr>
        </w:div>
        <w:div w:id="118427019">
          <w:marLeft w:val="0"/>
          <w:marRight w:val="0"/>
          <w:marTop w:val="0"/>
          <w:marBottom w:val="0"/>
          <w:divBdr>
            <w:top w:val="none" w:sz="0" w:space="0" w:color="auto"/>
            <w:left w:val="none" w:sz="0" w:space="0" w:color="auto"/>
            <w:bottom w:val="none" w:sz="0" w:space="0" w:color="auto"/>
            <w:right w:val="none" w:sz="0" w:space="0" w:color="auto"/>
          </w:divBdr>
        </w:div>
        <w:div w:id="407508652">
          <w:marLeft w:val="0"/>
          <w:marRight w:val="0"/>
          <w:marTop w:val="0"/>
          <w:marBottom w:val="0"/>
          <w:divBdr>
            <w:top w:val="none" w:sz="0" w:space="0" w:color="auto"/>
            <w:left w:val="none" w:sz="0" w:space="0" w:color="auto"/>
            <w:bottom w:val="none" w:sz="0" w:space="0" w:color="auto"/>
            <w:right w:val="none" w:sz="0" w:space="0" w:color="auto"/>
          </w:divBdr>
        </w:div>
        <w:div w:id="1485388687">
          <w:marLeft w:val="0"/>
          <w:marRight w:val="0"/>
          <w:marTop w:val="0"/>
          <w:marBottom w:val="0"/>
          <w:divBdr>
            <w:top w:val="none" w:sz="0" w:space="0" w:color="auto"/>
            <w:left w:val="none" w:sz="0" w:space="0" w:color="auto"/>
            <w:bottom w:val="none" w:sz="0" w:space="0" w:color="auto"/>
            <w:right w:val="none" w:sz="0" w:space="0" w:color="auto"/>
          </w:divBdr>
        </w:div>
        <w:div w:id="1690525194">
          <w:marLeft w:val="0"/>
          <w:marRight w:val="0"/>
          <w:marTop w:val="0"/>
          <w:marBottom w:val="0"/>
          <w:divBdr>
            <w:top w:val="none" w:sz="0" w:space="0" w:color="auto"/>
            <w:left w:val="none" w:sz="0" w:space="0" w:color="auto"/>
            <w:bottom w:val="none" w:sz="0" w:space="0" w:color="auto"/>
            <w:right w:val="none" w:sz="0" w:space="0" w:color="auto"/>
          </w:divBdr>
        </w:div>
        <w:div w:id="974876418">
          <w:marLeft w:val="0"/>
          <w:marRight w:val="0"/>
          <w:marTop w:val="0"/>
          <w:marBottom w:val="0"/>
          <w:divBdr>
            <w:top w:val="none" w:sz="0" w:space="0" w:color="auto"/>
            <w:left w:val="none" w:sz="0" w:space="0" w:color="auto"/>
            <w:bottom w:val="none" w:sz="0" w:space="0" w:color="auto"/>
            <w:right w:val="none" w:sz="0" w:space="0" w:color="auto"/>
          </w:divBdr>
        </w:div>
        <w:div w:id="1390105760">
          <w:marLeft w:val="0"/>
          <w:marRight w:val="0"/>
          <w:marTop w:val="0"/>
          <w:marBottom w:val="0"/>
          <w:divBdr>
            <w:top w:val="none" w:sz="0" w:space="0" w:color="auto"/>
            <w:left w:val="none" w:sz="0" w:space="0" w:color="auto"/>
            <w:bottom w:val="none" w:sz="0" w:space="0" w:color="auto"/>
            <w:right w:val="none" w:sz="0" w:space="0" w:color="auto"/>
          </w:divBdr>
        </w:div>
        <w:div w:id="327680734">
          <w:marLeft w:val="0"/>
          <w:marRight w:val="0"/>
          <w:marTop w:val="0"/>
          <w:marBottom w:val="0"/>
          <w:divBdr>
            <w:top w:val="none" w:sz="0" w:space="0" w:color="auto"/>
            <w:left w:val="none" w:sz="0" w:space="0" w:color="auto"/>
            <w:bottom w:val="none" w:sz="0" w:space="0" w:color="auto"/>
            <w:right w:val="none" w:sz="0" w:space="0" w:color="auto"/>
          </w:divBdr>
        </w:div>
        <w:div w:id="37316371">
          <w:marLeft w:val="0"/>
          <w:marRight w:val="0"/>
          <w:marTop w:val="0"/>
          <w:marBottom w:val="0"/>
          <w:divBdr>
            <w:top w:val="none" w:sz="0" w:space="0" w:color="auto"/>
            <w:left w:val="none" w:sz="0" w:space="0" w:color="auto"/>
            <w:bottom w:val="none" w:sz="0" w:space="0" w:color="auto"/>
            <w:right w:val="none" w:sz="0" w:space="0" w:color="auto"/>
          </w:divBdr>
        </w:div>
        <w:div w:id="1844317712">
          <w:marLeft w:val="0"/>
          <w:marRight w:val="0"/>
          <w:marTop w:val="0"/>
          <w:marBottom w:val="0"/>
          <w:divBdr>
            <w:top w:val="none" w:sz="0" w:space="0" w:color="auto"/>
            <w:left w:val="none" w:sz="0" w:space="0" w:color="auto"/>
            <w:bottom w:val="none" w:sz="0" w:space="0" w:color="auto"/>
            <w:right w:val="none" w:sz="0" w:space="0" w:color="auto"/>
          </w:divBdr>
        </w:div>
        <w:div w:id="433595425">
          <w:marLeft w:val="0"/>
          <w:marRight w:val="0"/>
          <w:marTop w:val="0"/>
          <w:marBottom w:val="0"/>
          <w:divBdr>
            <w:top w:val="none" w:sz="0" w:space="0" w:color="auto"/>
            <w:left w:val="none" w:sz="0" w:space="0" w:color="auto"/>
            <w:bottom w:val="none" w:sz="0" w:space="0" w:color="auto"/>
            <w:right w:val="none" w:sz="0" w:space="0" w:color="auto"/>
          </w:divBdr>
        </w:div>
        <w:div w:id="686953492">
          <w:marLeft w:val="0"/>
          <w:marRight w:val="0"/>
          <w:marTop w:val="0"/>
          <w:marBottom w:val="0"/>
          <w:divBdr>
            <w:top w:val="none" w:sz="0" w:space="0" w:color="auto"/>
            <w:left w:val="none" w:sz="0" w:space="0" w:color="auto"/>
            <w:bottom w:val="none" w:sz="0" w:space="0" w:color="auto"/>
            <w:right w:val="none" w:sz="0" w:space="0" w:color="auto"/>
          </w:divBdr>
        </w:div>
        <w:div w:id="1208222147">
          <w:marLeft w:val="0"/>
          <w:marRight w:val="0"/>
          <w:marTop w:val="0"/>
          <w:marBottom w:val="0"/>
          <w:divBdr>
            <w:top w:val="none" w:sz="0" w:space="0" w:color="auto"/>
            <w:left w:val="none" w:sz="0" w:space="0" w:color="auto"/>
            <w:bottom w:val="none" w:sz="0" w:space="0" w:color="auto"/>
            <w:right w:val="none" w:sz="0" w:space="0" w:color="auto"/>
          </w:divBdr>
        </w:div>
        <w:div w:id="591082840">
          <w:marLeft w:val="0"/>
          <w:marRight w:val="0"/>
          <w:marTop w:val="0"/>
          <w:marBottom w:val="0"/>
          <w:divBdr>
            <w:top w:val="none" w:sz="0" w:space="0" w:color="auto"/>
            <w:left w:val="none" w:sz="0" w:space="0" w:color="auto"/>
            <w:bottom w:val="none" w:sz="0" w:space="0" w:color="auto"/>
            <w:right w:val="none" w:sz="0" w:space="0" w:color="auto"/>
          </w:divBdr>
        </w:div>
        <w:div w:id="2114130172">
          <w:marLeft w:val="0"/>
          <w:marRight w:val="0"/>
          <w:marTop w:val="0"/>
          <w:marBottom w:val="0"/>
          <w:divBdr>
            <w:top w:val="none" w:sz="0" w:space="0" w:color="auto"/>
            <w:left w:val="none" w:sz="0" w:space="0" w:color="auto"/>
            <w:bottom w:val="none" w:sz="0" w:space="0" w:color="auto"/>
            <w:right w:val="none" w:sz="0" w:space="0" w:color="auto"/>
          </w:divBdr>
        </w:div>
        <w:div w:id="408310658">
          <w:marLeft w:val="0"/>
          <w:marRight w:val="0"/>
          <w:marTop w:val="0"/>
          <w:marBottom w:val="0"/>
          <w:divBdr>
            <w:top w:val="none" w:sz="0" w:space="0" w:color="auto"/>
            <w:left w:val="none" w:sz="0" w:space="0" w:color="auto"/>
            <w:bottom w:val="none" w:sz="0" w:space="0" w:color="auto"/>
            <w:right w:val="none" w:sz="0" w:space="0" w:color="auto"/>
          </w:divBdr>
        </w:div>
        <w:div w:id="1347057703">
          <w:marLeft w:val="0"/>
          <w:marRight w:val="0"/>
          <w:marTop w:val="0"/>
          <w:marBottom w:val="0"/>
          <w:divBdr>
            <w:top w:val="none" w:sz="0" w:space="0" w:color="auto"/>
            <w:left w:val="none" w:sz="0" w:space="0" w:color="auto"/>
            <w:bottom w:val="none" w:sz="0" w:space="0" w:color="auto"/>
            <w:right w:val="none" w:sz="0" w:space="0" w:color="auto"/>
          </w:divBdr>
        </w:div>
        <w:div w:id="351879699">
          <w:marLeft w:val="0"/>
          <w:marRight w:val="0"/>
          <w:marTop w:val="0"/>
          <w:marBottom w:val="0"/>
          <w:divBdr>
            <w:top w:val="none" w:sz="0" w:space="0" w:color="auto"/>
            <w:left w:val="none" w:sz="0" w:space="0" w:color="auto"/>
            <w:bottom w:val="none" w:sz="0" w:space="0" w:color="auto"/>
            <w:right w:val="none" w:sz="0" w:space="0" w:color="auto"/>
          </w:divBdr>
        </w:div>
        <w:div w:id="1984653666">
          <w:marLeft w:val="0"/>
          <w:marRight w:val="0"/>
          <w:marTop w:val="0"/>
          <w:marBottom w:val="0"/>
          <w:divBdr>
            <w:top w:val="none" w:sz="0" w:space="0" w:color="auto"/>
            <w:left w:val="none" w:sz="0" w:space="0" w:color="auto"/>
            <w:bottom w:val="none" w:sz="0" w:space="0" w:color="auto"/>
            <w:right w:val="none" w:sz="0" w:space="0" w:color="auto"/>
          </w:divBdr>
        </w:div>
        <w:div w:id="169413072">
          <w:marLeft w:val="0"/>
          <w:marRight w:val="0"/>
          <w:marTop w:val="0"/>
          <w:marBottom w:val="0"/>
          <w:divBdr>
            <w:top w:val="none" w:sz="0" w:space="0" w:color="auto"/>
            <w:left w:val="none" w:sz="0" w:space="0" w:color="auto"/>
            <w:bottom w:val="none" w:sz="0" w:space="0" w:color="auto"/>
            <w:right w:val="none" w:sz="0" w:space="0" w:color="auto"/>
          </w:divBdr>
        </w:div>
        <w:div w:id="200676760">
          <w:marLeft w:val="0"/>
          <w:marRight w:val="0"/>
          <w:marTop w:val="0"/>
          <w:marBottom w:val="0"/>
          <w:divBdr>
            <w:top w:val="none" w:sz="0" w:space="0" w:color="auto"/>
            <w:left w:val="none" w:sz="0" w:space="0" w:color="auto"/>
            <w:bottom w:val="none" w:sz="0" w:space="0" w:color="auto"/>
            <w:right w:val="none" w:sz="0" w:space="0" w:color="auto"/>
          </w:divBdr>
        </w:div>
        <w:div w:id="1810785957">
          <w:marLeft w:val="0"/>
          <w:marRight w:val="0"/>
          <w:marTop w:val="0"/>
          <w:marBottom w:val="0"/>
          <w:divBdr>
            <w:top w:val="none" w:sz="0" w:space="0" w:color="auto"/>
            <w:left w:val="none" w:sz="0" w:space="0" w:color="auto"/>
            <w:bottom w:val="none" w:sz="0" w:space="0" w:color="auto"/>
            <w:right w:val="none" w:sz="0" w:space="0" w:color="auto"/>
          </w:divBdr>
        </w:div>
        <w:div w:id="1634679778">
          <w:marLeft w:val="0"/>
          <w:marRight w:val="0"/>
          <w:marTop w:val="0"/>
          <w:marBottom w:val="0"/>
          <w:divBdr>
            <w:top w:val="none" w:sz="0" w:space="0" w:color="auto"/>
            <w:left w:val="none" w:sz="0" w:space="0" w:color="auto"/>
            <w:bottom w:val="none" w:sz="0" w:space="0" w:color="auto"/>
            <w:right w:val="none" w:sz="0" w:space="0" w:color="auto"/>
          </w:divBdr>
        </w:div>
        <w:div w:id="1964655420">
          <w:marLeft w:val="0"/>
          <w:marRight w:val="0"/>
          <w:marTop w:val="0"/>
          <w:marBottom w:val="0"/>
          <w:divBdr>
            <w:top w:val="none" w:sz="0" w:space="0" w:color="auto"/>
            <w:left w:val="none" w:sz="0" w:space="0" w:color="auto"/>
            <w:bottom w:val="none" w:sz="0" w:space="0" w:color="auto"/>
            <w:right w:val="none" w:sz="0" w:space="0" w:color="auto"/>
          </w:divBdr>
        </w:div>
        <w:div w:id="1703171161">
          <w:marLeft w:val="0"/>
          <w:marRight w:val="0"/>
          <w:marTop w:val="0"/>
          <w:marBottom w:val="0"/>
          <w:divBdr>
            <w:top w:val="none" w:sz="0" w:space="0" w:color="auto"/>
            <w:left w:val="none" w:sz="0" w:space="0" w:color="auto"/>
            <w:bottom w:val="none" w:sz="0" w:space="0" w:color="auto"/>
            <w:right w:val="none" w:sz="0" w:space="0" w:color="auto"/>
          </w:divBdr>
        </w:div>
        <w:div w:id="127937674">
          <w:marLeft w:val="0"/>
          <w:marRight w:val="0"/>
          <w:marTop w:val="0"/>
          <w:marBottom w:val="0"/>
          <w:divBdr>
            <w:top w:val="none" w:sz="0" w:space="0" w:color="auto"/>
            <w:left w:val="none" w:sz="0" w:space="0" w:color="auto"/>
            <w:bottom w:val="none" w:sz="0" w:space="0" w:color="auto"/>
            <w:right w:val="none" w:sz="0" w:space="0" w:color="auto"/>
          </w:divBdr>
        </w:div>
        <w:div w:id="1101799407">
          <w:marLeft w:val="0"/>
          <w:marRight w:val="0"/>
          <w:marTop w:val="0"/>
          <w:marBottom w:val="0"/>
          <w:divBdr>
            <w:top w:val="none" w:sz="0" w:space="0" w:color="auto"/>
            <w:left w:val="none" w:sz="0" w:space="0" w:color="auto"/>
            <w:bottom w:val="none" w:sz="0" w:space="0" w:color="auto"/>
            <w:right w:val="none" w:sz="0" w:space="0" w:color="auto"/>
          </w:divBdr>
        </w:div>
        <w:div w:id="644890484">
          <w:marLeft w:val="0"/>
          <w:marRight w:val="0"/>
          <w:marTop w:val="0"/>
          <w:marBottom w:val="0"/>
          <w:divBdr>
            <w:top w:val="none" w:sz="0" w:space="0" w:color="auto"/>
            <w:left w:val="none" w:sz="0" w:space="0" w:color="auto"/>
            <w:bottom w:val="none" w:sz="0" w:space="0" w:color="auto"/>
            <w:right w:val="none" w:sz="0" w:space="0" w:color="auto"/>
          </w:divBdr>
        </w:div>
        <w:div w:id="1546675829">
          <w:marLeft w:val="0"/>
          <w:marRight w:val="0"/>
          <w:marTop w:val="0"/>
          <w:marBottom w:val="0"/>
          <w:divBdr>
            <w:top w:val="none" w:sz="0" w:space="0" w:color="auto"/>
            <w:left w:val="none" w:sz="0" w:space="0" w:color="auto"/>
            <w:bottom w:val="none" w:sz="0" w:space="0" w:color="auto"/>
            <w:right w:val="none" w:sz="0" w:space="0" w:color="auto"/>
          </w:divBdr>
        </w:div>
        <w:div w:id="953558839">
          <w:marLeft w:val="0"/>
          <w:marRight w:val="0"/>
          <w:marTop w:val="0"/>
          <w:marBottom w:val="0"/>
          <w:divBdr>
            <w:top w:val="none" w:sz="0" w:space="0" w:color="auto"/>
            <w:left w:val="none" w:sz="0" w:space="0" w:color="auto"/>
            <w:bottom w:val="none" w:sz="0" w:space="0" w:color="auto"/>
            <w:right w:val="none" w:sz="0" w:space="0" w:color="auto"/>
          </w:divBdr>
        </w:div>
        <w:div w:id="105513742">
          <w:marLeft w:val="0"/>
          <w:marRight w:val="0"/>
          <w:marTop w:val="0"/>
          <w:marBottom w:val="0"/>
          <w:divBdr>
            <w:top w:val="none" w:sz="0" w:space="0" w:color="auto"/>
            <w:left w:val="none" w:sz="0" w:space="0" w:color="auto"/>
            <w:bottom w:val="none" w:sz="0" w:space="0" w:color="auto"/>
            <w:right w:val="none" w:sz="0" w:space="0" w:color="auto"/>
          </w:divBdr>
        </w:div>
        <w:div w:id="879244525">
          <w:marLeft w:val="0"/>
          <w:marRight w:val="0"/>
          <w:marTop w:val="0"/>
          <w:marBottom w:val="0"/>
          <w:divBdr>
            <w:top w:val="none" w:sz="0" w:space="0" w:color="auto"/>
            <w:left w:val="none" w:sz="0" w:space="0" w:color="auto"/>
            <w:bottom w:val="none" w:sz="0" w:space="0" w:color="auto"/>
            <w:right w:val="none" w:sz="0" w:space="0" w:color="auto"/>
          </w:divBdr>
        </w:div>
        <w:div w:id="1869292669">
          <w:marLeft w:val="0"/>
          <w:marRight w:val="0"/>
          <w:marTop w:val="0"/>
          <w:marBottom w:val="0"/>
          <w:divBdr>
            <w:top w:val="none" w:sz="0" w:space="0" w:color="auto"/>
            <w:left w:val="none" w:sz="0" w:space="0" w:color="auto"/>
            <w:bottom w:val="none" w:sz="0" w:space="0" w:color="auto"/>
            <w:right w:val="none" w:sz="0" w:space="0" w:color="auto"/>
          </w:divBdr>
        </w:div>
        <w:div w:id="1586651614">
          <w:marLeft w:val="0"/>
          <w:marRight w:val="0"/>
          <w:marTop w:val="0"/>
          <w:marBottom w:val="0"/>
          <w:divBdr>
            <w:top w:val="none" w:sz="0" w:space="0" w:color="auto"/>
            <w:left w:val="none" w:sz="0" w:space="0" w:color="auto"/>
            <w:bottom w:val="none" w:sz="0" w:space="0" w:color="auto"/>
            <w:right w:val="none" w:sz="0" w:space="0" w:color="auto"/>
          </w:divBdr>
        </w:div>
        <w:div w:id="753820996">
          <w:marLeft w:val="0"/>
          <w:marRight w:val="0"/>
          <w:marTop w:val="0"/>
          <w:marBottom w:val="0"/>
          <w:divBdr>
            <w:top w:val="none" w:sz="0" w:space="0" w:color="auto"/>
            <w:left w:val="none" w:sz="0" w:space="0" w:color="auto"/>
            <w:bottom w:val="none" w:sz="0" w:space="0" w:color="auto"/>
            <w:right w:val="none" w:sz="0" w:space="0" w:color="auto"/>
          </w:divBdr>
        </w:div>
        <w:div w:id="2088920067">
          <w:marLeft w:val="0"/>
          <w:marRight w:val="0"/>
          <w:marTop w:val="0"/>
          <w:marBottom w:val="0"/>
          <w:divBdr>
            <w:top w:val="none" w:sz="0" w:space="0" w:color="auto"/>
            <w:left w:val="none" w:sz="0" w:space="0" w:color="auto"/>
            <w:bottom w:val="none" w:sz="0" w:space="0" w:color="auto"/>
            <w:right w:val="none" w:sz="0" w:space="0" w:color="auto"/>
          </w:divBdr>
        </w:div>
        <w:div w:id="2060353245">
          <w:marLeft w:val="0"/>
          <w:marRight w:val="0"/>
          <w:marTop w:val="0"/>
          <w:marBottom w:val="0"/>
          <w:divBdr>
            <w:top w:val="none" w:sz="0" w:space="0" w:color="auto"/>
            <w:left w:val="none" w:sz="0" w:space="0" w:color="auto"/>
            <w:bottom w:val="none" w:sz="0" w:space="0" w:color="auto"/>
            <w:right w:val="none" w:sz="0" w:space="0" w:color="auto"/>
          </w:divBdr>
        </w:div>
        <w:div w:id="236594011">
          <w:marLeft w:val="0"/>
          <w:marRight w:val="0"/>
          <w:marTop w:val="0"/>
          <w:marBottom w:val="0"/>
          <w:divBdr>
            <w:top w:val="none" w:sz="0" w:space="0" w:color="auto"/>
            <w:left w:val="none" w:sz="0" w:space="0" w:color="auto"/>
            <w:bottom w:val="none" w:sz="0" w:space="0" w:color="auto"/>
            <w:right w:val="none" w:sz="0" w:space="0" w:color="auto"/>
          </w:divBdr>
        </w:div>
        <w:div w:id="2139950085">
          <w:marLeft w:val="0"/>
          <w:marRight w:val="0"/>
          <w:marTop w:val="0"/>
          <w:marBottom w:val="0"/>
          <w:divBdr>
            <w:top w:val="none" w:sz="0" w:space="0" w:color="auto"/>
            <w:left w:val="none" w:sz="0" w:space="0" w:color="auto"/>
            <w:bottom w:val="none" w:sz="0" w:space="0" w:color="auto"/>
            <w:right w:val="none" w:sz="0" w:space="0" w:color="auto"/>
          </w:divBdr>
        </w:div>
        <w:div w:id="688334799">
          <w:marLeft w:val="0"/>
          <w:marRight w:val="0"/>
          <w:marTop w:val="0"/>
          <w:marBottom w:val="0"/>
          <w:divBdr>
            <w:top w:val="none" w:sz="0" w:space="0" w:color="auto"/>
            <w:left w:val="none" w:sz="0" w:space="0" w:color="auto"/>
            <w:bottom w:val="none" w:sz="0" w:space="0" w:color="auto"/>
            <w:right w:val="none" w:sz="0" w:space="0" w:color="auto"/>
          </w:divBdr>
        </w:div>
        <w:div w:id="1159419089">
          <w:marLeft w:val="0"/>
          <w:marRight w:val="0"/>
          <w:marTop w:val="0"/>
          <w:marBottom w:val="0"/>
          <w:divBdr>
            <w:top w:val="none" w:sz="0" w:space="0" w:color="auto"/>
            <w:left w:val="none" w:sz="0" w:space="0" w:color="auto"/>
            <w:bottom w:val="none" w:sz="0" w:space="0" w:color="auto"/>
            <w:right w:val="none" w:sz="0" w:space="0" w:color="auto"/>
          </w:divBdr>
        </w:div>
        <w:div w:id="2088846696">
          <w:marLeft w:val="0"/>
          <w:marRight w:val="0"/>
          <w:marTop w:val="0"/>
          <w:marBottom w:val="0"/>
          <w:divBdr>
            <w:top w:val="none" w:sz="0" w:space="0" w:color="auto"/>
            <w:left w:val="none" w:sz="0" w:space="0" w:color="auto"/>
            <w:bottom w:val="none" w:sz="0" w:space="0" w:color="auto"/>
            <w:right w:val="none" w:sz="0" w:space="0" w:color="auto"/>
          </w:divBdr>
        </w:div>
        <w:div w:id="875505146">
          <w:marLeft w:val="0"/>
          <w:marRight w:val="0"/>
          <w:marTop w:val="0"/>
          <w:marBottom w:val="0"/>
          <w:divBdr>
            <w:top w:val="none" w:sz="0" w:space="0" w:color="auto"/>
            <w:left w:val="none" w:sz="0" w:space="0" w:color="auto"/>
            <w:bottom w:val="none" w:sz="0" w:space="0" w:color="auto"/>
            <w:right w:val="none" w:sz="0" w:space="0" w:color="auto"/>
          </w:divBdr>
        </w:div>
        <w:div w:id="1865748544">
          <w:marLeft w:val="0"/>
          <w:marRight w:val="0"/>
          <w:marTop w:val="0"/>
          <w:marBottom w:val="0"/>
          <w:divBdr>
            <w:top w:val="none" w:sz="0" w:space="0" w:color="auto"/>
            <w:left w:val="none" w:sz="0" w:space="0" w:color="auto"/>
            <w:bottom w:val="none" w:sz="0" w:space="0" w:color="auto"/>
            <w:right w:val="none" w:sz="0" w:space="0" w:color="auto"/>
          </w:divBdr>
        </w:div>
        <w:div w:id="1749225824">
          <w:marLeft w:val="0"/>
          <w:marRight w:val="0"/>
          <w:marTop w:val="0"/>
          <w:marBottom w:val="0"/>
          <w:divBdr>
            <w:top w:val="none" w:sz="0" w:space="0" w:color="auto"/>
            <w:left w:val="none" w:sz="0" w:space="0" w:color="auto"/>
            <w:bottom w:val="none" w:sz="0" w:space="0" w:color="auto"/>
            <w:right w:val="none" w:sz="0" w:space="0" w:color="auto"/>
          </w:divBdr>
        </w:div>
        <w:div w:id="384716241">
          <w:marLeft w:val="0"/>
          <w:marRight w:val="0"/>
          <w:marTop w:val="0"/>
          <w:marBottom w:val="0"/>
          <w:divBdr>
            <w:top w:val="none" w:sz="0" w:space="0" w:color="auto"/>
            <w:left w:val="none" w:sz="0" w:space="0" w:color="auto"/>
            <w:bottom w:val="none" w:sz="0" w:space="0" w:color="auto"/>
            <w:right w:val="none" w:sz="0" w:space="0" w:color="auto"/>
          </w:divBdr>
        </w:div>
        <w:div w:id="1884096696">
          <w:marLeft w:val="0"/>
          <w:marRight w:val="0"/>
          <w:marTop w:val="0"/>
          <w:marBottom w:val="0"/>
          <w:divBdr>
            <w:top w:val="none" w:sz="0" w:space="0" w:color="auto"/>
            <w:left w:val="none" w:sz="0" w:space="0" w:color="auto"/>
            <w:bottom w:val="none" w:sz="0" w:space="0" w:color="auto"/>
            <w:right w:val="none" w:sz="0" w:space="0" w:color="auto"/>
          </w:divBdr>
        </w:div>
        <w:div w:id="355353894">
          <w:marLeft w:val="0"/>
          <w:marRight w:val="0"/>
          <w:marTop w:val="0"/>
          <w:marBottom w:val="0"/>
          <w:divBdr>
            <w:top w:val="none" w:sz="0" w:space="0" w:color="auto"/>
            <w:left w:val="none" w:sz="0" w:space="0" w:color="auto"/>
            <w:bottom w:val="none" w:sz="0" w:space="0" w:color="auto"/>
            <w:right w:val="none" w:sz="0" w:space="0" w:color="auto"/>
          </w:divBdr>
        </w:div>
        <w:div w:id="1467116855">
          <w:marLeft w:val="0"/>
          <w:marRight w:val="0"/>
          <w:marTop w:val="0"/>
          <w:marBottom w:val="0"/>
          <w:divBdr>
            <w:top w:val="none" w:sz="0" w:space="0" w:color="auto"/>
            <w:left w:val="none" w:sz="0" w:space="0" w:color="auto"/>
            <w:bottom w:val="none" w:sz="0" w:space="0" w:color="auto"/>
            <w:right w:val="none" w:sz="0" w:space="0" w:color="auto"/>
          </w:divBdr>
        </w:div>
        <w:div w:id="2043549370">
          <w:marLeft w:val="0"/>
          <w:marRight w:val="0"/>
          <w:marTop w:val="0"/>
          <w:marBottom w:val="0"/>
          <w:divBdr>
            <w:top w:val="none" w:sz="0" w:space="0" w:color="auto"/>
            <w:left w:val="none" w:sz="0" w:space="0" w:color="auto"/>
            <w:bottom w:val="none" w:sz="0" w:space="0" w:color="auto"/>
            <w:right w:val="none" w:sz="0" w:space="0" w:color="auto"/>
          </w:divBdr>
        </w:div>
        <w:div w:id="1759860365">
          <w:marLeft w:val="0"/>
          <w:marRight w:val="0"/>
          <w:marTop w:val="0"/>
          <w:marBottom w:val="0"/>
          <w:divBdr>
            <w:top w:val="none" w:sz="0" w:space="0" w:color="auto"/>
            <w:left w:val="none" w:sz="0" w:space="0" w:color="auto"/>
            <w:bottom w:val="none" w:sz="0" w:space="0" w:color="auto"/>
            <w:right w:val="none" w:sz="0" w:space="0" w:color="auto"/>
          </w:divBdr>
        </w:div>
        <w:div w:id="178353148">
          <w:marLeft w:val="0"/>
          <w:marRight w:val="0"/>
          <w:marTop w:val="0"/>
          <w:marBottom w:val="0"/>
          <w:divBdr>
            <w:top w:val="none" w:sz="0" w:space="0" w:color="auto"/>
            <w:left w:val="none" w:sz="0" w:space="0" w:color="auto"/>
            <w:bottom w:val="none" w:sz="0" w:space="0" w:color="auto"/>
            <w:right w:val="none" w:sz="0" w:space="0" w:color="auto"/>
          </w:divBdr>
        </w:div>
        <w:div w:id="701977620">
          <w:marLeft w:val="0"/>
          <w:marRight w:val="0"/>
          <w:marTop w:val="0"/>
          <w:marBottom w:val="0"/>
          <w:divBdr>
            <w:top w:val="none" w:sz="0" w:space="0" w:color="auto"/>
            <w:left w:val="none" w:sz="0" w:space="0" w:color="auto"/>
            <w:bottom w:val="none" w:sz="0" w:space="0" w:color="auto"/>
            <w:right w:val="none" w:sz="0" w:space="0" w:color="auto"/>
          </w:divBdr>
        </w:div>
        <w:div w:id="461001231">
          <w:marLeft w:val="0"/>
          <w:marRight w:val="0"/>
          <w:marTop w:val="0"/>
          <w:marBottom w:val="0"/>
          <w:divBdr>
            <w:top w:val="none" w:sz="0" w:space="0" w:color="auto"/>
            <w:left w:val="none" w:sz="0" w:space="0" w:color="auto"/>
            <w:bottom w:val="none" w:sz="0" w:space="0" w:color="auto"/>
            <w:right w:val="none" w:sz="0" w:space="0" w:color="auto"/>
          </w:divBdr>
        </w:div>
        <w:div w:id="683702285">
          <w:marLeft w:val="0"/>
          <w:marRight w:val="0"/>
          <w:marTop w:val="0"/>
          <w:marBottom w:val="0"/>
          <w:divBdr>
            <w:top w:val="none" w:sz="0" w:space="0" w:color="auto"/>
            <w:left w:val="none" w:sz="0" w:space="0" w:color="auto"/>
            <w:bottom w:val="none" w:sz="0" w:space="0" w:color="auto"/>
            <w:right w:val="none" w:sz="0" w:space="0" w:color="auto"/>
          </w:divBdr>
        </w:div>
        <w:div w:id="1225020915">
          <w:marLeft w:val="0"/>
          <w:marRight w:val="0"/>
          <w:marTop w:val="0"/>
          <w:marBottom w:val="0"/>
          <w:divBdr>
            <w:top w:val="none" w:sz="0" w:space="0" w:color="auto"/>
            <w:left w:val="none" w:sz="0" w:space="0" w:color="auto"/>
            <w:bottom w:val="none" w:sz="0" w:space="0" w:color="auto"/>
            <w:right w:val="none" w:sz="0" w:space="0" w:color="auto"/>
          </w:divBdr>
        </w:div>
        <w:div w:id="1735351486">
          <w:marLeft w:val="0"/>
          <w:marRight w:val="0"/>
          <w:marTop w:val="0"/>
          <w:marBottom w:val="0"/>
          <w:divBdr>
            <w:top w:val="none" w:sz="0" w:space="0" w:color="auto"/>
            <w:left w:val="none" w:sz="0" w:space="0" w:color="auto"/>
            <w:bottom w:val="none" w:sz="0" w:space="0" w:color="auto"/>
            <w:right w:val="none" w:sz="0" w:space="0" w:color="auto"/>
          </w:divBdr>
        </w:div>
        <w:div w:id="2100517479">
          <w:marLeft w:val="0"/>
          <w:marRight w:val="0"/>
          <w:marTop w:val="0"/>
          <w:marBottom w:val="0"/>
          <w:divBdr>
            <w:top w:val="none" w:sz="0" w:space="0" w:color="auto"/>
            <w:left w:val="none" w:sz="0" w:space="0" w:color="auto"/>
            <w:bottom w:val="none" w:sz="0" w:space="0" w:color="auto"/>
            <w:right w:val="none" w:sz="0" w:space="0" w:color="auto"/>
          </w:divBdr>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712461573">
      <w:bodyDiv w:val="1"/>
      <w:marLeft w:val="0"/>
      <w:marRight w:val="0"/>
      <w:marTop w:val="0"/>
      <w:marBottom w:val="0"/>
      <w:divBdr>
        <w:top w:val="none" w:sz="0" w:space="0" w:color="auto"/>
        <w:left w:val="none" w:sz="0" w:space="0" w:color="auto"/>
        <w:bottom w:val="none" w:sz="0" w:space="0" w:color="auto"/>
        <w:right w:val="none" w:sz="0" w:space="0" w:color="auto"/>
      </w:divBdr>
      <w:divsChild>
        <w:div w:id="355545333">
          <w:marLeft w:val="446"/>
          <w:marRight w:val="0"/>
          <w:marTop w:val="0"/>
          <w:marBottom w:val="0"/>
          <w:divBdr>
            <w:top w:val="none" w:sz="0" w:space="0" w:color="auto"/>
            <w:left w:val="none" w:sz="0" w:space="0" w:color="auto"/>
            <w:bottom w:val="none" w:sz="0" w:space="0" w:color="auto"/>
            <w:right w:val="none" w:sz="0" w:space="0" w:color="auto"/>
          </w:divBdr>
        </w:div>
        <w:div w:id="427892861">
          <w:marLeft w:val="446"/>
          <w:marRight w:val="0"/>
          <w:marTop w:val="0"/>
          <w:marBottom w:val="0"/>
          <w:divBdr>
            <w:top w:val="none" w:sz="0" w:space="0" w:color="auto"/>
            <w:left w:val="none" w:sz="0" w:space="0" w:color="auto"/>
            <w:bottom w:val="none" w:sz="0" w:space="0" w:color="auto"/>
            <w:right w:val="none" w:sz="0" w:space="0" w:color="auto"/>
          </w:divBdr>
        </w:div>
        <w:div w:id="437336605">
          <w:marLeft w:val="446"/>
          <w:marRight w:val="0"/>
          <w:marTop w:val="0"/>
          <w:marBottom w:val="0"/>
          <w:divBdr>
            <w:top w:val="none" w:sz="0" w:space="0" w:color="auto"/>
            <w:left w:val="none" w:sz="0" w:space="0" w:color="auto"/>
            <w:bottom w:val="none" w:sz="0" w:space="0" w:color="auto"/>
            <w:right w:val="none" w:sz="0" w:space="0" w:color="auto"/>
          </w:divBdr>
        </w:div>
        <w:div w:id="2029092445">
          <w:marLeft w:val="446"/>
          <w:marRight w:val="0"/>
          <w:marTop w:val="0"/>
          <w:marBottom w:val="0"/>
          <w:divBdr>
            <w:top w:val="none" w:sz="0" w:space="0" w:color="auto"/>
            <w:left w:val="none" w:sz="0" w:space="0" w:color="auto"/>
            <w:bottom w:val="none" w:sz="0" w:space="0" w:color="auto"/>
            <w:right w:val="none" w:sz="0" w:space="0" w:color="auto"/>
          </w:divBdr>
        </w:div>
      </w:divsChild>
    </w:div>
    <w:div w:id="1818567001">
      <w:bodyDiv w:val="1"/>
      <w:marLeft w:val="0"/>
      <w:marRight w:val="0"/>
      <w:marTop w:val="0"/>
      <w:marBottom w:val="0"/>
      <w:divBdr>
        <w:top w:val="none" w:sz="0" w:space="0" w:color="auto"/>
        <w:left w:val="none" w:sz="0" w:space="0" w:color="auto"/>
        <w:bottom w:val="none" w:sz="0" w:space="0" w:color="auto"/>
        <w:right w:val="none" w:sz="0" w:space="0" w:color="auto"/>
      </w:divBdr>
      <w:divsChild>
        <w:div w:id="87696995">
          <w:marLeft w:val="446"/>
          <w:marRight w:val="0"/>
          <w:marTop w:val="200"/>
          <w:marBottom w:val="0"/>
          <w:divBdr>
            <w:top w:val="none" w:sz="0" w:space="0" w:color="auto"/>
            <w:left w:val="none" w:sz="0" w:space="0" w:color="auto"/>
            <w:bottom w:val="none" w:sz="0" w:space="0" w:color="auto"/>
            <w:right w:val="none" w:sz="0" w:space="0" w:color="auto"/>
          </w:divBdr>
        </w:div>
        <w:div w:id="564487106">
          <w:marLeft w:val="446"/>
          <w:marRight w:val="0"/>
          <w:marTop w:val="200"/>
          <w:marBottom w:val="0"/>
          <w:divBdr>
            <w:top w:val="none" w:sz="0" w:space="0" w:color="auto"/>
            <w:left w:val="none" w:sz="0" w:space="0" w:color="auto"/>
            <w:bottom w:val="none" w:sz="0" w:space="0" w:color="auto"/>
            <w:right w:val="none" w:sz="0" w:space="0" w:color="auto"/>
          </w:divBdr>
        </w:div>
        <w:div w:id="662900792">
          <w:marLeft w:val="446"/>
          <w:marRight w:val="0"/>
          <w:marTop w:val="200"/>
          <w:marBottom w:val="0"/>
          <w:divBdr>
            <w:top w:val="none" w:sz="0" w:space="0" w:color="auto"/>
            <w:left w:val="none" w:sz="0" w:space="0" w:color="auto"/>
            <w:bottom w:val="none" w:sz="0" w:space="0" w:color="auto"/>
            <w:right w:val="none" w:sz="0" w:space="0" w:color="auto"/>
          </w:divBdr>
        </w:div>
        <w:div w:id="727147979">
          <w:marLeft w:val="446"/>
          <w:marRight w:val="0"/>
          <w:marTop w:val="200"/>
          <w:marBottom w:val="0"/>
          <w:divBdr>
            <w:top w:val="none" w:sz="0" w:space="0" w:color="auto"/>
            <w:left w:val="none" w:sz="0" w:space="0" w:color="auto"/>
            <w:bottom w:val="none" w:sz="0" w:space="0" w:color="auto"/>
            <w:right w:val="none" w:sz="0" w:space="0" w:color="auto"/>
          </w:divBdr>
        </w:div>
        <w:div w:id="810515324">
          <w:marLeft w:val="446"/>
          <w:marRight w:val="0"/>
          <w:marTop w:val="200"/>
          <w:marBottom w:val="0"/>
          <w:divBdr>
            <w:top w:val="none" w:sz="0" w:space="0" w:color="auto"/>
            <w:left w:val="none" w:sz="0" w:space="0" w:color="auto"/>
            <w:bottom w:val="none" w:sz="0" w:space="0" w:color="auto"/>
            <w:right w:val="none" w:sz="0" w:space="0" w:color="auto"/>
          </w:divBdr>
        </w:div>
        <w:div w:id="1200699261">
          <w:marLeft w:val="446"/>
          <w:marRight w:val="0"/>
          <w:marTop w:val="200"/>
          <w:marBottom w:val="0"/>
          <w:divBdr>
            <w:top w:val="none" w:sz="0" w:space="0" w:color="auto"/>
            <w:left w:val="none" w:sz="0" w:space="0" w:color="auto"/>
            <w:bottom w:val="none" w:sz="0" w:space="0" w:color="auto"/>
            <w:right w:val="none" w:sz="0" w:space="0" w:color="auto"/>
          </w:divBdr>
        </w:div>
        <w:div w:id="1250188843">
          <w:marLeft w:val="446"/>
          <w:marRight w:val="0"/>
          <w:marTop w:val="200"/>
          <w:marBottom w:val="0"/>
          <w:divBdr>
            <w:top w:val="none" w:sz="0" w:space="0" w:color="auto"/>
            <w:left w:val="none" w:sz="0" w:space="0" w:color="auto"/>
            <w:bottom w:val="none" w:sz="0" w:space="0" w:color="auto"/>
            <w:right w:val="none" w:sz="0" w:space="0" w:color="auto"/>
          </w:divBdr>
        </w:div>
        <w:div w:id="1330451689">
          <w:marLeft w:val="446"/>
          <w:marRight w:val="0"/>
          <w:marTop w:val="200"/>
          <w:marBottom w:val="0"/>
          <w:divBdr>
            <w:top w:val="none" w:sz="0" w:space="0" w:color="auto"/>
            <w:left w:val="none" w:sz="0" w:space="0" w:color="auto"/>
            <w:bottom w:val="none" w:sz="0" w:space="0" w:color="auto"/>
            <w:right w:val="none" w:sz="0" w:space="0" w:color="auto"/>
          </w:divBdr>
        </w:div>
        <w:div w:id="1898936541">
          <w:marLeft w:val="446"/>
          <w:marRight w:val="0"/>
          <w:marTop w:val="200"/>
          <w:marBottom w:val="0"/>
          <w:divBdr>
            <w:top w:val="none" w:sz="0" w:space="0" w:color="auto"/>
            <w:left w:val="none" w:sz="0" w:space="0" w:color="auto"/>
            <w:bottom w:val="none" w:sz="0" w:space="0" w:color="auto"/>
            <w:right w:val="none" w:sz="0" w:space="0" w:color="auto"/>
          </w:divBdr>
        </w:div>
      </w:divsChild>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0273">
          <w:marLeft w:val="360"/>
          <w:marRight w:val="0"/>
          <w:marTop w:val="200"/>
          <w:marBottom w:val="0"/>
          <w:divBdr>
            <w:top w:val="none" w:sz="0" w:space="0" w:color="auto"/>
            <w:left w:val="none" w:sz="0" w:space="0" w:color="auto"/>
            <w:bottom w:val="none" w:sz="0" w:space="0" w:color="auto"/>
            <w:right w:val="none" w:sz="0" w:space="0" w:color="auto"/>
          </w:divBdr>
        </w:div>
        <w:div w:id="89851593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olan@napier.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cloy@napier.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bsigroup.com/forms/PASs/PAS-1998/" TargetMode="External"/><Relationship Id="rId5" Type="http://schemas.openxmlformats.org/officeDocument/2006/relationships/numbering" Target="numbering.xml"/><Relationship Id="rId15" Type="http://schemas.openxmlformats.org/officeDocument/2006/relationships/hyperlink" Target="http://www.pcaw.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histle@pcaw.co.uk"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Semibold">
    <w:panose1 w:val="00000000000000000000"/>
    <w:charset w:val="00"/>
    <w:family w:val="swiss"/>
    <w:notTrueType/>
    <w:pitch w:val="default"/>
    <w:sig w:usb0="00000003" w:usb1="00000000" w:usb2="00000000" w:usb3="00000000" w:csb0="00000001" w:csb1="00000000"/>
  </w:font>
  <w:font w:name="Noto Serif">
    <w:charset w:val="00"/>
    <w:family w:val="roman"/>
    <w:pitch w:val="variable"/>
    <w:sig w:usb0="E00002FF" w:usb1="500078FF" w:usb2="00000029"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340B5"/>
    <w:rsid w:val="000732C4"/>
    <w:rsid w:val="000751DB"/>
    <w:rsid w:val="001A608B"/>
    <w:rsid w:val="00250B62"/>
    <w:rsid w:val="00320E10"/>
    <w:rsid w:val="00325781"/>
    <w:rsid w:val="00457CE2"/>
    <w:rsid w:val="004A2683"/>
    <w:rsid w:val="004D094E"/>
    <w:rsid w:val="005058D9"/>
    <w:rsid w:val="005C1EB8"/>
    <w:rsid w:val="006703CF"/>
    <w:rsid w:val="00733210"/>
    <w:rsid w:val="00747B4D"/>
    <w:rsid w:val="00881C3E"/>
    <w:rsid w:val="008A4462"/>
    <w:rsid w:val="00A0350F"/>
    <w:rsid w:val="00A42A39"/>
    <w:rsid w:val="00A42EAC"/>
    <w:rsid w:val="00A964BE"/>
    <w:rsid w:val="00AE4CF3"/>
    <w:rsid w:val="00C66FDC"/>
    <w:rsid w:val="00CA3CCD"/>
    <w:rsid w:val="00CD0C51"/>
    <w:rsid w:val="00D55E30"/>
    <w:rsid w:val="00DA750F"/>
    <w:rsid w:val="00DC12B2"/>
    <w:rsid w:val="00E26EDD"/>
    <w:rsid w:val="00E6420B"/>
    <w:rsid w:val="00EA4F15"/>
    <w:rsid w:val="00EE14CD"/>
    <w:rsid w:val="00F302A6"/>
    <w:rsid w:val="00FA6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34498f0-af88-4ead-8ff8-8771186303f3">
      <UserInfo>
        <DisplayName>Marriott, Emma</DisplayName>
        <AccountId>61</AccountId>
        <AccountType/>
      </UserInfo>
      <UserInfo>
        <DisplayName>Dicker, Lesley</DisplayName>
        <AccountId>20</AccountId>
        <AccountType/>
      </UserInfo>
    </SharedWithUsers>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87D99-C248-418B-BD36-D661123908A0}">
  <ds:schemaRefs>
    <ds:schemaRef ds:uri="http://schemas.openxmlformats.org/officeDocument/2006/bibliography"/>
  </ds:schemaRefs>
</ds:datastoreItem>
</file>

<file path=customXml/itemProps2.xml><?xml version="1.0" encoding="utf-8"?>
<ds:datastoreItem xmlns:ds="http://schemas.openxmlformats.org/officeDocument/2006/customXml" ds:itemID="{716407EF-8403-433A-BDA8-B3690049A7DC}"/>
</file>

<file path=customXml/itemProps3.xml><?xml version="1.0" encoding="utf-8"?>
<ds:datastoreItem xmlns:ds="http://schemas.openxmlformats.org/officeDocument/2006/customXml" ds:itemID="{A183D11B-A10F-4627-8C35-919E6F027312}">
  <ds:schemaRefs>
    <ds:schemaRef ds:uri="http://schemas.microsoft.com/office/2006/metadata/properties"/>
    <ds:schemaRef ds:uri="http://schemas.microsoft.com/office/infopath/2007/PartnerControls"/>
    <ds:schemaRef ds:uri="af64f34f-62a1-4adb-a09f-81e30d5a70ae"/>
    <ds:schemaRef ds:uri="69dcefaa-8814-4e05-ab64-9333d4c4e502"/>
  </ds:schemaRefs>
</ds:datastoreItem>
</file>

<file path=customXml/itemProps4.xml><?xml version="1.0" encoding="utf-8"?>
<ds:datastoreItem xmlns:ds="http://schemas.openxmlformats.org/officeDocument/2006/customXml" ds:itemID="{367B4F20-002F-41B2-9178-CD4D7C1DE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Caroline</dc:creator>
  <cp:keywords/>
  <dc:description/>
  <cp:lastModifiedBy>Arnot, Louise</cp:lastModifiedBy>
  <cp:revision>9</cp:revision>
  <cp:lastPrinted>2021-01-06T14:28:00Z</cp:lastPrinted>
  <dcterms:created xsi:type="dcterms:W3CDTF">2024-08-19T12:28:00Z</dcterms:created>
  <dcterms:modified xsi:type="dcterms:W3CDTF">2024-08-19T13:08:00Z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y fmtid="{D5CDD505-2E9C-101B-9397-08002B2CF9AE}" pid="3" name="CssOptions">
    <vt:lpwstr/>
  </property>
  <property fmtid="{D5CDD505-2E9C-101B-9397-08002B2CF9AE}" pid="4" name="MetaDesc">
    <vt:lpwstr/>
  </property>
  <property fmtid="{D5CDD505-2E9C-101B-9397-08002B2CF9AE}" pid="5" name="PublishingRollupImage">
    <vt:lpwstr/>
  </property>
  <property fmtid="{D5CDD505-2E9C-101B-9397-08002B2CF9AE}" pid="6" name="PublishingContactEmail">
    <vt:lpwstr/>
  </property>
  <property fmtid="{D5CDD505-2E9C-101B-9397-08002B2CF9AE}" pid="7" name="PublishingContactPicture">
    <vt:lpwstr/>
  </property>
  <property fmtid="{D5CDD505-2E9C-101B-9397-08002B2CF9AE}" pid="8" name="ImageNames">
    <vt:lpwstr/>
  </property>
  <property fmtid="{D5CDD505-2E9C-101B-9397-08002B2CF9AE}" pid="9" name="PublishingContactName">
    <vt:lpwstr/>
  </property>
  <property fmtid="{D5CDD505-2E9C-101B-9397-08002B2CF9AE}" pid="10" name="Comments">
    <vt:lpwstr/>
  </property>
  <property fmtid="{D5CDD505-2E9C-101B-9397-08002B2CF9AE}" pid="11" name="PublishingPageLayout">
    <vt:lpwstr/>
  </property>
  <property fmtid="{D5CDD505-2E9C-101B-9397-08002B2CF9AE}" pid="12" name="Document Keywords">
    <vt:lpwstr/>
  </property>
  <property fmtid="{D5CDD505-2E9C-101B-9397-08002B2CF9AE}" pid="13" name="Audience">
    <vt:lpwstr/>
  </property>
  <property fmtid="{D5CDD505-2E9C-101B-9397-08002B2CF9AE}" pid="14" name="keyword">
    <vt:lpwstr/>
  </property>
  <property fmtid="{D5CDD505-2E9C-101B-9397-08002B2CF9AE}" pid="15" name="Document Description">
    <vt:lpwstr/>
  </property>
  <property fmtid="{D5CDD505-2E9C-101B-9397-08002B2CF9AE}" pid="16" name="MediaServiceImageTags">
    <vt:lpwstr/>
  </property>
</Properties>
</file>