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4058A4" w14:textId="77777777" w:rsidR="00F12787" w:rsidRDefault="00F12787" w:rsidP="00BB38E6">
      <w:pPr>
        <w:jc w:val="both"/>
        <w:rPr>
          <w:noProof/>
          <w:lang w:eastAsia="en-GB"/>
        </w:rPr>
      </w:pPr>
    </w:p>
    <w:p w14:paraId="73C6086C" w14:textId="77777777" w:rsidR="00C12DB8" w:rsidRDefault="00C12DB8" w:rsidP="00BB38E6">
      <w:pPr>
        <w:jc w:val="both"/>
        <w:rPr>
          <w:noProof/>
          <w:lang w:eastAsia="en-GB"/>
        </w:rPr>
      </w:pPr>
    </w:p>
    <w:p w14:paraId="76E74EAB" w14:textId="77777777" w:rsidR="00FF4D00" w:rsidRPr="00C12DB8" w:rsidRDefault="00FF4D00" w:rsidP="00FF4D00">
      <w:pPr>
        <w:pStyle w:val="Heading2"/>
        <w:rPr>
          <w:noProof/>
          <w:color w:val="67B8E7"/>
          <w:lang w:eastAsia="en-GB"/>
        </w:rPr>
      </w:pPr>
      <w:r w:rsidRPr="00C12DB8">
        <w:rPr>
          <w:noProof/>
          <w:color w:val="67B8E7"/>
          <w:lang w:eastAsia="en-GB"/>
        </w:rPr>
        <w:t>Introduction</w:t>
      </w:r>
    </w:p>
    <w:p w14:paraId="22C1F14F" w14:textId="77777777" w:rsidR="00FF4D00" w:rsidRPr="00FF4D00" w:rsidRDefault="00FF4D00" w:rsidP="00FF4D00">
      <w:pPr>
        <w:jc w:val="both"/>
        <w:rPr>
          <w:rFonts w:ascii="Titillium" w:hAnsi="Titillium"/>
          <w:noProof/>
          <w:sz w:val="22"/>
          <w:szCs w:val="22"/>
          <w:lang w:eastAsia="en-GB"/>
        </w:rPr>
      </w:pPr>
    </w:p>
    <w:p w14:paraId="05531F92" w14:textId="77777777" w:rsidR="00FF4D00" w:rsidRPr="00FF4D00" w:rsidRDefault="00FF4D00" w:rsidP="0012231E">
      <w:pPr>
        <w:ind w:left="360" w:hanging="360"/>
        <w:jc w:val="both"/>
        <w:rPr>
          <w:rFonts w:ascii="Titillium" w:hAnsi="Titillium"/>
          <w:noProof/>
          <w:sz w:val="22"/>
          <w:szCs w:val="22"/>
          <w:lang w:eastAsia="en-GB"/>
        </w:rPr>
      </w:pPr>
      <w:r w:rsidRPr="00FF4D00">
        <w:rPr>
          <w:rFonts w:ascii="Titillium" w:hAnsi="Titillium"/>
          <w:noProof/>
          <w:sz w:val="22"/>
          <w:szCs w:val="22"/>
          <w:lang w:eastAsia="en-GB"/>
        </w:rPr>
        <w:t>1.1</w:t>
      </w:r>
      <w:r w:rsidRPr="00FF4D00">
        <w:rPr>
          <w:rFonts w:ascii="Titillium" w:hAnsi="Titillium"/>
          <w:noProof/>
          <w:sz w:val="22"/>
          <w:szCs w:val="22"/>
          <w:lang w:eastAsia="en-GB"/>
        </w:rPr>
        <w:tab/>
        <w:t xml:space="preserve">The purpose of this policy, which applies to all staff, is to ensure that key University services can adequately be supported out of core hours according to users needs, minimising any outages or unavailability of systems or services to those users. </w:t>
      </w:r>
    </w:p>
    <w:p w14:paraId="60EEDC89" w14:textId="77777777" w:rsidR="00FF4D00" w:rsidRPr="00FF4D00" w:rsidRDefault="00FF4D00" w:rsidP="00FF4D00">
      <w:pPr>
        <w:jc w:val="both"/>
        <w:rPr>
          <w:rFonts w:ascii="Titillium" w:hAnsi="Titillium"/>
          <w:noProof/>
          <w:sz w:val="22"/>
          <w:szCs w:val="22"/>
          <w:lang w:eastAsia="en-GB"/>
        </w:rPr>
      </w:pPr>
    </w:p>
    <w:p w14:paraId="468F4BF6" w14:textId="785A6E9E" w:rsidR="00FF4D00" w:rsidRPr="00FF4D00" w:rsidRDefault="00FF4D00" w:rsidP="0012231E">
      <w:pPr>
        <w:ind w:left="360" w:hanging="360"/>
        <w:jc w:val="both"/>
        <w:rPr>
          <w:rFonts w:ascii="Titillium" w:hAnsi="Titillium"/>
          <w:noProof/>
          <w:sz w:val="22"/>
          <w:szCs w:val="22"/>
          <w:lang w:eastAsia="en-GB"/>
        </w:rPr>
      </w:pPr>
      <w:r w:rsidRPr="00FF4D00">
        <w:rPr>
          <w:rFonts w:ascii="Titillium" w:hAnsi="Titillium"/>
          <w:noProof/>
          <w:sz w:val="22"/>
          <w:szCs w:val="22"/>
          <w:lang w:eastAsia="en-GB"/>
        </w:rPr>
        <w:t>1.2</w:t>
      </w:r>
      <w:r w:rsidRPr="00FF4D00">
        <w:rPr>
          <w:rFonts w:ascii="Titillium" w:hAnsi="Titillium"/>
          <w:noProof/>
          <w:sz w:val="22"/>
          <w:szCs w:val="22"/>
          <w:lang w:eastAsia="en-GB"/>
        </w:rPr>
        <w:tab/>
        <w:t xml:space="preserve">This policy stipulates what payments will be made to </w:t>
      </w:r>
      <w:bookmarkStart w:id="0" w:name="_Hlk171598590"/>
      <w:r w:rsidR="005E754E">
        <w:rPr>
          <w:rFonts w:ascii="Titillium" w:hAnsi="Titillium"/>
          <w:noProof/>
          <w:sz w:val="22"/>
          <w:szCs w:val="22"/>
          <w:lang w:eastAsia="en-GB"/>
        </w:rPr>
        <w:t>colleagues</w:t>
      </w:r>
      <w:bookmarkEnd w:id="0"/>
      <w:r w:rsidRPr="00FF4D00">
        <w:rPr>
          <w:rFonts w:ascii="Titillium" w:hAnsi="Titillium"/>
          <w:noProof/>
          <w:sz w:val="22"/>
          <w:szCs w:val="22"/>
          <w:lang w:eastAsia="en-GB"/>
        </w:rPr>
        <w:t xml:space="preserve"> who are on standby or respond to a call-out.</w:t>
      </w:r>
    </w:p>
    <w:p w14:paraId="0261EE31" w14:textId="77777777" w:rsidR="00FF4D00" w:rsidRPr="00FF4D00" w:rsidRDefault="00FF4D00" w:rsidP="00FF4D00">
      <w:pPr>
        <w:jc w:val="both"/>
        <w:rPr>
          <w:rFonts w:ascii="Titillium" w:hAnsi="Titillium"/>
          <w:noProof/>
          <w:sz w:val="22"/>
          <w:szCs w:val="22"/>
          <w:lang w:eastAsia="en-GB"/>
        </w:rPr>
      </w:pPr>
    </w:p>
    <w:p w14:paraId="01FB8EC5" w14:textId="5B60E2CB" w:rsidR="00FF4D00" w:rsidRPr="00FF4D00" w:rsidRDefault="00FF4D00" w:rsidP="0012231E">
      <w:pPr>
        <w:ind w:left="360" w:hanging="360"/>
        <w:jc w:val="both"/>
        <w:rPr>
          <w:rFonts w:ascii="Titillium" w:hAnsi="Titillium"/>
          <w:noProof/>
          <w:sz w:val="22"/>
          <w:szCs w:val="22"/>
          <w:lang w:eastAsia="en-GB"/>
        </w:rPr>
      </w:pPr>
      <w:r w:rsidRPr="00FF4D00">
        <w:rPr>
          <w:rFonts w:ascii="Titillium" w:hAnsi="Titillium"/>
          <w:noProof/>
          <w:sz w:val="22"/>
          <w:szCs w:val="22"/>
          <w:lang w:eastAsia="en-GB"/>
        </w:rPr>
        <w:t>1.3</w:t>
      </w:r>
      <w:r w:rsidRPr="00FF4D00">
        <w:rPr>
          <w:rFonts w:ascii="Titillium" w:hAnsi="Titillium"/>
          <w:noProof/>
          <w:sz w:val="22"/>
          <w:szCs w:val="22"/>
          <w:lang w:eastAsia="en-GB"/>
        </w:rPr>
        <w:tab/>
        <w:t xml:space="preserve">Standby is time out of core working hours of the University during which staff need to be available as they may be required to respond to a call-out. Payment in this case is the standby payment and is applicable for the period in which the </w:t>
      </w:r>
      <w:r w:rsidR="0002284C">
        <w:rPr>
          <w:rFonts w:ascii="Titillium" w:hAnsi="Titillium"/>
          <w:noProof/>
          <w:sz w:val="22"/>
          <w:szCs w:val="22"/>
          <w:lang w:eastAsia="en-GB"/>
        </w:rPr>
        <w:t>colleague</w:t>
      </w:r>
      <w:r w:rsidRPr="00FF4D00">
        <w:rPr>
          <w:rFonts w:ascii="Titillium" w:hAnsi="Titillium"/>
          <w:noProof/>
          <w:sz w:val="22"/>
          <w:szCs w:val="22"/>
          <w:lang w:eastAsia="en-GB"/>
        </w:rPr>
        <w:t xml:space="preserve"> may be required to respond to a call-out, up to the point at which a call-out is initiated.</w:t>
      </w:r>
    </w:p>
    <w:p w14:paraId="2AA0BB31" w14:textId="77777777" w:rsidR="00FF4D00" w:rsidRPr="00FF4D00" w:rsidRDefault="00FF4D00" w:rsidP="00FF4D00">
      <w:pPr>
        <w:jc w:val="both"/>
        <w:rPr>
          <w:rFonts w:ascii="Titillium" w:hAnsi="Titillium"/>
          <w:noProof/>
          <w:sz w:val="22"/>
          <w:szCs w:val="22"/>
          <w:lang w:eastAsia="en-GB"/>
        </w:rPr>
      </w:pPr>
    </w:p>
    <w:p w14:paraId="733A03EF" w14:textId="263211F5" w:rsidR="00FF4D00" w:rsidRPr="00FF4D00" w:rsidRDefault="00FF4D00" w:rsidP="0012231E">
      <w:pPr>
        <w:ind w:left="360" w:hanging="360"/>
        <w:jc w:val="both"/>
        <w:rPr>
          <w:rFonts w:ascii="Titillium" w:hAnsi="Titillium"/>
          <w:noProof/>
          <w:sz w:val="22"/>
          <w:szCs w:val="22"/>
          <w:lang w:eastAsia="en-GB"/>
        </w:rPr>
      </w:pPr>
      <w:r w:rsidRPr="00FF4D00">
        <w:rPr>
          <w:rFonts w:ascii="Titillium" w:hAnsi="Titillium"/>
          <w:noProof/>
          <w:sz w:val="22"/>
          <w:szCs w:val="22"/>
          <w:lang w:eastAsia="en-GB"/>
        </w:rPr>
        <w:t>1.4</w:t>
      </w:r>
      <w:r w:rsidRPr="00FF4D00">
        <w:rPr>
          <w:rFonts w:ascii="Titillium" w:hAnsi="Titillium"/>
          <w:noProof/>
          <w:sz w:val="22"/>
          <w:szCs w:val="22"/>
          <w:lang w:eastAsia="en-GB"/>
        </w:rPr>
        <w:tab/>
        <w:t xml:space="preserve">While on standby, a </w:t>
      </w:r>
      <w:r w:rsidR="0002284C" w:rsidRPr="0002284C">
        <w:rPr>
          <w:rFonts w:ascii="Titillium" w:hAnsi="Titillium"/>
          <w:noProof/>
          <w:sz w:val="22"/>
          <w:szCs w:val="22"/>
          <w:lang w:eastAsia="en-GB"/>
        </w:rPr>
        <w:t>colleague</w:t>
      </w:r>
      <w:r w:rsidRPr="00FF4D00">
        <w:rPr>
          <w:rFonts w:ascii="Titillium" w:hAnsi="Titillium"/>
          <w:noProof/>
          <w:sz w:val="22"/>
          <w:szCs w:val="22"/>
          <w:lang w:eastAsia="en-GB"/>
        </w:rPr>
        <w:t xml:space="preserve"> may need to respond to a call-out and address a situation within their normal work area either remotely or by attending the workplace. Payment in this case is the call-out payment and is applicable from the point of contact requiring work to be undertaken.</w:t>
      </w:r>
    </w:p>
    <w:p w14:paraId="44AFE4FF" w14:textId="77777777" w:rsidR="00FF4D00" w:rsidRPr="00FF4D00" w:rsidRDefault="00FF4D00" w:rsidP="00FF4D00">
      <w:pPr>
        <w:jc w:val="both"/>
        <w:rPr>
          <w:rFonts w:ascii="Titillium" w:hAnsi="Titillium"/>
          <w:noProof/>
          <w:sz w:val="22"/>
          <w:szCs w:val="22"/>
          <w:lang w:eastAsia="en-GB"/>
        </w:rPr>
      </w:pPr>
    </w:p>
    <w:p w14:paraId="2AF0E826" w14:textId="4A894884" w:rsidR="00FF4D00" w:rsidRPr="00C12DB8" w:rsidRDefault="00FF4D00" w:rsidP="00FF4D00">
      <w:pPr>
        <w:pStyle w:val="Heading2"/>
        <w:rPr>
          <w:noProof/>
          <w:color w:val="67B8E7"/>
          <w:lang w:eastAsia="en-GB"/>
        </w:rPr>
      </w:pPr>
      <w:r w:rsidRPr="00C12DB8">
        <w:rPr>
          <w:noProof/>
          <w:color w:val="67B8E7"/>
          <w:lang w:eastAsia="en-GB"/>
        </w:rPr>
        <w:t>Principles</w:t>
      </w:r>
    </w:p>
    <w:p w14:paraId="7706C7A7" w14:textId="77777777" w:rsidR="00FF4D00" w:rsidRPr="00FF4D00" w:rsidRDefault="00FF4D00" w:rsidP="00FF4D00">
      <w:pPr>
        <w:jc w:val="both"/>
        <w:rPr>
          <w:rFonts w:ascii="Titillium" w:hAnsi="Titillium"/>
          <w:noProof/>
          <w:sz w:val="22"/>
          <w:szCs w:val="22"/>
          <w:lang w:eastAsia="en-GB"/>
        </w:rPr>
      </w:pPr>
    </w:p>
    <w:p w14:paraId="5A26474E" w14:textId="77777777" w:rsidR="00FF4D00" w:rsidRPr="00FF4D00" w:rsidRDefault="00FF4D00" w:rsidP="0012231E">
      <w:pPr>
        <w:ind w:left="360" w:hanging="360"/>
        <w:jc w:val="both"/>
        <w:rPr>
          <w:rFonts w:ascii="Titillium" w:hAnsi="Titillium"/>
          <w:noProof/>
          <w:sz w:val="22"/>
          <w:szCs w:val="22"/>
          <w:lang w:eastAsia="en-GB"/>
        </w:rPr>
      </w:pPr>
      <w:r w:rsidRPr="00FF4D00">
        <w:rPr>
          <w:rFonts w:ascii="Titillium" w:hAnsi="Titillium"/>
          <w:noProof/>
          <w:sz w:val="22"/>
          <w:szCs w:val="22"/>
          <w:lang w:eastAsia="en-GB"/>
        </w:rPr>
        <w:t>2.1</w:t>
      </w:r>
      <w:r w:rsidRPr="00FF4D00">
        <w:rPr>
          <w:rFonts w:ascii="Titillium" w:hAnsi="Titillium"/>
          <w:noProof/>
          <w:sz w:val="22"/>
          <w:szCs w:val="22"/>
          <w:lang w:eastAsia="en-GB"/>
        </w:rPr>
        <w:tab/>
        <w:t xml:space="preserve">In some areas of the University groups of staff may be required to provide an out of core hours service, and it is important that this work be recognised and rewarded consistently.  </w:t>
      </w:r>
    </w:p>
    <w:p w14:paraId="098A5C12" w14:textId="77777777" w:rsidR="00FF4D00" w:rsidRPr="00FF4D00" w:rsidRDefault="00FF4D00" w:rsidP="00FF4D00">
      <w:pPr>
        <w:jc w:val="both"/>
        <w:rPr>
          <w:rFonts w:ascii="Titillium" w:hAnsi="Titillium"/>
          <w:noProof/>
          <w:sz w:val="22"/>
          <w:szCs w:val="22"/>
          <w:lang w:eastAsia="en-GB"/>
        </w:rPr>
      </w:pPr>
    </w:p>
    <w:p w14:paraId="1BFAE520" w14:textId="77777777" w:rsidR="00FF4D00" w:rsidRPr="00FF4D00" w:rsidRDefault="00FF4D00" w:rsidP="0012231E">
      <w:pPr>
        <w:ind w:left="360" w:hanging="360"/>
        <w:jc w:val="both"/>
        <w:rPr>
          <w:rFonts w:ascii="Titillium" w:hAnsi="Titillium"/>
          <w:noProof/>
          <w:sz w:val="22"/>
          <w:szCs w:val="22"/>
          <w:lang w:eastAsia="en-GB"/>
        </w:rPr>
      </w:pPr>
      <w:r w:rsidRPr="00FF4D00">
        <w:rPr>
          <w:rFonts w:ascii="Titillium" w:hAnsi="Titillium"/>
          <w:noProof/>
          <w:sz w:val="22"/>
          <w:szCs w:val="22"/>
          <w:lang w:eastAsia="en-GB"/>
        </w:rPr>
        <w:t>2.2</w:t>
      </w:r>
      <w:r w:rsidRPr="00FF4D00">
        <w:rPr>
          <w:rFonts w:ascii="Titillium" w:hAnsi="Titillium"/>
          <w:noProof/>
          <w:sz w:val="22"/>
          <w:szCs w:val="22"/>
          <w:lang w:eastAsia="en-GB"/>
        </w:rPr>
        <w:tab/>
        <w:t xml:space="preserve">Standby rotas will be used where there is a demonstrable need to ensure adequate out of core hours cover for essential services and where it is essential to ensure that there is a response to the failure of any critical system or services.  Appendix A lists the areas that this applies to.  </w:t>
      </w:r>
    </w:p>
    <w:p w14:paraId="0334B427" w14:textId="77777777" w:rsidR="00FF4D00" w:rsidRPr="00FF4D00" w:rsidRDefault="00FF4D00" w:rsidP="00FF4D00">
      <w:pPr>
        <w:jc w:val="both"/>
        <w:rPr>
          <w:rFonts w:ascii="Titillium" w:hAnsi="Titillium"/>
          <w:noProof/>
          <w:sz w:val="22"/>
          <w:szCs w:val="22"/>
          <w:lang w:eastAsia="en-GB"/>
        </w:rPr>
      </w:pPr>
    </w:p>
    <w:p w14:paraId="17EFE023" w14:textId="0834A51C" w:rsidR="00FF4D00" w:rsidRPr="00FF4D00" w:rsidRDefault="00FF4D00" w:rsidP="0012231E">
      <w:pPr>
        <w:ind w:left="360" w:hanging="360"/>
        <w:jc w:val="both"/>
        <w:rPr>
          <w:rFonts w:ascii="Titillium" w:hAnsi="Titillium"/>
          <w:noProof/>
          <w:sz w:val="22"/>
          <w:szCs w:val="22"/>
          <w:lang w:eastAsia="en-GB"/>
        </w:rPr>
      </w:pPr>
      <w:r w:rsidRPr="00FF4D00">
        <w:rPr>
          <w:rFonts w:ascii="Titillium" w:hAnsi="Titillium"/>
          <w:noProof/>
          <w:sz w:val="22"/>
          <w:szCs w:val="22"/>
          <w:lang w:eastAsia="en-GB"/>
        </w:rPr>
        <w:t>2.3</w:t>
      </w:r>
      <w:r w:rsidRPr="00FF4D00">
        <w:rPr>
          <w:rFonts w:ascii="Titillium" w:hAnsi="Titillium"/>
          <w:noProof/>
          <w:sz w:val="22"/>
          <w:szCs w:val="22"/>
          <w:lang w:eastAsia="en-GB"/>
        </w:rPr>
        <w:tab/>
        <w:t xml:space="preserve">Proposals for any additions to Appendix A must be submitted to </w:t>
      </w:r>
      <w:r w:rsidR="00656D16">
        <w:rPr>
          <w:rFonts w:ascii="Titillium" w:hAnsi="Titillium"/>
          <w:noProof/>
          <w:sz w:val="22"/>
          <w:szCs w:val="22"/>
          <w:lang w:eastAsia="en-GB"/>
        </w:rPr>
        <w:t>The People Team</w:t>
      </w:r>
      <w:r w:rsidRPr="00FF4D00">
        <w:rPr>
          <w:rFonts w:ascii="Titillium" w:hAnsi="Titillium"/>
          <w:noProof/>
          <w:sz w:val="22"/>
          <w:szCs w:val="22"/>
          <w:lang w:eastAsia="en-GB"/>
        </w:rPr>
        <w:t xml:space="preserve"> and will be subject to appropriate consultation and negotiation.  Any proposals should be based on the area having a sustained and consistent business requirement to provide services outside core hours, as opposed to those occasions that are covered by either overtime in terms of the Overtime Policy or the Non-Standard Work Pattern Supplements Policy.</w:t>
      </w:r>
    </w:p>
    <w:p w14:paraId="68765962" w14:textId="77777777" w:rsidR="00FF4D00" w:rsidRPr="00FF4D00" w:rsidRDefault="00FF4D00" w:rsidP="00FF4D00">
      <w:pPr>
        <w:jc w:val="both"/>
        <w:rPr>
          <w:rFonts w:ascii="Titillium" w:hAnsi="Titillium"/>
          <w:noProof/>
          <w:sz w:val="22"/>
          <w:szCs w:val="22"/>
          <w:lang w:eastAsia="en-GB"/>
        </w:rPr>
      </w:pPr>
      <w:r w:rsidRPr="00FF4D00">
        <w:rPr>
          <w:rFonts w:ascii="Titillium" w:hAnsi="Titillium"/>
          <w:noProof/>
          <w:sz w:val="22"/>
          <w:szCs w:val="22"/>
          <w:lang w:eastAsia="en-GB"/>
        </w:rPr>
        <w:tab/>
      </w:r>
    </w:p>
    <w:p w14:paraId="1F4FFE10" w14:textId="77777777" w:rsidR="00FF4D00" w:rsidRPr="00FF4D00" w:rsidRDefault="00FF4D00" w:rsidP="0012231E">
      <w:pPr>
        <w:ind w:left="360" w:hanging="360"/>
        <w:jc w:val="both"/>
        <w:rPr>
          <w:rFonts w:ascii="Titillium" w:hAnsi="Titillium"/>
          <w:noProof/>
          <w:sz w:val="22"/>
          <w:szCs w:val="22"/>
          <w:lang w:eastAsia="en-GB"/>
        </w:rPr>
      </w:pPr>
      <w:r w:rsidRPr="00FF4D00">
        <w:rPr>
          <w:rFonts w:ascii="Titillium" w:hAnsi="Titillium"/>
          <w:noProof/>
          <w:sz w:val="22"/>
          <w:szCs w:val="22"/>
          <w:lang w:eastAsia="en-GB"/>
        </w:rPr>
        <w:t>2.4</w:t>
      </w:r>
      <w:r w:rsidRPr="00FF4D00">
        <w:rPr>
          <w:rFonts w:ascii="Titillium" w:hAnsi="Titillium"/>
          <w:noProof/>
          <w:sz w:val="22"/>
          <w:szCs w:val="22"/>
          <w:lang w:eastAsia="en-GB"/>
        </w:rPr>
        <w:tab/>
        <w:t>Standby rotas will be managed on a voluntary basis for existing staff who are in employment at 31 May 2008.  Staff employed after this date, within an area referenced in Appendix A, will be contractually required to participate.</w:t>
      </w:r>
    </w:p>
    <w:p w14:paraId="5AD27025" w14:textId="77777777" w:rsidR="00FF4D00" w:rsidRPr="00FF4D00" w:rsidRDefault="00FF4D00" w:rsidP="00FF4D00">
      <w:pPr>
        <w:jc w:val="both"/>
        <w:rPr>
          <w:rFonts w:ascii="Titillium" w:hAnsi="Titillium"/>
          <w:noProof/>
          <w:sz w:val="22"/>
          <w:szCs w:val="22"/>
          <w:lang w:eastAsia="en-GB"/>
        </w:rPr>
      </w:pPr>
    </w:p>
    <w:p w14:paraId="56252E75" w14:textId="77777777" w:rsidR="00FF4D00" w:rsidRPr="00FF4D00" w:rsidRDefault="00FF4D00" w:rsidP="0012231E">
      <w:pPr>
        <w:ind w:left="360" w:hanging="360"/>
        <w:jc w:val="both"/>
        <w:rPr>
          <w:rFonts w:ascii="Titillium" w:hAnsi="Titillium"/>
          <w:noProof/>
          <w:sz w:val="22"/>
          <w:szCs w:val="22"/>
          <w:lang w:eastAsia="en-GB"/>
        </w:rPr>
      </w:pPr>
      <w:r w:rsidRPr="00FF4D00">
        <w:rPr>
          <w:rFonts w:ascii="Titillium" w:hAnsi="Titillium"/>
          <w:noProof/>
          <w:sz w:val="22"/>
          <w:szCs w:val="22"/>
          <w:lang w:eastAsia="en-GB"/>
        </w:rPr>
        <w:lastRenderedPageBreak/>
        <w:t>2.5</w:t>
      </w:r>
      <w:r w:rsidRPr="00FF4D00">
        <w:rPr>
          <w:rFonts w:ascii="Titillium" w:hAnsi="Titillium"/>
          <w:noProof/>
          <w:sz w:val="22"/>
          <w:szCs w:val="22"/>
          <w:lang w:eastAsia="en-GB"/>
        </w:rPr>
        <w:tab/>
        <w:t>The standby rota will be prepared one month in advance.  The rota will be supplied for information to Security and any other department that requires this information to ensure Health and Safety considerations are taken into account.</w:t>
      </w:r>
    </w:p>
    <w:p w14:paraId="6B74115F" w14:textId="77777777" w:rsidR="00FF4D00" w:rsidRPr="00FF4D00" w:rsidRDefault="00FF4D00" w:rsidP="00FF4D00">
      <w:pPr>
        <w:jc w:val="both"/>
        <w:rPr>
          <w:rFonts w:ascii="Titillium" w:hAnsi="Titillium"/>
          <w:noProof/>
          <w:sz w:val="22"/>
          <w:szCs w:val="22"/>
          <w:lang w:eastAsia="en-GB"/>
        </w:rPr>
      </w:pPr>
    </w:p>
    <w:p w14:paraId="5ECB65AB" w14:textId="0A8F2BA8" w:rsidR="00FF4D00" w:rsidRPr="00FF4D00" w:rsidRDefault="00FF4D00" w:rsidP="0012231E">
      <w:pPr>
        <w:ind w:left="360" w:hanging="360"/>
        <w:jc w:val="both"/>
        <w:rPr>
          <w:rFonts w:ascii="Titillium" w:hAnsi="Titillium"/>
          <w:noProof/>
          <w:sz w:val="22"/>
          <w:szCs w:val="22"/>
          <w:lang w:eastAsia="en-GB"/>
        </w:rPr>
      </w:pPr>
      <w:r w:rsidRPr="00FF4D00">
        <w:rPr>
          <w:rFonts w:ascii="Titillium" w:hAnsi="Titillium"/>
          <w:noProof/>
          <w:sz w:val="22"/>
          <w:szCs w:val="22"/>
          <w:lang w:eastAsia="en-GB"/>
        </w:rPr>
        <w:t>2.6</w:t>
      </w:r>
      <w:r w:rsidRPr="00FF4D00">
        <w:rPr>
          <w:rFonts w:ascii="Titillium" w:hAnsi="Titillium"/>
          <w:noProof/>
          <w:sz w:val="22"/>
          <w:szCs w:val="22"/>
          <w:lang w:eastAsia="en-GB"/>
        </w:rPr>
        <w:tab/>
      </w:r>
      <w:r w:rsidR="005E754E">
        <w:rPr>
          <w:rFonts w:ascii="Titillium" w:hAnsi="Titillium"/>
          <w:noProof/>
          <w:sz w:val="22"/>
          <w:szCs w:val="22"/>
          <w:lang w:eastAsia="en-GB"/>
        </w:rPr>
        <w:t>C</w:t>
      </w:r>
      <w:r w:rsidR="005E754E" w:rsidRPr="005E754E">
        <w:rPr>
          <w:rFonts w:ascii="Titillium" w:hAnsi="Titillium"/>
          <w:noProof/>
          <w:sz w:val="22"/>
          <w:szCs w:val="22"/>
          <w:lang w:eastAsia="en-GB"/>
        </w:rPr>
        <w:t>olleagues</w:t>
      </w:r>
      <w:r w:rsidRPr="00FF4D00">
        <w:rPr>
          <w:rFonts w:ascii="Titillium" w:hAnsi="Titillium"/>
          <w:noProof/>
          <w:sz w:val="22"/>
          <w:szCs w:val="22"/>
          <w:lang w:eastAsia="en-GB"/>
        </w:rPr>
        <w:t xml:space="preserve"> that are on standby are required to ensure their availability in the case of a call-out and must be fit and able to attend work as soon as they are contacted.  This may impact on social arrangements which will need to be considered at the time of undertaking standby.  If you become unwell during this standby time then please contact the manager on call as soon as possible to advise them.</w:t>
      </w:r>
    </w:p>
    <w:p w14:paraId="3C082A36" w14:textId="77777777" w:rsidR="00FF4D00" w:rsidRPr="00FF4D00" w:rsidRDefault="00FF4D00" w:rsidP="00FF4D00">
      <w:pPr>
        <w:jc w:val="both"/>
        <w:rPr>
          <w:rFonts w:ascii="Titillium" w:hAnsi="Titillium"/>
          <w:noProof/>
          <w:sz w:val="22"/>
          <w:szCs w:val="22"/>
          <w:lang w:eastAsia="en-GB"/>
        </w:rPr>
      </w:pPr>
      <w:r w:rsidRPr="00FF4D00">
        <w:rPr>
          <w:rFonts w:ascii="Titillium" w:hAnsi="Titillium"/>
          <w:noProof/>
          <w:sz w:val="22"/>
          <w:szCs w:val="22"/>
          <w:lang w:eastAsia="en-GB"/>
        </w:rPr>
        <w:t xml:space="preserve"> </w:t>
      </w:r>
    </w:p>
    <w:p w14:paraId="20483256" w14:textId="27366BBF" w:rsidR="00FF4D00" w:rsidRPr="00FF4D00" w:rsidRDefault="00FF4D00" w:rsidP="0012231E">
      <w:pPr>
        <w:ind w:left="360" w:hanging="360"/>
        <w:jc w:val="both"/>
        <w:rPr>
          <w:rFonts w:ascii="Titillium" w:hAnsi="Titillium"/>
          <w:noProof/>
          <w:sz w:val="22"/>
          <w:szCs w:val="22"/>
          <w:lang w:eastAsia="en-GB"/>
        </w:rPr>
      </w:pPr>
      <w:r w:rsidRPr="00FF4D00">
        <w:rPr>
          <w:rFonts w:ascii="Titillium" w:hAnsi="Titillium"/>
          <w:noProof/>
          <w:sz w:val="22"/>
          <w:szCs w:val="22"/>
          <w:lang w:eastAsia="en-GB"/>
        </w:rPr>
        <w:t>2.7</w:t>
      </w:r>
      <w:r w:rsidRPr="00FF4D00">
        <w:rPr>
          <w:rFonts w:ascii="Titillium" w:hAnsi="Titillium"/>
          <w:noProof/>
          <w:sz w:val="22"/>
          <w:szCs w:val="22"/>
          <w:lang w:eastAsia="en-GB"/>
        </w:rPr>
        <w:tab/>
        <w:t xml:space="preserve">For Health and Safety reasons, </w:t>
      </w:r>
      <w:r w:rsidR="005E754E" w:rsidRPr="005E754E">
        <w:rPr>
          <w:rFonts w:ascii="Titillium" w:hAnsi="Titillium"/>
          <w:noProof/>
          <w:sz w:val="22"/>
          <w:szCs w:val="22"/>
          <w:lang w:eastAsia="en-GB"/>
        </w:rPr>
        <w:t>colleagues</w:t>
      </w:r>
      <w:r w:rsidRPr="00FF4D00">
        <w:rPr>
          <w:rFonts w:ascii="Titillium" w:hAnsi="Titillium"/>
          <w:noProof/>
          <w:sz w:val="22"/>
          <w:szCs w:val="22"/>
          <w:lang w:eastAsia="en-GB"/>
        </w:rPr>
        <w:t xml:space="preserve"> must not consume alcohol or take drugs which could impact on their ability to perform their work while on standby or during a call-out.</w:t>
      </w:r>
    </w:p>
    <w:p w14:paraId="0CBFC31E" w14:textId="77777777" w:rsidR="00FF4D00" w:rsidRPr="00FF4D00" w:rsidRDefault="00FF4D00" w:rsidP="00FF4D00">
      <w:pPr>
        <w:jc w:val="both"/>
        <w:rPr>
          <w:rFonts w:ascii="Titillium" w:hAnsi="Titillium"/>
          <w:noProof/>
          <w:sz w:val="22"/>
          <w:szCs w:val="22"/>
          <w:lang w:eastAsia="en-GB"/>
        </w:rPr>
      </w:pPr>
    </w:p>
    <w:p w14:paraId="33AD2061" w14:textId="4FE3AA06" w:rsidR="00FF4D00" w:rsidRPr="00FF4D00" w:rsidRDefault="00FF4D00" w:rsidP="0012231E">
      <w:pPr>
        <w:ind w:left="360" w:hanging="360"/>
        <w:jc w:val="both"/>
        <w:rPr>
          <w:rFonts w:ascii="Titillium" w:hAnsi="Titillium"/>
          <w:noProof/>
          <w:sz w:val="22"/>
          <w:szCs w:val="22"/>
          <w:lang w:eastAsia="en-GB"/>
        </w:rPr>
      </w:pPr>
      <w:r w:rsidRPr="00FF4D00">
        <w:rPr>
          <w:rFonts w:ascii="Titillium" w:hAnsi="Titillium"/>
          <w:noProof/>
          <w:sz w:val="22"/>
          <w:szCs w:val="22"/>
          <w:lang w:eastAsia="en-GB"/>
        </w:rPr>
        <w:t>2.8</w:t>
      </w:r>
      <w:r w:rsidRPr="00FF4D00">
        <w:rPr>
          <w:rFonts w:ascii="Titillium" w:hAnsi="Titillium"/>
          <w:noProof/>
          <w:sz w:val="22"/>
          <w:szCs w:val="22"/>
          <w:lang w:eastAsia="en-GB"/>
        </w:rPr>
        <w:tab/>
        <w:t xml:space="preserve">The University will, in consultation with the </w:t>
      </w:r>
      <w:r w:rsidR="005E754E" w:rsidRPr="005E754E">
        <w:rPr>
          <w:rFonts w:ascii="Titillium" w:hAnsi="Titillium"/>
          <w:noProof/>
          <w:sz w:val="22"/>
          <w:szCs w:val="22"/>
          <w:lang w:eastAsia="en-GB"/>
        </w:rPr>
        <w:t>colleagues</w:t>
      </w:r>
      <w:r w:rsidRPr="00FF4D00">
        <w:rPr>
          <w:rFonts w:ascii="Titillium" w:hAnsi="Titillium"/>
          <w:noProof/>
          <w:sz w:val="22"/>
          <w:szCs w:val="22"/>
          <w:lang w:eastAsia="en-GB"/>
        </w:rPr>
        <w:t xml:space="preserve">, ensure that the relevant tools are available, such as a mobile phone, in order to contact the </w:t>
      </w:r>
      <w:r w:rsidR="0002284C" w:rsidRPr="0002284C">
        <w:rPr>
          <w:rFonts w:ascii="Titillium" w:hAnsi="Titillium"/>
          <w:noProof/>
          <w:sz w:val="22"/>
          <w:szCs w:val="22"/>
          <w:lang w:eastAsia="en-GB"/>
        </w:rPr>
        <w:t>colleague</w:t>
      </w:r>
      <w:r w:rsidRPr="00FF4D00">
        <w:rPr>
          <w:rFonts w:ascii="Titillium" w:hAnsi="Titillium"/>
          <w:noProof/>
          <w:sz w:val="22"/>
          <w:szCs w:val="22"/>
          <w:lang w:eastAsia="en-GB"/>
        </w:rPr>
        <w:t xml:space="preserve"> during the time they are on standby.</w:t>
      </w:r>
    </w:p>
    <w:p w14:paraId="13BFF1D9" w14:textId="77777777" w:rsidR="00FF4D00" w:rsidRPr="00FF4D00" w:rsidRDefault="00FF4D00" w:rsidP="00FF4D00">
      <w:pPr>
        <w:jc w:val="both"/>
        <w:rPr>
          <w:rFonts w:ascii="Titillium" w:hAnsi="Titillium"/>
          <w:noProof/>
          <w:sz w:val="22"/>
          <w:szCs w:val="22"/>
          <w:lang w:eastAsia="en-GB"/>
        </w:rPr>
      </w:pPr>
    </w:p>
    <w:p w14:paraId="45ADC5AF" w14:textId="59E822C4" w:rsidR="00FF4D00" w:rsidRPr="00C12DB8" w:rsidRDefault="00FF4D00" w:rsidP="00FF4D00">
      <w:pPr>
        <w:pStyle w:val="Heading2"/>
        <w:rPr>
          <w:noProof/>
          <w:color w:val="67B8E7"/>
          <w:lang w:eastAsia="en-GB"/>
        </w:rPr>
      </w:pPr>
      <w:r w:rsidRPr="00C12DB8">
        <w:rPr>
          <w:noProof/>
          <w:color w:val="67B8E7"/>
          <w:lang w:eastAsia="en-GB"/>
        </w:rPr>
        <w:t>Hours of cover</w:t>
      </w:r>
    </w:p>
    <w:p w14:paraId="368598BA" w14:textId="77777777" w:rsidR="00FF4D00" w:rsidRPr="00FF4D00" w:rsidRDefault="00FF4D00" w:rsidP="00FF4D00">
      <w:pPr>
        <w:jc w:val="both"/>
        <w:rPr>
          <w:rFonts w:ascii="Titillium" w:hAnsi="Titillium"/>
          <w:noProof/>
          <w:sz w:val="22"/>
          <w:szCs w:val="22"/>
          <w:lang w:eastAsia="en-GB"/>
        </w:rPr>
      </w:pPr>
    </w:p>
    <w:p w14:paraId="3E40DC5B" w14:textId="77777777" w:rsidR="00FF4D00" w:rsidRPr="00FF4D00" w:rsidRDefault="00FF4D00" w:rsidP="0012231E">
      <w:pPr>
        <w:ind w:left="360" w:hanging="360"/>
        <w:jc w:val="both"/>
        <w:rPr>
          <w:rFonts w:ascii="Titillium" w:hAnsi="Titillium"/>
          <w:noProof/>
          <w:sz w:val="22"/>
          <w:szCs w:val="22"/>
          <w:lang w:eastAsia="en-GB"/>
        </w:rPr>
      </w:pPr>
      <w:r w:rsidRPr="00FF4D00">
        <w:rPr>
          <w:rFonts w:ascii="Titillium" w:hAnsi="Titillium"/>
          <w:noProof/>
          <w:sz w:val="22"/>
          <w:szCs w:val="22"/>
          <w:lang w:eastAsia="en-GB"/>
        </w:rPr>
        <w:t>3.1</w:t>
      </w:r>
      <w:r w:rsidRPr="00FF4D00">
        <w:rPr>
          <w:rFonts w:ascii="Titillium" w:hAnsi="Titillium"/>
          <w:noProof/>
          <w:sz w:val="22"/>
          <w:szCs w:val="22"/>
          <w:lang w:eastAsia="en-GB"/>
        </w:rPr>
        <w:tab/>
        <w:t>The hours that standby cover may be required will be specific to each area, and this is detailed in Appendix A.</w:t>
      </w:r>
    </w:p>
    <w:p w14:paraId="59525F28" w14:textId="77777777" w:rsidR="00FF4D00" w:rsidRPr="00FF4D00" w:rsidRDefault="00FF4D00" w:rsidP="00FF4D00">
      <w:pPr>
        <w:jc w:val="both"/>
        <w:rPr>
          <w:rFonts w:ascii="Titillium" w:hAnsi="Titillium"/>
          <w:noProof/>
          <w:sz w:val="22"/>
          <w:szCs w:val="22"/>
          <w:lang w:eastAsia="en-GB"/>
        </w:rPr>
      </w:pPr>
    </w:p>
    <w:p w14:paraId="4819620A" w14:textId="0283397F" w:rsidR="00FF4D00" w:rsidRPr="00FF4D00" w:rsidRDefault="00FF4D00" w:rsidP="00FF4D00">
      <w:pPr>
        <w:jc w:val="both"/>
        <w:rPr>
          <w:rFonts w:ascii="Titillium" w:hAnsi="Titillium"/>
          <w:noProof/>
          <w:sz w:val="22"/>
          <w:szCs w:val="22"/>
          <w:lang w:eastAsia="en-GB"/>
        </w:rPr>
      </w:pPr>
      <w:r w:rsidRPr="00FF4D00">
        <w:rPr>
          <w:rFonts w:ascii="Titillium" w:hAnsi="Titillium"/>
          <w:noProof/>
          <w:sz w:val="22"/>
          <w:szCs w:val="22"/>
          <w:lang w:eastAsia="en-GB"/>
        </w:rPr>
        <w:t>3.2</w:t>
      </w:r>
      <w:r w:rsidR="0012231E">
        <w:rPr>
          <w:rFonts w:ascii="Titillium" w:hAnsi="Titillium"/>
          <w:noProof/>
          <w:sz w:val="22"/>
          <w:szCs w:val="22"/>
          <w:lang w:eastAsia="en-GB"/>
        </w:rPr>
        <w:t xml:space="preserve"> </w:t>
      </w:r>
      <w:r w:rsidRPr="00FF4D00">
        <w:rPr>
          <w:rFonts w:ascii="Titillium" w:hAnsi="Titillium"/>
          <w:noProof/>
          <w:sz w:val="22"/>
          <w:szCs w:val="22"/>
          <w:lang w:eastAsia="en-GB"/>
        </w:rPr>
        <w:t>Standby will not be required on the following public holidays:</w:t>
      </w:r>
    </w:p>
    <w:p w14:paraId="10D2F1AD" w14:textId="77777777" w:rsidR="00FF4D00" w:rsidRPr="00FF4D00" w:rsidRDefault="00FF4D00" w:rsidP="00FF4D00">
      <w:pPr>
        <w:jc w:val="both"/>
        <w:rPr>
          <w:rFonts w:ascii="Titillium" w:hAnsi="Titillium"/>
          <w:noProof/>
          <w:sz w:val="22"/>
          <w:szCs w:val="22"/>
          <w:lang w:eastAsia="en-GB"/>
        </w:rPr>
      </w:pPr>
    </w:p>
    <w:p w14:paraId="078E3DBD" w14:textId="77777777" w:rsidR="00FF4D00" w:rsidRPr="00FF4D00" w:rsidRDefault="00FF4D00" w:rsidP="00FF4D00">
      <w:pPr>
        <w:jc w:val="both"/>
        <w:rPr>
          <w:rFonts w:ascii="Titillium" w:hAnsi="Titillium"/>
          <w:noProof/>
          <w:sz w:val="22"/>
          <w:szCs w:val="22"/>
          <w:lang w:eastAsia="en-GB"/>
        </w:rPr>
      </w:pPr>
      <w:r w:rsidRPr="00FF4D00">
        <w:rPr>
          <w:rFonts w:ascii="Titillium" w:hAnsi="Titillium"/>
          <w:noProof/>
          <w:sz w:val="22"/>
          <w:szCs w:val="22"/>
          <w:lang w:eastAsia="en-GB"/>
        </w:rPr>
        <w:t>•</w:t>
      </w:r>
      <w:r w:rsidRPr="00FF4D00">
        <w:rPr>
          <w:rFonts w:ascii="Titillium" w:hAnsi="Titillium"/>
          <w:noProof/>
          <w:sz w:val="22"/>
          <w:szCs w:val="22"/>
          <w:lang w:eastAsia="en-GB"/>
        </w:rPr>
        <w:tab/>
        <w:t>25 December</w:t>
      </w:r>
    </w:p>
    <w:p w14:paraId="76E31E80" w14:textId="77777777" w:rsidR="00FF4D00" w:rsidRPr="00FF4D00" w:rsidRDefault="00FF4D00" w:rsidP="00FF4D00">
      <w:pPr>
        <w:jc w:val="both"/>
        <w:rPr>
          <w:rFonts w:ascii="Titillium" w:hAnsi="Titillium"/>
          <w:noProof/>
          <w:sz w:val="22"/>
          <w:szCs w:val="22"/>
          <w:lang w:eastAsia="en-GB"/>
        </w:rPr>
      </w:pPr>
      <w:r w:rsidRPr="00FF4D00">
        <w:rPr>
          <w:rFonts w:ascii="Titillium" w:hAnsi="Titillium"/>
          <w:noProof/>
          <w:sz w:val="22"/>
          <w:szCs w:val="22"/>
          <w:lang w:eastAsia="en-GB"/>
        </w:rPr>
        <w:t>•</w:t>
      </w:r>
      <w:r w:rsidRPr="00FF4D00">
        <w:rPr>
          <w:rFonts w:ascii="Titillium" w:hAnsi="Titillium"/>
          <w:noProof/>
          <w:sz w:val="22"/>
          <w:szCs w:val="22"/>
          <w:lang w:eastAsia="en-GB"/>
        </w:rPr>
        <w:tab/>
        <w:t>26 December</w:t>
      </w:r>
    </w:p>
    <w:p w14:paraId="0216001A" w14:textId="77777777" w:rsidR="00FF4D00" w:rsidRPr="00FF4D00" w:rsidRDefault="00FF4D00" w:rsidP="00FF4D00">
      <w:pPr>
        <w:jc w:val="both"/>
        <w:rPr>
          <w:rFonts w:ascii="Titillium" w:hAnsi="Titillium"/>
          <w:noProof/>
          <w:sz w:val="22"/>
          <w:szCs w:val="22"/>
          <w:lang w:eastAsia="en-GB"/>
        </w:rPr>
      </w:pPr>
      <w:r w:rsidRPr="00FF4D00">
        <w:rPr>
          <w:rFonts w:ascii="Titillium" w:hAnsi="Titillium"/>
          <w:noProof/>
          <w:sz w:val="22"/>
          <w:szCs w:val="22"/>
          <w:lang w:eastAsia="en-GB"/>
        </w:rPr>
        <w:t>•</w:t>
      </w:r>
      <w:r w:rsidRPr="00FF4D00">
        <w:rPr>
          <w:rFonts w:ascii="Titillium" w:hAnsi="Titillium"/>
          <w:noProof/>
          <w:sz w:val="22"/>
          <w:szCs w:val="22"/>
          <w:lang w:eastAsia="en-GB"/>
        </w:rPr>
        <w:tab/>
        <w:t>1 January</w:t>
      </w:r>
    </w:p>
    <w:p w14:paraId="210E92A1" w14:textId="77777777" w:rsidR="00FF4D00" w:rsidRPr="00FF4D00" w:rsidRDefault="00FF4D00" w:rsidP="00FF4D00">
      <w:pPr>
        <w:jc w:val="both"/>
        <w:rPr>
          <w:rFonts w:ascii="Titillium" w:hAnsi="Titillium"/>
          <w:noProof/>
          <w:sz w:val="22"/>
          <w:szCs w:val="22"/>
          <w:lang w:eastAsia="en-GB"/>
        </w:rPr>
      </w:pPr>
      <w:r w:rsidRPr="00FF4D00">
        <w:rPr>
          <w:rFonts w:ascii="Titillium" w:hAnsi="Titillium"/>
          <w:noProof/>
          <w:sz w:val="22"/>
          <w:szCs w:val="22"/>
          <w:lang w:eastAsia="en-GB"/>
        </w:rPr>
        <w:t>•</w:t>
      </w:r>
      <w:r w:rsidRPr="00FF4D00">
        <w:rPr>
          <w:rFonts w:ascii="Titillium" w:hAnsi="Titillium"/>
          <w:noProof/>
          <w:sz w:val="22"/>
          <w:szCs w:val="22"/>
          <w:lang w:eastAsia="en-GB"/>
        </w:rPr>
        <w:tab/>
        <w:t xml:space="preserve">2 January </w:t>
      </w:r>
    </w:p>
    <w:p w14:paraId="471BF246" w14:textId="77777777" w:rsidR="00FF4D00" w:rsidRPr="00FF4D00" w:rsidRDefault="00FF4D00" w:rsidP="00FF4D00">
      <w:pPr>
        <w:jc w:val="both"/>
        <w:rPr>
          <w:rFonts w:ascii="Titillium" w:hAnsi="Titillium"/>
          <w:noProof/>
          <w:sz w:val="22"/>
          <w:szCs w:val="22"/>
          <w:lang w:eastAsia="en-GB"/>
        </w:rPr>
      </w:pPr>
    </w:p>
    <w:p w14:paraId="162A325C" w14:textId="1F0E5984" w:rsidR="00FF4D00" w:rsidRPr="00FF4D00" w:rsidRDefault="00FF4D00" w:rsidP="00FF4D00">
      <w:pPr>
        <w:jc w:val="both"/>
        <w:rPr>
          <w:rFonts w:ascii="Titillium" w:hAnsi="Titillium"/>
          <w:noProof/>
          <w:sz w:val="22"/>
          <w:szCs w:val="22"/>
          <w:lang w:eastAsia="en-GB"/>
        </w:rPr>
      </w:pPr>
      <w:r w:rsidRPr="00FF4D00">
        <w:rPr>
          <w:rFonts w:ascii="Titillium" w:hAnsi="Titillium"/>
          <w:noProof/>
          <w:sz w:val="22"/>
          <w:szCs w:val="22"/>
          <w:lang w:eastAsia="en-GB"/>
        </w:rPr>
        <w:t>If any of these days falls on a Saturday or Sunday affecting an associated public holiday on the next working day, that weekday will not be covered by this policy.</w:t>
      </w:r>
    </w:p>
    <w:p w14:paraId="41F06CCF" w14:textId="77777777" w:rsidR="00FF4D00" w:rsidRPr="00FF4D00" w:rsidRDefault="00FF4D00" w:rsidP="00FF4D00">
      <w:pPr>
        <w:jc w:val="both"/>
        <w:rPr>
          <w:rFonts w:ascii="Titillium" w:hAnsi="Titillium"/>
          <w:noProof/>
          <w:sz w:val="22"/>
          <w:szCs w:val="22"/>
          <w:lang w:eastAsia="en-GB"/>
        </w:rPr>
      </w:pPr>
    </w:p>
    <w:p w14:paraId="3F8B11BF" w14:textId="0E73C593" w:rsidR="00FF4D00" w:rsidRPr="00C12DB8" w:rsidRDefault="00FF4D00" w:rsidP="00FF4D00">
      <w:pPr>
        <w:pStyle w:val="Heading2"/>
        <w:rPr>
          <w:noProof/>
          <w:color w:val="67B8E7"/>
          <w:lang w:eastAsia="en-GB"/>
        </w:rPr>
      </w:pPr>
      <w:r w:rsidRPr="00C12DB8">
        <w:rPr>
          <w:noProof/>
          <w:color w:val="67B8E7"/>
          <w:lang w:eastAsia="en-GB"/>
        </w:rPr>
        <w:t>Standby payment</w:t>
      </w:r>
    </w:p>
    <w:p w14:paraId="5534B057" w14:textId="77777777" w:rsidR="00FF4D00" w:rsidRPr="00FF4D00" w:rsidRDefault="00FF4D00" w:rsidP="00FF4D00">
      <w:pPr>
        <w:jc w:val="both"/>
        <w:rPr>
          <w:rFonts w:ascii="Titillium" w:hAnsi="Titillium"/>
          <w:noProof/>
          <w:sz w:val="22"/>
          <w:szCs w:val="22"/>
          <w:lang w:eastAsia="en-GB"/>
        </w:rPr>
      </w:pPr>
    </w:p>
    <w:p w14:paraId="615DDF48" w14:textId="2EED9661" w:rsidR="00FF4D00" w:rsidRPr="00FF4D00" w:rsidRDefault="00FF4D00" w:rsidP="0012231E">
      <w:pPr>
        <w:ind w:left="360" w:hanging="360"/>
        <w:jc w:val="both"/>
        <w:rPr>
          <w:rFonts w:ascii="Titillium" w:hAnsi="Titillium"/>
          <w:noProof/>
          <w:sz w:val="22"/>
          <w:szCs w:val="22"/>
          <w:lang w:eastAsia="en-GB"/>
        </w:rPr>
      </w:pPr>
      <w:r w:rsidRPr="00FF4D00">
        <w:rPr>
          <w:rFonts w:ascii="Titillium" w:hAnsi="Titillium"/>
          <w:noProof/>
          <w:sz w:val="22"/>
          <w:szCs w:val="22"/>
          <w:lang w:eastAsia="en-GB"/>
        </w:rPr>
        <w:t>4.1</w:t>
      </w:r>
      <w:r w:rsidRPr="00FF4D00">
        <w:rPr>
          <w:rFonts w:ascii="Titillium" w:hAnsi="Titillium"/>
          <w:noProof/>
          <w:sz w:val="22"/>
          <w:szCs w:val="22"/>
          <w:lang w:eastAsia="en-GB"/>
        </w:rPr>
        <w:tab/>
      </w:r>
      <w:r w:rsidR="005E754E">
        <w:rPr>
          <w:rFonts w:ascii="Titillium" w:hAnsi="Titillium"/>
          <w:noProof/>
          <w:sz w:val="22"/>
          <w:szCs w:val="22"/>
          <w:lang w:eastAsia="en-GB"/>
        </w:rPr>
        <w:t>C</w:t>
      </w:r>
      <w:r w:rsidR="005E754E" w:rsidRPr="005E754E">
        <w:rPr>
          <w:rFonts w:ascii="Titillium" w:hAnsi="Titillium"/>
          <w:noProof/>
          <w:sz w:val="22"/>
          <w:szCs w:val="22"/>
          <w:lang w:eastAsia="en-GB"/>
        </w:rPr>
        <w:t>olleagues</w:t>
      </w:r>
      <w:r w:rsidRPr="00FF4D00">
        <w:rPr>
          <w:rFonts w:ascii="Titillium" w:hAnsi="Titillium"/>
          <w:noProof/>
          <w:sz w:val="22"/>
          <w:szCs w:val="22"/>
          <w:lang w:eastAsia="en-GB"/>
        </w:rPr>
        <w:t xml:space="preserve"> who are on standby and may be required to respond to call-outs will receive remuneration based on the following:</w:t>
      </w:r>
    </w:p>
    <w:p w14:paraId="694BB9A6" w14:textId="77777777" w:rsidR="00FF4D00" w:rsidRPr="00FF4D00" w:rsidRDefault="00FF4D00" w:rsidP="00FF4D00">
      <w:pPr>
        <w:jc w:val="both"/>
        <w:rPr>
          <w:rFonts w:ascii="Titillium" w:hAnsi="Titillium"/>
          <w:noProof/>
          <w:sz w:val="22"/>
          <w:szCs w:val="22"/>
          <w:lang w:eastAsia="en-GB"/>
        </w:rPr>
      </w:pPr>
    </w:p>
    <w:p w14:paraId="191E161C" w14:textId="77777777" w:rsidR="00FF4D00" w:rsidRPr="00FF4D00" w:rsidRDefault="00FF4D00" w:rsidP="00FF4D00">
      <w:pPr>
        <w:jc w:val="both"/>
        <w:rPr>
          <w:rFonts w:ascii="Titillium" w:hAnsi="Titillium"/>
          <w:noProof/>
          <w:sz w:val="22"/>
          <w:szCs w:val="22"/>
          <w:lang w:eastAsia="en-GB"/>
        </w:rPr>
      </w:pPr>
      <w:r w:rsidRPr="00FF4D00">
        <w:rPr>
          <w:rFonts w:ascii="Titillium" w:hAnsi="Titillium"/>
          <w:noProof/>
          <w:sz w:val="22"/>
          <w:szCs w:val="22"/>
          <w:lang w:eastAsia="en-GB"/>
        </w:rPr>
        <w:t>Weekday Evenings / Saturdays:</w:t>
      </w:r>
      <w:r w:rsidRPr="00FF4D00">
        <w:rPr>
          <w:rFonts w:ascii="Titillium" w:hAnsi="Titillium"/>
          <w:noProof/>
          <w:sz w:val="22"/>
          <w:szCs w:val="22"/>
          <w:lang w:eastAsia="en-GB"/>
        </w:rPr>
        <w:tab/>
        <w:t>25% of their normal hourly rate for the period spent on standby</w:t>
      </w:r>
    </w:p>
    <w:p w14:paraId="3242ECDD" w14:textId="77777777" w:rsidR="00FF4D00" w:rsidRPr="00FF4D00" w:rsidRDefault="00FF4D00" w:rsidP="00FF4D00">
      <w:pPr>
        <w:jc w:val="both"/>
        <w:rPr>
          <w:rFonts w:ascii="Titillium" w:hAnsi="Titillium"/>
          <w:noProof/>
          <w:sz w:val="22"/>
          <w:szCs w:val="22"/>
          <w:lang w:eastAsia="en-GB"/>
        </w:rPr>
      </w:pPr>
    </w:p>
    <w:p w14:paraId="4C85B912" w14:textId="77777777" w:rsidR="00FF4D00" w:rsidRPr="00FF4D00" w:rsidRDefault="00FF4D00" w:rsidP="00FF4D00">
      <w:pPr>
        <w:jc w:val="both"/>
        <w:rPr>
          <w:rFonts w:ascii="Titillium" w:hAnsi="Titillium"/>
          <w:noProof/>
          <w:sz w:val="22"/>
          <w:szCs w:val="22"/>
          <w:lang w:eastAsia="en-GB"/>
        </w:rPr>
      </w:pPr>
      <w:r w:rsidRPr="00FF4D00">
        <w:rPr>
          <w:rFonts w:ascii="Titillium" w:hAnsi="Titillium"/>
          <w:noProof/>
          <w:sz w:val="22"/>
          <w:szCs w:val="22"/>
          <w:lang w:eastAsia="en-GB"/>
        </w:rPr>
        <w:t>Sundays / Public Holidays:</w:t>
      </w:r>
      <w:r w:rsidRPr="00FF4D00">
        <w:rPr>
          <w:rFonts w:ascii="Titillium" w:hAnsi="Titillium"/>
          <w:noProof/>
          <w:sz w:val="22"/>
          <w:szCs w:val="22"/>
          <w:lang w:eastAsia="en-GB"/>
        </w:rPr>
        <w:tab/>
        <w:t>35% of their normal hourly rate for the period spent on standby</w:t>
      </w:r>
    </w:p>
    <w:p w14:paraId="4119B8C3" w14:textId="77777777" w:rsidR="00FF4D00" w:rsidRPr="00FF4D00" w:rsidRDefault="00FF4D00" w:rsidP="00FF4D00">
      <w:pPr>
        <w:jc w:val="both"/>
        <w:rPr>
          <w:rFonts w:ascii="Titillium" w:hAnsi="Titillium"/>
          <w:noProof/>
          <w:sz w:val="22"/>
          <w:szCs w:val="22"/>
          <w:lang w:eastAsia="en-GB"/>
        </w:rPr>
      </w:pPr>
    </w:p>
    <w:p w14:paraId="12D1E6C9" w14:textId="71148FE0" w:rsidR="00FF4D00" w:rsidRPr="00FF4D00" w:rsidRDefault="00FF4D00" w:rsidP="0012231E">
      <w:pPr>
        <w:ind w:left="426" w:hanging="426"/>
        <w:jc w:val="both"/>
        <w:rPr>
          <w:rFonts w:ascii="Titillium" w:hAnsi="Titillium"/>
          <w:noProof/>
          <w:sz w:val="22"/>
          <w:szCs w:val="22"/>
          <w:lang w:eastAsia="en-GB"/>
        </w:rPr>
      </w:pPr>
      <w:r w:rsidRPr="00FF4D00">
        <w:rPr>
          <w:rFonts w:ascii="Titillium" w:hAnsi="Titillium"/>
          <w:noProof/>
          <w:sz w:val="22"/>
          <w:szCs w:val="22"/>
          <w:lang w:eastAsia="en-GB"/>
        </w:rPr>
        <w:t>4.2</w:t>
      </w:r>
      <w:r w:rsidR="0012231E">
        <w:rPr>
          <w:rFonts w:ascii="Titillium" w:hAnsi="Titillium"/>
          <w:noProof/>
          <w:sz w:val="22"/>
          <w:szCs w:val="22"/>
          <w:lang w:eastAsia="en-GB"/>
        </w:rPr>
        <w:t xml:space="preserve"> </w:t>
      </w:r>
      <w:r w:rsidRPr="00FF4D00">
        <w:rPr>
          <w:rFonts w:ascii="Titillium" w:hAnsi="Titillium"/>
          <w:noProof/>
          <w:sz w:val="22"/>
          <w:szCs w:val="22"/>
          <w:lang w:eastAsia="en-GB"/>
        </w:rPr>
        <w:t>The normal hourly rate is calculated on their annual salary without overtime, expenses or other</w:t>
      </w:r>
      <w:r w:rsidR="0012231E">
        <w:rPr>
          <w:rFonts w:ascii="Titillium" w:hAnsi="Titillium"/>
          <w:noProof/>
          <w:sz w:val="22"/>
          <w:szCs w:val="22"/>
          <w:lang w:eastAsia="en-GB"/>
        </w:rPr>
        <w:t xml:space="preserve"> </w:t>
      </w:r>
      <w:r w:rsidRPr="00FF4D00">
        <w:rPr>
          <w:rFonts w:ascii="Titillium" w:hAnsi="Titillium"/>
          <w:noProof/>
          <w:sz w:val="22"/>
          <w:szCs w:val="22"/>
          <w:lang w:eastAsia="en-GB"/>
        </w:rPr>
        <w:t>additional payments and is subject to normal deductions of tax and NI.</w:t>
      </w:r>
    </w:p>
    <w:p w14:paraId="198F6D9C" w14:textId="77777777" w:rsidR="00FF4D00" w:rsidRPr="00FF4D00" w:rsidRDefault="00FF4D00" w:rsidP="00FF4D00">
      <w:pPr>
        <w:jc w:val="both"/>
        <w:rPr>
          <w:rFonts w:ascii="Titillium" w:hAnsi="Titillium"/>
          <w:noProof/>
          <w:sz w:val="22"/>
          <w:szCs w:val="22"/>
          <w:lang w:eastAsia="en-GB"/>
        </w:rPr>
      </w:pPr>
    </w:p>
    <w:p w14:paraId="2E6CC32E" w14:textId="104CE09E" w:rsidR="00FF4D00" w:rsidRPr="00FF4D00" w:rsidRDefault="00FF4D00" w:rsidP="0012231E">
      <w:pPr>
        <w:ind w:left="426" w:hanging="426"/>
        <w:jc w:val="both"/>
        <w:rPr>
          <w:rFonts w:ascii="Titillium" w:hAnsi="Titillium"/>
          <w:noProof/>
          <w:sz w:val="22"/>
          <w:szCs w:val="22"/>
          <w:lang w:eastAsia="en-GB"/>
        </w:rPr>
      </w:pPr>
      <w:r w:rsidRPr="00FF4D00">
        <w:rPr>
          <w:rFonts w:ascii="Titillium" w:hAnsi="Titillium"/>
          <w:noProof/>
          <w:sz w:val="22"/>
          <w:szCs w:val="22"/>
          <w:lang w:eastAsia="en-GB"/>
        </w:rPr>
        <w:t>4.3</w:t>
      </w:r>
      <w:r w:rsidR="0012231E">
        <w:rPr>
          <w:rFonts w:ascii="Titillium" w:hAnsi="Titillium"/>
          <w:noProof/>
          <w:sz w:val="22"/>
          <w:szCs w:val="22"/>
          <w:lang w:eastAsia="en-GB"/>
        </w:rPr>
        <w:t xml:space="preserve"> </w:t>
      </w:r>
      <w:r w:rsidRPr="00FF4D00">
        <w:rPr>
          <w:rFonts w:ascii="Titillium" w:hAnsi="Titillium"/>
          <w:noProof/>
          <w:sz w:val="22"/>
          <w:szCs w:val="22"/>
          <w:lang w:eastAsia="en-GB"/>
        </w:rPr>
        <w:t xml:space="preserve">The payment will only be made for periods of standby as per the standby rota and agreed in advance between the line manager and the </w:t>
      </w:r>
      <w:r w:rsidR="0002284C" w:rsidRPr="0002284C">
        <w:rPr>
          <w:rFonts w:ascii="Titillium" w:hAnsi="Titillium"/>
          <w:noProof/>
          <w:sz w:val="22"/>
          <w:szCs w:val="22"/>
          <w:lang w:eastAsia="en-GB"/>
        </w:rPr>
        <w:t>colleague</w:t>
      </w:r>
      <w:r w:rsidRPr="00FF4D00">
        <w:rPr>
          <w:rFonts w:ascii="Titillium" w:hAnsi="Titillium"/>
          <w:noProof/>
          <w:sz w:val="22"/>
          <w:szCs w:val="22"/>
          <w:lang w:eastAsia="en-GB"/>
        </w:rPr>
        <w:t xml:space="preserve">.  </w:t>
      </w:r>
    </w:p>
    <w:p w14:paraId="1D887675" w14:textId="77777777" w:rsidR="00FF4D00" w:rsidRPr="00FF4D00" w:rsidRDefault="00FF4D00" w:rsidP="00FF4D00">
      <w:pPr>
        <w:jc w:val="both"/>
        <w:rPr>
          <w:rFonts w:ascii="Titillium" w:hAnsi="Titillium"/>
          <w:noProof/>
          <w:sz w:val="22"/>
          <w:szCs w:val="22"/>
          <w:lang w:eastAsia="en-GB"/>
        </w:rPr>
      </w:pPr>
    </w:p>
    <w:p w14:paraId="17352991" w14:textId="431B90DC" w:rsidR="00FF4D00" w:rsidRPr="00FF4D00" w:rsidRDefault="00FF4D00" w:rsidP="00FF4D00">
      <w:pPr>
        <w:jc w:val="both"/>
        <w:rPr>
          <w:rFonts w:ascii="Titillium" w:hAnsi="Titillium"/>
          <w:noProof/>
          <w:sz w:val="22"/>
          <w:szCs w:val="22"/>
          <w:lang w:eastAsia="en-GB"/>
        </w:rPr>
      </w:pPr>
      <w:r w:rsidRPr="00FF4D00">
        <w:rPr>
          <w:rFonts w:ascii="Titillium" w:hAnsi="Titillium"/>
          <w:noProof/>
          <w:sz w:val="22"/>
          <w:szCs w:val="22"/>
          <w:lang w:eastAsia="en-GB"/>
        </w:rPr>
        <w:t>4.4</w:t>
      </w:r>
      <w:r w:rsidR="0012231E">
        <w:rPr>
          <w:rFonts w:ascii="Titillium" w:hAnsi="Titillium"/>
          <w:noProof/>
          <w:sz w:val="22"/>
          <w:szCs w:val="22"/>
          <w:lang w:eastAsia="en-GB"/>
        </w:rPr>
        <w:t xml:space="preserve"> </w:t>
      </w:r>
      <w:r w:rsidRPr="00FF4D00">
        <w:rPr>
          <w:rFonts w:ascii="Titillium" w:hAnsi="Titillium"/>
          <w:noProof/>
          <w:sz w:val="22"/>
          <w:szCs w:val="22"/>
          <w:lang w:eastAsia="en-GB"/>
        </w:rPr>
        <w:t xml:space="preserve">This may also be taken as Time off in Lieu (TOIL), which is calculated in accordance with the above.  </w:t>
      </w:r>
    </w:p>
    <w:p w14:paraId="6D8868F4" w14:textId="77777777" w:rsidR="00FF4D00" w:rsidRPr="00FF4D00" w:rsidRDefault="00FF4D00" w:rsidP="00FF4D00">
      <w:pPr>
        <w:jc w:val="both"/>
        <w:rPr>
          <w:rFonts w:ascii="Titillium" w:hAnsi="Titillium"/>
          <w:noProof/>
          <w:sz w:val="22"/>
          <w:szCs w:val="22"/>
          <w:lang w:eastAsia="en-GB"/>
        </w:rPr>
      </w:pPr>
    </w:p>
    <w:p w14:paraId="252F4B35" w14:textId="77777777" w:rsidR="00FF4D00" w:rsidRPr="00FF4D00" w:rsidRDefault="00FF4D00" w:rsidP="00FF4D00">
      <w:pPr>
        <w:jc w:val="both"/>
        <w:rPr>
          <w:rFonts w:ascii="Titillium" w:hAnsi="Titillium"/>
          <w:noProof/>
          <w:sz w:val="22"/>
          <w:szCs w:val="22"/>
          <w:lang w:eastAsia="en-GB"/>
        </w:rPr>
      </w:pPr>
      <w:r w:rsidRPr="00FF4D00">
        <w:rPr>
          <w:rFonts w:ascii="Titillium" w:hAnsi="Titillium"/>
          <w:noProof/>
          <w:sz w:val="22"/>
          <w:szCs w:val="22"/>
          <w:lang w:eastAsia="en-GB"/>
        </w:rPr>
        <w:t xml:space="preserve">For instance:  </w:t>
      </w:r>
    </w:p>
    <w:p w14:paraId="2264FFC1" w14:textId="77777777" w:rsidR="00FF4D00" w:rsidRPr="00FF4D00" w:rsidRDefault="00FF4D00" w:rsidP="00FF4D00">
      <w:pPr>
        <w:jc w:val="both"/>
        <w:rPr>
          <w:rFonts w:ascii="Titillium" w:hAnsi="Titillium"/>
          <w:noProof/>
          <w:sz w:val="22"/>
          <w:szCs w:val="22"/>
          <w:lang w:eastAsia="en-GB"/>
        </w:rPr>
      </w:pPr>
      <w:r w:rsidRPr="00FF4D00">
        <w:rPr>
          <w:rFonts w:ascii="Titillium" w:hAnsi="Titillium"/>
          <w:noProof/>
          <w:sz w:val="22"/>
          <w:szCs w:val="22"/>
          <w:lang w:eastAsia="en-GB"/>
        </w:rPr>
        <w:t>For one shift of four hours of standby on a weekday or a Saturday, staff would be entitled to one hour off TOIL</w:t>
      </w:r>
    </w:p>
    <w:p w14:paraId="17B45E3E" w14:textId="77777777" w:rsidR="00FF4D00" w:rsidRPr="00FF4D00" w:rsidRDefault="00FF4D00" w:rsidP="00FF4D00">
      <w:pPr>
        <w:jc w:val="both"/>
        <w:rPr>
          <w:rFonts w:ascii="Titillium" w:hAnsi="Titillium"/>
          <w:noProof/>
          <w:sz w:val="22"/>
          <w:szCs w:val="22"/>
          <w:lang w:eastAsia="en-GB"/>
        </w:rPr>
      </w:pPr>
    </w:p>
    <w:p w14:paraId="7D901CCD" w14:textId="77777777" w:rsidR="00FF4D00" w:rsidRPr="00FF4D00" w:rsidRDefault="00FF4D00" w:rsidP="00FF4D00">
      <w:pPr>
        <w:jc w:val="both"/>
        <w:rPr>
          <w:rFonts w:ascii="Titillium" w:hAnsi="Titillium"/>
          <w:noProof/>
          <w:sz w:val="22"/>
          <w:szCs w:val="22"/>
          <w:lang w:eastAsia="en-GB"/>
        </w:rPr>
      </w:pPr>
      <w:r w:rsidRPr="00FF4D00">
        <w:rPr>
          <w:rFonts w:ascii="Titillium" w:hAnsi="Titillium"/>
          <w:noProof/>
          <w:sz w:val="22"/>
          <w:szCs w:val="22"/>
          <w:lang w:eastAsia="en-GB"/>
        </w:rPr>
        <w:t>This should be taken as soon as practicable and by no later than the end of the following calendar month, subject to approval by the line manager.</w:t>
      </w:r>
    </w:p>
    <w:p w14:paraId="1CADF217" w14:textId="77777777" w:rsidR="00FF4D00" w:rsidRPr="00FF4D00" w:rsidRDefault="00FF4D00" w:rsidP="00FF4D00">
      <w:pPr>
        <w:jc w:val="both"/>
        <w:rPr>
          <w:rFonts w:ascii="Titillium" w:hAnsi="Titillium"/>
          <w:noProof/>
          <w:sz w:val="22"/>
          <w:szCs w:val="22"/>
          <w:lang w:eastAsia="en-GB"/>
        </w:rPr>
      </w:pPr>
    </w:p>
    <w:p w14:paraId="582D1B85" w14:textId="740A29CD" w:rsidR="00FF4D00" w:rsidRPr="00C12DB8" w:rsidRDefault="00FF4D00" w:rsidP="00FF4D00">
      <w:pPr>
        <w:pStyle w:val="Heading2"/>
        <w:rPr>
          <w:noProof/>
          <w:color w:val="67B8E7"/>
          <w:lang w:eastAsia="en-GB"/>
        </w:rPr>
      </w:pPr>
      <w:r w:rsidRPr="00C12DB8">
        <w:rPr>
          <w:noProof/>
          <w:color w:val="67B8E7"/>
          <w:lang w:eastAsia="en-GB"/>
        </w:rPr>
        <w:t>Call-out payment</w:t>
      </w:r>
    </w:p>
    <w:p w14:paraId="55859BE0" w14:textId="77777777" w:rsidR="00FF4D00" w:rsidRPr="00FF4D00" w:rsidRDefault="00FF4D00" w:rsidP="00FF4D00">
      <w:pPr>
        <w:jc w:val="both"/>
        <w:rPr>
          <w:rFonts w:ascii="Titillium" w:hAnsi="Titillium"/>
          <w:noProof/>
          <w:sz w:val="22"/>
          <w:szCs w:val="22"/>
          <w:lang w:eastAsia="en-GB"/>
        </w:rPr>
      </w:pPr>
    </w:p>
    <w:p w14:paraId="01B9C30F" w14:textId="77777777" w:rsidR="00FF4D00" w:rsidRPr="00FF4D00" w:rsidRDefault="00FF4D00" w:rsidP="0012231E">
      <w:pPr>
        <w:ind w:left="360" w:hanging="360"/>
        <w:jc w:val="both"/>
        <w:rPr>
          <w:rFonts w:ascii="Titillium" w:hAnsi="Titillium"/>
          <w:noProof/>
          <w:sz w:val="22"/>
          <w:szCs w:val="22"/>
          <w:lang w:eastAsia="en-GB"/>
        </w:rPr>
      </w:pPr>
      <w:r w:rsidRPr="00FF4D00">
        <w:rPr>
          <w:rFonts w:ascii="Titillium" w:hAnsi="Titillium"/>
          <w:noProof/>
          <w:sz w:val="22"/>
          <w:szCs w:val="22"/>
          <w:lang w:eastAsia="en-GB"/>
        </w:rPr>
        <w:t>5.1</w:t>
      </w:r>
      <w:r w:rsidRPr="00FF4D00">
        <w:rPr>
          <w:rFonts w:ascii="Titillium" w:hAnsi="Titillium"/>
          <w:noProof/>
          <w:sz w:val="22"/>
          <w:szCs w:val="22"/>
          <w:lang w:eastAsia="en-GB"/>
        </w:rPr>
        <w:tab/>
        <w:t xml:space="preserve">Where the issue prompting a call-out takes place within a period of standby and takes less than one hour to resolve or is resolved by telephone, a minimum of one hour call-out payment will be applicable.  </w:t>
      </w:r>
    </w:p>
    <w:p w14:paraId="4E7CD264" w14:textId="77777777" w:rsidR="00FF4D00" w:rsidRPr="00FF4D00" w:rsidRDefault="00FF4D00" w:rsidP="00FF4D00">
      <w:pPr>
        <w:jc w:val="both"/>
        <w:rPr>
          <w:rFonts w:ascii="Titillium" w:hAnsi="Titillium"/>
          <w:noProof/>
          <w:sz w:val="22"/>
          <w:szCs w:val="22"/>
          <w:lang w:eastAsia="en-GB"/>
        </w:rPr>
      </w:pPr>
    </w:p>
    <w:p w14:paraId="25A02C29" w14:textId="77777777" w:rsidR="00FF4D00" w:rsidRPr="00FF4D00" w:rsidRDefault="00FF4D00" w:rsidP="0012231E">
      <w:pPr>
        <w:ind w:left="360" w:hanging="360"/>
        <w:jc w:val="both"/>
        <w:rPr>
          <w:rFonts w:ascii="Titillium" w:hAnsi="Titillium"/>
          <w:noProof/>
          <w:sz w:val="22"/>
          <w:szCs w:val="22"/>
          <w:lang w:eastAsia="en-GB"/>
        </w:rPr>
      </w:pPr>
      <w:r w:rsidRPr="00FF4D00">
        <w:rPr>
          <w:rFonts w:ascii="Titillium" w:hAnsi="Titillium"/>
          <w:noProof/>
          <w:sz w:val="22"/>
          <w:szCs w:val="22"/>
          <w:lang w:eastAsia="en-GB"/>
        </w:rPr>
        <w:t>5.2</w:t>
      </w:r>
      <w:r w:rsidRPr="00FF4D00">
        <w:rPr>
          <w:rFonts w:ascii="Titillium" w:hAnsi="Titillium"/>
          <w:noProof/>
          <w:sz w:val="22"/>
          <w:szCs w:val="22"/>
          <w:lang w:eastAsia="en-GB"/>
        </w:rPr>
        <w:tab/>
        <w:t>Where the issue prompting a call-out takes place within a period on standby and takes more than one hour to resolve; the member of staff will be entitled to the call-out payment. This will include time spent travelling to and from work, where this is necessary. At the point of call-out and commencement of the call-out payment, the standby payment will cease.</w:t>
      </w:r>
    </w:p>
    <w:p w14:paraId="0CCAE59B" w14:textId="77777777" w:rsidR="00FF4D00" w:rsidRPr="00FF4D00" w:rsidRDefault="00FF4D00" w:rsidP="00FF4D00">
      <w:pPr>
        <w:jc w:val="both"/>
        <w:rPr>
          <w:rFonts w:ascii="Titillium" w:hAnsi="Titillium"/>
          <w:noProof/>
          <w:sz w:val="22"/>
          <w:szCs w:val="22"/>
          <w:lang w:eastAsia="en-GB"/>
        </w:rPr>
      </w:pPr>
    </w:p>
    <w:p w14:paraId="5ED73470" w14:textId="77777777" w:rsidR="00FF4D00" w:rsidRPr="00FF4D00" w:rsidRDefault="00FF4D00" w:rsidP="0012231E">
      <w:pPr>
        <w:ind w:left="360" w:hanging="360"/>
        <w:jc w:val="both"/>
        <w:rPr>
          <w:rFonts w:ascii="Titillium" w:hAnsi="Titillium"/>
          <w:noProof/>
          <w:sz w:val="22"/>
          <w:szCs w:val="22"/>
          <w:lang w:eastAsia="en-GB"/>
        </w:rPr>
      </w:pPr>
      <w:r w:rsidRPr="00FF4D00">
        <w:rPr>
          <w:rFonts w:ascii="Titillium" w:hAnsi="Titillium"/>
          <w:noProof/>
          <w:sz w:val="22"/>
          <w:szCs w:val="22"/>
          <w:lang w:eastAsia="en-GB"/>
        </w:rPr>
        <w:t>5.3</w:t>
      </w:r>
      <w:r w:rsidRPr="00FF4D00">
        <w:rPr>
          <w:rFonts w:ascii="Titillium" w:hAnsi="Titillium"/>
          <w:noProof/>
          <w:sz w:val="22"/>
          <w:szCs w:val="22"/>
          <w:lang w:eastAsia="en-GB"/>
        </w:rPr>
        <w:tab/>
        <w:t>If the staff member attending a call-out suspects they are dealing with a major incident or if the solution is beyond the limits of their authority, they should contact an appropriate member of the management team to discuss before progressing.  A schedule of the appropriate management contact will be included with the rota.</w:t>
      </w:r>
    </w:p>
    <w:p w14:paraId="01039152" w14:textId="77777777" w:rsidR="00FF4D00" w:rsidRPr="00FF4D00" w:rsidRDefault="00FF4D00" w:rsidP="00FF4D00">
      <w:pPr>
        <w:jc w:val="both"/>
        <w:rPr>
          <w:rFonts w:ascii="Titillium" w:hAnsi="Titillium"/>
          <w:noProof/>
          <w:sz w:val="22"/>
          <w:szCs w:val="22"/>
          <w:lang w:eastAsia="en-GB"/>
        </w:rPr>
      </w:pPr>
    </w:p>
    <w:p w14:paraId="00EAA819" w14:textId="49AD3F5B" w:rsidR="00FF4D00" w:rsidRPr="00FF4D00" w:rsidRDefault="00FF4D00" w:rsidP="0012231E">
      <w:pPr>
        <w:ind w:left="360" w:hanging="360"/>
        <w:jc w:val="both"/>
        <w:rPr>
          <w:rFonts w:ascii="Titillium" w:hAnsi="Titillium"/>
          <w:noProof/>
          <w:sz w:val="22"/>
          <w:szCs w:val="22"/>
          <w:lang w:eastAsia="en-GB"/>
        </w:rPr>
      </w:pPr>
      <w:r w:rsidRPr="00FF4D00">
        <w:rPr>
          <w:rFonts w:ascii="Titillium" w:hAnsi="Titillium"/>
          <w:noProof/>
          <w:sz w:val="22"/>
          <w:szCs w:val="22"/>
          <w:lang w:eastAsia="en-GB"/>
        </w:rPr>
        <w:t>5.4</w:t>
      </w:r>
      <w:r w:rsidRPr="00FF4D00">
        <w:rPr>
          <w:rFonts w:ascii="Titillium" w:hAnsi="Titillium"/>
          <w:noProof/>
          <w:sz w:val="22"/>
          <w:szCs w:val="22"/>
          <w:lang w:eastAsia="en-GB"/>
        </w:rPr>
        <w:tab/>
      </w:r>
      <w:r w:rsidR="005E754E">
        <w:rPr>
          <w:rFonts w:ascii="Titillium" w:hAnsi="Titillium"/>
          <w:noProof/>
          <w:sz w:val="22"/>
          <w:szCs w:val="22"/>
          <w:lang w:eastAsia="en-GB"/>
        </w:rPr>
        <w:t>C</w:t>
      </w:r>
      <w:r w:rsidR="005E754E" w:rsidRPr="005E754E">
        <w:rPr>
          <w:rFonts w:ascii="Titillium" w:hAnsi="Titillium"/>
          <w:noProof/>
          <w:sz w:val="22"/>
          <w:szCs w:val="22"/>
          <w:lang w:eastAsia="en-GB"/>
        </w:rPr>
        <w:t>olleagues</w:t>
      </w:r>
      <w:r w:rsidRPr="00FF4D00">
        <w:rPr>
          <w:rFonts w:ascii="Titillium" w:hAnsi="Titillium"/>
          <w:noProof/>
          <w:sz w:val="22"/>
          <w:szCs w:val="22"/>
          <w:lang w:eastAsia="en-GB"/>
        </w:rPr>
        <w:t xml:space="preserve"> who are required to respond to call-outs will receive remuneration based on the following:</w:t>
      </w:r>
    </w:p>
    <w:p w14:paraId="2C8A7CF0" w14:textId="77777777" w:rsidR="00FF4D00" w:rsidRPr="00FF4D00" w:rsidRDefault="00FF4D00" w:rsidP="00FF4D00">
      <w:pPr>
        <w:jc w:val="both"/>
        <w:rPr>
          <w:rFonts w:ascii="Titillium" w:hAnsi="Titillium"/>
          <w:noProof/>
          <w:sz w:val="22"/>
          <w:szCs w:val="22"/>
          <w:lang w:eastAsia="en-GB"/>
        </w:rPr>
      </w:pPr>
    </w:p>
    <w:p w14:paraId="57E7BE3B" w14:textId="77777777" w:rsidR="00FF4D00" w:rsidRPr="00FF4D00" w:rsidRDefault="00FF4D00" w:rsidP="00FF4D00">
      <w:pPr>
        <w:jc w:val="both"/>
        <w:rPr>
          <w:rFonts w:ascii="Titillium" w:hAnsi="Titillium"/>
          <w:noProof/>
          <w:sz w:val="22"/>
          <w:szCs w:val="22"/>
          <w:lang w:eastAsia="en-GB"/>
        </w:rPr>
      </w:pPr>
      <w:r w:rsidRPr="00FF4D00">
        <w:rPr>
          <w:rFonts w:ascii="Titillium" w:hAnsi="Titillium"/>
          <w:noProof/>
          <w:sz w:val="22"/>
          <w:szCs w:val="22"/>
          <w:lang w:eastAsia="en-GB"/>
        </w:rPr>
        <w:t>Weekday Evenings / Saturdays:</w:t>
      </w:r>
      <w:r w:rsidRPr="00FF4D00">
        <w:rPr>
          <w:rFonts w:ascii="Titillium" w:hAnsi="Titillium"/>
          <w:noProof/>
          <w:sz w:val="22"/>
          <w:szCs w:val="22"/>
          <w:lang w:eastAsia="en-GB"/>
        </w:rPr>
        <w:tab/>
        <w:t>1.25 times their normal hourly rate for the period of the call-out</w:t>
      </w:r>
    </w:p>
    <w:p w14:paraId="7079BC5D" w14:textId="77777777" w:rsidR="00FF4D00" w:rsidRPr="00FF4D00" w:rsidRDefault="00FF4D00" w:rsidP="00FF4D00">
      <w:pPr>
        <w:jc w:val="both"/>
        <w:rPr>
          <w:rFonts w:ascii="Titillium" w:hAnsi="Titillium"/>
          <w:noProof/>
          <w:sz w:val="22"/>
          <w:szCs w:val="22"/>
          <w:lang w:eastAsia="en-GB"/>
        </w:rPr>
      </w:pPr>
    </w:p>
    <w:p w14:paraId="093C4150" w14:textId="77777777" w:rsidR="00FF4D00" w:rsidRPr="00FF4D00" w:rsidRDefault="00FF4D00" w:rsidP="00FF4D00">
      <w:pPr>
        <w:jc w:val="both"/>
        <w:rPr>
          <w:rFonts w:ascii="Titillium" w:hAnsi="Titillium"/>
          <w:noProof/>
          <w:sz w:val="22"/>
          <w:szCs w:val="22"/>
          <w:lang w:eastAsia="en-GB"/>
        </w:rPr>
      </w:pPr>
      <w:r w:rsidRPr="00FF4D00">
        <w:rPr>
          <w:rFonts w:ascii="Titillium" w:hAnsi="Titillium"/>
          <w:noProof/>
          <w:sz w:val="22"/>
          <w:szCs w:val="22"/>
          <w:lang w:eastAsia="en-GB"/>
        </w:rPr>
        <w:t>Sundays / Public Holidays:</w:t>
      </w:r>
      <w:r w:rsidRPr="00FF4D00">
        <w:rPr>
          <w:rFonts w:ascii="Titillium" w:hAnsi="Titillium"/>
          <w:noProof/>
          <w:sz w:val="22"/>
          <w:szCs w:val="22"/>
          <w:lang w:eastAsia="en-GB"/>
        </w:rPr>
        <w:tab/>
        <w:t>1.5 times their normal hourly rate for the period of the call-out</w:t>
      </w:r>
    </w:p>
    <w:p w14:paraId="67A2418C" w14:textId="77777777" w:rsidR="00FF4D00" w:rsidRPr="00FF4D00" w:rsidRDefault="00FF4D00" w:rsidP="00FF4D00">
      <w:pPr>
        <w:jc w:val="both"/>
        <w:rPr>
          <w:rFonts w:ascii="Titillium" w:hAnsi="Titillium"/>
          <w:noProof/>
          <w:sz w:val="22"/>
          <w:szCs w:val="22"/>
          <w:lang w:eastAsia="en-GB"/>
        </w:rPr>
      </w:pPr>
    </w:p>
    <w:p w14:paraId="7D6981E0" w14:textId="3CE4E00B" w:rsidR="00FF4D00" w:rsidRPr="005E754E" w:rsidRDefault="00FF4D00" w:rsidP="00FF4D00">
      <w:pPr>
        <w:pStyle w:val="ListParagraph"/>
        <w:numPr>
          <w:ilvl w:val="1"/>
          <w:numId w:val="25"/>
        </w:numPr>
        <w:ind w:left="426"/>
        <w:jc w:val="both"/>
        <w:rPr>
          <w:rFonts w:ascii="Titillium" w:hAnsi="Titillium"/>
          <w:noProof/>
          <w:sz w:val="22"/>
          <w:szCs w:val="22"/>
          <w:lang w:eastAsia="en-GB"/>
        </w:rPr>
      </w:pPr>
      <w:r w:rsidRPr="0012231E">
        <w:rPr>
          <w:rFonts w:ascii="Titillium" w:hAnsi="Titillium"/>
          <w:noProof/>
          <w:sz w:val="22"/>
          <w:szCs w:val="22"/>
          <w:lang w:eastAsia="en-GB"/>
        </w:rPr>
        <w:t>This may also be taken as TOIL, which is calculated in accordance with the above.  This should be taken as soon as practicable and by no later than the end of the following calendar month, subject to approval by the line manager.</w:t>
      </w:r>
    </w:p>
    <w:p w14:paraId="25F8F29F" w14:textId="77777777" w:rsidR="005E754E" w:rsidRDefault="005E754E" w:rsidP="00FF4D00">
      <w:pPr>
        <w:jc w:val="both"/>
        <w:rPr>
          <w:rFonts w:ascii="Titillium" w:hAnsi="Titillium"/>
          <w:noProof/>
          <w:sz w:val="22"/>
          <w:szCs w:val="22"/>
          <w:lang w:eastAsia="en-GB"/>
        </w:rPr>
      </w:pPr>
    </w:p>
    <w:p w14:paraId="7F1CD4D9" w14:textId="77777777" w:rsidR="005E754E" w:rsidRDefault="005E754E" w:rsidP="00FF4D00">
      <w:pPr>
        <w:jc w:val="both"/>
        <w:rPr>
          <w:rFonts w:ascii="Titillium" w:hAnsi="Titillium"/>
          <w:noProof/>
          <w:sz w:val="22"/>
          <w:szCs w:val="22"/>
          <w:lang w:eastAsia="en-GB"/>
        </w:rPr>
      </w:pPr>
    </w:p>
    <w:p w14:paraId="7FEBDF76" w14:textId="77777777" w:rsidR="005E754E" w:rsidRDefault="005E754E" w:rsidP="00FF4D00">
      <w:pPr>
        <w:jc w:val="both"/>
        <w:rPr>
          <w:rFonts w:ascii="Titillium" w:hAnsi="Titillium"/>
          <w:noProof/>
          <w:sz w:val="22"/>
          <w:szCs w:val="22"/>
          <w:lang w:eastAsia="en-GB"/>
        </w:rPr>
      </w:pPr>
    </w:p>
    <w:p w14:paraId="74AE74C5" w14:textId="77777777" w:rsidR="005E754E" w:rsidRDefault="005E754E" w:rsidP="00FF4D00">
      <w:pPr>
        <w:jc w:val="both"/>
        <w:rPr>
          <w:rFonts w:ascii="Titillium" w:hAnsi="Titillium"/>
          <w:noProof/>
          <w:sz w:val="22"/>
          <w:szCs w:val="22"/>
          <w:lang w:eastAsia="en-GB"/>
        </w:rPr>
      </w:pPr>
    </w:p>
    <w:p w14:paraId="39B08DA9" w14:textId="77777777" w:rsidR="005E754E" w:rsidRPr="00FF4D00" w:rsidRDefault="005E754E" w:rsidP="00FF4D00">
      <w:pPr>
        <w:jc w:val="both"/>
        <w:rPr>
          <w:rFonts w:ascii="Titillium" w:hAnsi="Titillium"/>
          <w:noProof/>
          <w:sz w:val="22"/>
          <w:szCs w:val="22"/>
          <w:lang w:eastAsia="en-GB"/>
        </w:rPr>
      </w:pPr>
    </w:p>
    <w:p w14:paraId="53A87612" w14:textId="7F51C622" w:rsidR="00FF4D00" w:rsidRPr="00C12DB8" w:rsidRDefault="00FF4D00" w:rsidP="00FF4D00">
      <w:pPr>
        <w:pStyle w:val="Heading2"/>
        <w:rPr>
          <w:noProof/>
          <w:color w:val="67B8E7"/>
          <w:lang w:eastAsia="en-GB"/>
        </w:rPr>
      </w:pPr>
      <w:r w:rsidRPr="00C12DB8">
        <w:rPr>
          <w:noProof/>
          <w:color w:val="67B8E7"/>
          <w:lang w:eastAsia="en-GB"/>
        </w:rPr>
        <w:lastRenderedPageBreak/>
        <w:t>Monitoring call-outs</w:t>
      </w:r>
    </w:p>
    <w:p w14:paraId="00C66896" w14:textId="77777777" w:rsidR="00FF4D00" w:rsidRPr="00FF4D00" w:rsidRDefault="00FF4D00" w:rsidP="00FF4D00">
      <w:pPr>
        <w:jc w:val="both"/>
        <w:rPr>
          <w:rFonts w:ascii="Titillium" w:hAnsi="Titillium"/>
          <w:noProof/>
          <w:sz w:val="22"/>
          <w:szCs w:val="22"/>
          <w:lang w:eastAsia="en-GB"/>
        </w:rPr>
      </w:pPr>
    </w:p>
    <w:p w14:paraId="5AECC2A8" w14:textId="6DF154BC" w:rsidR="00FF4D00" w:rsidRPr="00FF4D00" w:rsidRDefault="00FF4D00" w:rsidP="00FF4D00">
      <w:pPr>
        <w:jc w:val="both"/>
        <w:rPr>
          <w:rFonts w:ascii="Titillium" w:hAnsi="Titillium"/>
          <w:noProof/>
          <w:sz w:val="22"/>
          <w:szCs w:val="22"/>
          <w:lang w:eastAsia="en-GB"/>
        </w:rPr>
      </w:pPr>
      <w:r w:rsidRPr="00FF4D00">
        <w:rPr>
          <w:rFonts w:ascii="Titillium" w:hAnsi="Titillium"/>
          <w:noProof/>
          <w:sz w:val="22"/>
          <w:szCs w:val="22"/>
          <w:lang w:eastAsia="en-GB"/>
        </w:rPr>
        <w:t>Managers applying a call-out practice should monitor the frequency and length of call-outs and the extent of planned and unplanned out of core hours worked on a regular basis to ensure that no member of staff is being required to undertake additional work which may be detrimental to their health and wellbeing.</w:t>
      </w:r>
    </w:p>
    <w:p w14:paraId="47F49E18" w14:textId="77777777" w:rsidR="00FF4D00" w:rsidRPr="00FF4D00" w:rsidRDefault="00FF4D00" w:rsidP="00FF4D00">
      <w:pPr>
        <w:jc w:val="both"/>
        <w:rPr>
          <w:rFonts w:ascii="Titillium" w:hAnsi="Titillium"/>
          <w:noProof/>
          <w:sz w:val="22"/>
          <w:szCs w:val="22"/>
          <w:lang w:eastAsia="en-GB"/>
        </w:rPr>
      </w:pPr>
    </w:p>
    <w:p w14:paraId="0E61CA40" w14:textId="138020CA" w:rsidR="00FF4D00" w:rsidRPr="00C12DB8" w:rsidRDefault="00FF4D00" w:rsidP="00FF4D00">
      <w:pPr>
        <w:pStyle w:val="Heading2"/>
        <w:rPr>
          <w:noProof/>
          <w:color w:val="67B8E7"/>
          <w:lang w:eastAsia="en-GB"/>
        </w:rPr>
      </w:pPr>
      <w:r w:rsidRPr="00C12DB8">
        <w:rPr>
          <w:noProof/>
          <w:color w:val="67B8E7"/>
          <w:lang w:eastAsia="en-GB"/>
        </w:rPr>
        <w:t>Post call-out working</w:t>
      </w:r>
    </w:p>
    <w:p w14:paraId="5898B052" w14:textId="77777777" w:rsidR="00FF4D00" w:rsidRPr="00FF4D00" w:rsidRDefault="00FF4D00" w:rsidP="00FF4D00">
      <w:pPr>
        <w:jc w:val="both"/>
        <w:rPr>
          <w:rFonts w:ascii="Titillium" w:hAnsi="Titillium"/>
          <w:noProof/>
          <w:sz w:val="22"/>
          <w:szCs w:val="22"/>
          <w:lang w:eastAsia="en-GB"/>
        </w:rPr>
      </w:pPr>
    </w:p>
    <w:p w14:paraId="4B3357AA" w14:textId="69B8B47F" w:rsidR="00FF4D00" w:rsidRPr="00FF4D00" w:rsidRDefault="00FF4D00" w:rsidP="00FF4D00">
      <w:pPr>
        <w:jc w:val="both"/>
        <w:rPr>
          <w:rFonts w:ascii="Titillium" w:hAnsi="Titillium"/>
          <w:noProof/>
          <w:sz w:val="22"/>
          <w:szCs w:val="22"/>
          <w:lang w:eastAsia="en-GB"/>
        </w:rPr>
      </w:pPr>
      <w:r w:rsidRPr="00FF4D00">
        <w:rPr>
          <w:rFonts w:ascii="Titillium" w:hAnsi="Titillium"/>
          <w:noProof/>
          <w:sz w:val="22"/>
          <w:szCs w:val="22"/>
          <w:lang w:eastAsia="en-GB"/>
        </w:rPr>
        <w:t>In accordance with the Working Time Directive, it is necessary for an individual to have an 11 hour break between shifts.  It is therefore the line managers’ responsibility to ensure that any individual who has been called-out has the appropriate 11 hour break prior to returning to work.  Stand by time is not ‘working time’ within the definition of Working Time Directive, therefore only time for call-out applies for this purpose.</w:t>
      </w:r>
    </w:p>
    <w:p w14:paraId="0BB6F50B" w14:textId="77777777" w:rsidR="00FF4D00" w:rsidRPr="00FF4D00" w:rsidRDefault="00FF4D00" w:rsidP="00FF4D00">
      <w:pPr>
        <w:jc w:val="both"/>
        <w:rPr>
          <w:rFonts w:ascii="Titillium" w:hAnsi="Titillium"/>
          <w:noProof/>
          <w:sz w:val="22"/>
          <w:szCs w:val="22"/>
          <w:lang w:eastAsia="en-GB"/>
        </w:rPr>
      </w:pPr>
    </w:p>
    <w:p w14:paraId="04E36A23" w14:textId="3F8B9C7E" w:rsidR="00FF4D00" w:rsidRPr="00C12DB8" w:rsidRDefault="00FF4D00" w:rsidP="00FF4D00">
      <w:pPr>
        <w:pStyle w:val="Heading2"/>
        <w:rPr>
          <w:noProof/>
          <w:color w:val="67B8E7"/>
          <w:lang w:eastAsia="en-GB"/>
        </w:rPr>
      </w:pPr>
      <w:r w:rsidRPr="00C12DB8">
        <w:rPr>
          <w:noProof/>
          <w:color w:val="67B8E7"/>
          <w:lang w:eastAsia="en-GB"/>
        </w:rPr>
        <w:t>Where flexi-time is in practice</w:t>
      </w:r>
    </w:p>
    <w:p w14:paraId="236B6A9A" w14:textId="77777777" w:rsidR="00FF4D00" w:rsidRPr="00FF4D00" w:rsidRDefault="00FF4D00" w:rsidP="00FF4D00">
      <w:pPr>
        <w:jc w:val="both"/>
        <w:rPr>
          <w:rFonts w:ascii="Titillium" w:hAnsi="Titillium"/>
          <w:noProof/>
          <w:sz w:val="22"/>
          <w:szCs w:val="22"/>
          <w:lang w:eastAsia="en-GB"/>
        </w:rPr>
      </w:pPr>
    </w:p>
    <w:p w14:paraId="371AD4AB" w14:textId="7A65BBE6" w:rsidR="00FF4D00" w:rsidRDefault="00FF4D00" w:rsidP="00FF4D00">
      <w:pPr>
        <w:jc w:val="both"/>
        <w:rPr>
          <w:rFonts w:ascii="Titillium" w:hAnsi="Titillium"/>
          <w:noProof/>
          <w:sz w:val="22"/>
          <w:szCs w:val="22"/>
          <w:lang w:eastAsia="en-GB"/>
        </w:rPr>
      </w:pPr>
      <w:r w:rsidRPr="00FF4D00">
        <w:rPr>
          <w:rFonts w:ascii="Titillium" w:hAnsi="Titillium"/>
          <w:noProof/>
          <w:sz w:val="22"/>
          <w:szCs w:val="22"/>
          <w:lang w:eastAsia="en-GB"/>
        </w:rPr>
        <w:t xml:space="preserve">For the period between 8am and 6pm during a normal working day a </w:t>
      </w:r>
      <w:r w:rsidR="0002284C" w:rsidRPr="0002284C">
        <w:rPr>
          <w:rFonts w:ascii="Titillium" w:hAnsi="Titillium"/>
          <w:noProof/>
          <w:sz w:val="22"/>
          <w:szCs w:val="22"/>
          <w:lang w:eastAsia="en-GB"/>
        </w:rPr>
        <w:t>colleague</w:t>
      </w:r>
      <w:r w:rsidRPr="00FF4D00">
        <w:rPr>
          <w:rFonts w:ascii="Titillium" w:hAnsi="Titillium"/>
          <w:noProof/>
          <w:sz w:val="22"/>
          <w:szCs w:val="22"/>
          <w:lang w:eastAsia="en-GB"/>
        </w:rPr>
        <w:t xml:space="preserve"> that is on the rota to work standby will have the option to work either as normal and claim flexi-time credit or in line with this policy.  However, where the </w:t>
      </w:r>
      <w:r w:rsidR="0002284C" w:rsidRPr="0002284C">
        <w:rPr>
          <w:rFonts w:ascii="Titillium" w:hAnsi="Titillium"/>
          <w:noProof/>
          <w:sz w:val="22"/>
          <w:szCs w:val="22"/>
          <w:lang w:eastAsia="en-GB"/>
        </w:rPr>
        <w:t>colleague</w:t>
      </w:r>
      <w:r w:rsidRPr="00FF4D00">
        <w:rPr>
          <w:rFonts w:ascii="Titillium" w:hAnsi="Titillium"/>
          <w:noProof/>
          <w:sz w:val="22"/>
          <w:szCs w:val="22"/>
          <w:lang w:eastAsia="en-GB"/>
        </w:rPr>
        <w:t xml:space="preserve"> opts to work as normal and claim flexi-time credit, they will not have the option to claim either a standby or call-out payment referred to within this policy.</w:t>
      </w:r>
    </w:p>
    <w:p w14:paraId="1BE862D3" w14:textId="77777777" w:rsidR="00FF4D00" w:rsidRDefault="00FF4D00" w:rsidP="00FF4D00">
      <w:pPr>
        <w:jc w:val="both"/>
        <w:rPr>
          <w:rFonts w:ascii="Titillium" w:hAnsi="Titillium"/>
          <w:noProof/>
          <w:sz w:val="22"/>
          <w:szCs w:val="22"/>
          <w:lang w:eastAsia="en-GB"/>
        </w:rPr>
      </w:pPr>
    </w:p>
    <w:p w14:paraId="05D7E7FB" w14:textId="77777777" w:rsidR="00FF4D00" w:rsidRDefault="00FF4D00" w:rsidP="00FF4D00">
      <w:pPr>
        <w:pStyle w:val="Heading2"/>
        <w:numPr>
          <w:ilvl w:val="0"/>
          <w:numId w:val="0"/>
        </w:numPr>
        <w:ind w:left="360" w:hanging="360"/>
      </w:pPr>
    </w:p>
    <w:p w14:paraId="21084958" w14:textId="77777777" w:rsidR="00C817B7" w:rsidRDefault="00C817B7" w:rsidP="00FF4D00">
      <w:pPr>
        <w:pStyle w:val="Heading2"/>
        <w:numPr>
          <w:ilvl w:val="0"/>
          <w:numId w:val="0"/>
        </w:numPr>
        <w:ind w:left="360" w:hanging="360"/>
      </w:pPr>
    </w:p>
    <w:p w14:paraId="53DF1E12" w14:textId="77777777" w:rsidR="00C817B7" w:rsidRDefault="00C817B7" w:rsidP="00FF4D00">
      <w:pPr>
        <w:pStyle w:val="Heading2"/>
        <w:numPr>
          <w:ilvl w:val="0"/>
          <w:numId w:val="0"/>
        </w:numPr>
        <w:ind w:left="360" w:hanging="360"/>
      </w:pPr>
    </w:p>
    <w:p w14:paraId="357312AD" w14:textId="77777777" w:rsidR="00C817B7" w:rsidRDefault="00C817B7" w:rsidP="00FF4D00">
      <w:pPr>
        <w:pStyle w:val="Heading2"/>
        <w:numPr>
          <w:ilvl w:val="0"/>
          <w:numId w:val="0"/>
        </w:numPr>
        <w:ind w:left="360" w:hanging="360"/>
      </w:pPr>
    </w:p>
    <w:p w14:paraId="125B6C16" w14:textId="77777777" w:rsidR="00C817B7" w:rsidRDefault="00C817B7" w:rsidP="00FF4D00">
      <w:pPr>
        <w:pStyle w:val="Heading2"/>
        <w:numPr>
          <w:ilvl w:val="0"/>
          <w:numId w:val="0"/>
        </w:numPr>
        <w:ind w:left="360" w:hanging="360"/>
      </w:pPr>
    </w:p>
    <w:p w14:paraId="5042EE9D" w14:textId="77777777" w:rsidR="00C817B7" w:rsidRDefault="00C817B7" w:rsidP="00FF4D00">
      <w:pPr>
        <w:pStyle w:val="Heading2"/>
        <w:numPr>
          <w:ilvl w:val="0"/>
          <w:numId w:val="0"/>
        </w:numPr>
        <w:ind w:left="360" w:hanging="360"/>
      </w:pPr>
    </w:p>
    <w:p w14:paraId="5E4CBC85" w14:textId="77777777" w:rsidR="00C817B7" w:rsidRDefault="00C817B7" w:rsidP="00FF4D00">
      <w:pPr>
        <w:pStyle w:val="Heading2"/>
        <w:numPr>
          <w:ilvl w:val="0"/>
          <w:numId w:val="0"/>
        </w:numPr>
        <w:ind w:left="360" w:hanging="360"/>
      </w:pPr>
    </w:p>
    <w:p w14:paraId="4A076512" w14:textId="77777777" w:rsidR="00C817B7" w:rsidRDefault="00C817B7" w:rsidP="00FF4D00">
      <w:pPr>
        <w:pStyle w:val="Heading2"/>
        <w:numPr>
          <w:ilvl w:val="0"/>
          <w:numId w:val="0"/>
        </w:numPr>
        <w:ind w:left="360" w:hanging="360"/>
      </w:pPr>
    </w:p>
    <w:p w14:paraId="3152881B" w14:textId="77777777" w:rsidR="00C817B7" w:rsidRDefault="00C817B7" w:rsidP="00FF4D00">
      <w:pPr>
        <w:pStyle w:val="Heading2"/>
        <w:numPr>
          <w:ilvl w:val="0"/>
          <w:numId w:val="0"/>
        </w:numPr>
        <w:ind w:left="360" w:hanging="360"/>
      </w:pPr>
    </w:p>
    <w:p w14:paraId="11DD9218" w14:textId="77777777" w:rsidR="00C817B7" w:rsidRDefault="00C817B7" w:rsidP="00FF4D00">
      <w:pPr>
        <w:pStyle w:val="Heading2"/>
        <w:numPr>
          <w:ilvl w:val="0"/>
          <w:numId w:val="0"/>
        </w:numPr>
        <w:ind w:left="360" w:hanging="360"/>
      </w:pPr>
    </w:p>
    <w:p w14:paraId="647134B0" w14:textId="77777777" w:rsidR="00C817B7" w:rsidRDefault="00C817B7" w:rsidP="00FF4D00">
      <w:pPr>
        <w:pStyle w:val="Heading2"/>
        <w:numPr>
          <w:ilvl w:val="0"/>
          <w:numId w:val="0"/>
        </w:numPr>
        <w:ind w:left="360" w:hanging="360"/>
      </w:pPr>
    </w:p>
    <w:p w14:paraId="3CA38CB3" w14:textId="77777777" w:rsidR="0058260B" w:rsidRDefault="0058260B" w:rsidP="00FF4D00">
      <w:pPr>
        <w:pStyle w:val="Heading2"/>
        <w:numPr>
          <w:ilvl w:val="0"/>
          <w:numId w:val="0"/>
        </w:numPr>
        <w:ind w:left="360" w:hanging="360"/>
      </w:pPr>
    </w:p>
    <w:p w14:paraId="0B143FB4" w14:textId="77777777" w:rsidR="00C817B7" w:rsidRDefault="00C817B7" w:rsidP="00FF4D00">
      <w:pPr>
        <w:pStyle w:val="Heading2"/>
        <w:numPr>
          <w:ilvl w:val="0"/>
          <w:numId w:val="0"/>
        </w:numPr>
        <w:ind w:left="360" w:hanging="360"/>
      </w:pPr>
    </w:p>
    <w:p w14:paraId="2C48DBE7" w14:textId="77777777" w:rsidR="0058260B" w:rsidRDefault="0058260B" w:rsidP="00FF4D00">
      <w:pPr>
        <w:pStyle w:val="Heading2"/>
        <w:numPr>
          <w:ilvl w:val="0"/>
          <w:numId w:val="0"/>
        </w:numPr>
        <w:ind w:left="360" w:hanging="360"/>
      </w:pPr>
    </w:p>
    <w:p w14:paraId="5EA2E25B" w14:textId="1AD5CCE9" w:rsidR="00FF4D00" w:rsidRPr="0058260B" w:rsidRDefault="00FF4D00" w:rsidP="00FF4D00">
      <w:pPr>
        <w:pStyle w:val="Heading2"/>
        <w:numPr>
          <w:ilvl w:val="0"/>
          <w:numId w:val="0"/>
        </w:numPr>
        <w:ind w:left="360" w:hanging="360"/>
        <w:rPr>
          <w:color w:val="auto"/>
          <w:sz w:val="24"/>
          <w:szCs w:val="24"/>
        </w:rPr>
      </w:pPr>
      <w:r w:rsidRPr="0058260B">
        <w:rPr>
          <w:color w:val="auto"/>
          <w:sz w:val="24"/>
          <w:szCs w:val="24"/>
        </w:rPr>
        <w:lastRenderedPageBreak/>
        <w:t>APPENDIX</w:t>
      </w:r>
      <w:r w:rsidR="00656D16" w:rsidRPr="0058260B">
        <w:rPr>
          <w:color w:val="auto"/>
          <w:sz w:val="24"/>
          <w:szCs w:val="24"/>
        </w:rPr>
        <w:t xml:space="preserve"> A</w:t>
      </w:r>
    </w:p>
    <w:p w14:paraId="29D2A3C9" w14:textId="77777777" w:rsidR="00FF4D00" w:rsidRPr="00FF4D00" w:rsidRDefault="00FF4D00" w:rsidP="00FF4D00">
      <w:pPr>
        <w:jc w:val="both"/>
        <w:rPr>
          <w:rFonts w:ascii="Titillium" w:hAnsi="Titillium"/>
          <w:sz w:val="22"/>
          <w:szCs w:val="22"/>
        </w:rPr>
      </w:pPr>
    </w:p>
    <w:p w14:paraId="10E230FC" w14:textId="77777777" w:rsidR="00FF4D00" w:rsidRPr="00FF4D00" w:rsidRDefault="00FF4D00" w:rsidP="00FF4D00">
      <w:pPr>
        <w:jc w:val="center"/>
        <w:rPr>
          <w:rFonts w:ascii="Titillium" w:hAnsi="Titillium"/>
          <w:b/>
          <w:sz w:val="22"/>
          <w:szCs w:val="22"/>
        </w:rPr>
      </w:pPr>
      <w:r w:rsidRPr="00FF4D00">
        <w:rPr>
          <w:rFonts w:ascii="Titillium" w:hAnsi="Titillium"/>
          <w:b/>
          <w:sz w:val="22"/>
          <w:szCs w:val="22"/>
        </w:rPr>
        <w:t>Areas of Cover</w:t>
      </w:r>
    </w:p>
    <w:p w14:paraId="507DFAA7" w14:textId="77777777" w:rsidR="00FF4D00" w:rsidRPr="00FF4D00" w:rsidRDefault="00FF4D00" w:rsidP="00FF4D00">
      <w:pPr>
        <w:jc w:val="both"/>
        <w:rPr>
          <w:rFonts w:ascii="Titillium" w:hAnsi="Titillium"/>
          <w:sz w:val="22"/>
          <w:szCs w:val="22"/>
        </w:rPr>
      </w:pPr>
    </w:p>
    <w:p w14:paraId="0C05C0F9" w14:textId="681A612C" w:rsidR="00FF4D00" w:rsidRPr="00FF4D00" w:rsidRDefault="00FF4D00" w:rsidP="00FF4D00">
      <w:pPr>
        <w:jc w:val="both"/>
        <w:rPr>
          <w:rFonts w:ascii="Titillium" w:hAnsi="Titillium"/>
          <w:sz w:val="22"/>
          <w:szCs w:val="22"/>
        </w:rPr>
      </w:pPr>
      <w:r w:rsidRPr="00FF4D00">
        <w:rPr>
          <w:rFonts w:ascii="Titillium" w:hAnsi="Titillium"/>
          <w:sz w:val="22"/>
          <w:szCs w:val="22"/>
        </w:rPr>
        <w:t xml:space="preserve">This schedule confirms the areas for which this policy applies, and includes the hours of stand by cover for that area.  This schedule will be updated from time to time by </w:t>
      </w:r>
      <w:r w:rsidR="00656D16">
        <w:rPr>
          <w:rFonts w:ascii="Titillium" w:hAnsi="Titillium"/>
          <w:sz w:val="22"/>
          <w:szCs w:val="22"/>
        </w:rPr>
        <w:t>The People Team</w:t>
      </w:r>
      <w:r w:rsidRPr="00FF4D00">
        <w:rPr>
          <w:rFonts w:ascii="Titillium" w:hAnsi="Titillium"/>
          <w:sz w:val="22"/>
          <w:szCs w:val="22"/>
        </w:rPr>
        <w:t xml:space="preserve"> as detailed in section 2.2 of the policy.</w:t>
      </w:r>
    </w:p>
    <w:p w14:paraId="53C8BDF0" w14:textId="77777777" w:rsidR="00FF4D00" w:rsidRPr="00FF4D00" w:rsidRDefault="00FF4D00" w:rsidP="00FF4D00">
      <w:pPr>
        <w:jc w:val="both"/>
        <w:rPr>
          <w:rFonts w:ascii="Titillium" w:hAnsi="Titillium"/>
          <w:sz w:val="22"/>
          <w:szCs w:val="22"/>
        </w:rPr>
      </w:pPr>
    </w:p>
    <w:p w14:paraId="572B83D7" w14:textId="77777777" w:rsidR="00FF4D00" w:rsidRPr="00FF4D00" w:rsidRDefault="00FF4D00" w:rsidP="00FF4D00">
      <w:pPr>
        <w:jc w:val="both"/>
        <w:rPr>
          <w:rFonts w:ascii="Titillium" w:hAnsi="Titillium"/>
          <w:sz w:val="22"/>
          <w:szCs w:val="22"/>
        </w:rPr>
      </w:pPr>
    </w:p>
    <w:tbl>
      <w:tblPr>
        <w:tblStyle w:val="TableGrid"/>
        <w:tblW w:w="0" w:type="auto"/>
        <w:tblLook w:val="01E0" w:firstRow="1" w:lastRow="1" w:firstColumn="1" w:lastColumn="1" w:noHBand="0" w:noVBand="0"/>
      </w:tblPr>
      <w:tblGrid>
        <w:gridCol w:w="2660"/>
        <w:gridCol w:w="5812"/>
      </w:tblGrid>
      <w:tr w:rsidR="00FF4D00" w:rsidRPr="00FF4D00" w14:paraId="192E204D" w14:textId="77777777" w:rsidTr="00E751CF">
        <w:tc>
          <w:tcPr>
            <w:tcW w:w="2660" w:type="dxa"/>
          </w:tcPr>
          <w:p w14:paraId="3B6DBF46" w14:textId="77777777" w:rsidR="00FF4D00" w:rsidRPr="00FF4D00" w:rsidRDefault="00FF4D00" w:rsidP="00E751CF">
            <w:pPr>
              <w:jc w:val="center"/>
              <w:rPr>
                <w:rFonts w:ascii="Titillium" w:hAnsi="Titillium"/>
                <w:b/>
                <w:sz w:val="22"/>
                <w:szCs w:val="22"/>
              </w:rPr>
            </w:pPr>
            <w:r w:rsidRPr="00FF4D00">
              <w:rPr>
                <w:rFonts w:ascii="Titillium" w:hAnsi="Titillium"/>
                <w:b/>
                <w:sz w:val="22"/>
                <w:szCs w:val="22"/>
              </w:rPr>
              <w:t>Area</w:t>
            </w:r>
          </w:p>
        </w:tc>
        <w:tc>
          <w:tcPr>
            <w:tcW w:w="5812" w:type="dxa"/>
          </w:tcPr>
          <w:p w14:paraId="7C4FB70B" w14:textId="77777777" w:rsidR="00FF4D00" w:rsidRPr="00FF4D00" w:rsidRDefault="00FF4D00" w:rsidP="00E751CF">
            <w:pPr>
              <w:jc w:val="center"/>
              <w:rPr>
                <w:rFonts w:ascii="Titillium" w:hAnsi="Titillium"/>
                <w:b/>
                <w:sz w:val="22"/>
                <w:szCs w:val="22"/>
              </w:rPr>
            </w:pPr>
            <w:r w:rsidRPr="00FF4D00">
              <w:rPr>
                <w:rFonts w:ascii="Titillium" w:hAnsi="Titillium"/>
                <w:b/>
                <w:sz w:val="22"/>
                <w:szCs w:val="22"/>
              </w:rPr>
              <w:t>Hours of Cover</w:t>
            </w:r>
          </w:p>
        </w:tc>
      </w:tr>
      <w:tr w:rsidR="00FF4D00" w:rsidRPr="00FF4D00" w14:paraId="61D32889" w14:textId="77777777" w:rsidTr="00E751CF">
        <w:tc>
          <w:tcPr>
            <w:tcW w:w="2660" w:type="dxa"/>
          </w:tcPr>
          <w:p w14:paraId="1999F4D4" w14:textId="77777777" w:rsidR="00FF4D00" w:rsidRPr="00FF4D00" w:rsidRDefault="00FF4D00" w:rsidP="00E751CF">
            <w:pPr>
              <w:jc w:val="both"/>
              <w:rPr>
                <w:rFonts w:ascii="Titillium" w:hAnsi="Titillium"/>
                <w:sz w:val="22"/>
                <w:szCs w:val="22"/>
              </w:rPr>
            </w:pPr>
          </w:p>
          <w:p w14:paraId="42522E1A" w14:textId="77777777" w:rsidR="00FF4D00" w:rsidRPr="00FF4D00" w:rsidRDefault="00FF4D00" w:rsidP="00E751CF">
            <w:pPr>
              <w:jc w:val="both"/>
              <w:rPr>
                <w:rFonts w:ascii="Titillium" w:hAnsi="Titillium"/>
                <w:sz w:val="22"/>
                <w:szCs w:val="22"/>
              </w:rPr>
            </w:pPr>
            <w:r w:rsidRPr="00FF4D00">
              <w:rPr>
                <w:rFonts w:ascii="Titillium" w:hAnsi="Titillium"/>
                <w:sz w:val="22"/>
                <w:szCs w:val="22"/>
              </w:rPr>
              <w:t>C&amp;IT</w:t>
            </w:r>
          </w:p>
        </w:tc>
        <w:tc>
          <w:tcPr>
            <w:tcW w:w="5812" w:type="dxa"/>
          </w:tcPr>
          <w:p w14:paraId="65BF610D" w14:textId="77777777" w:rsidR="00FF4D00" w:rsidRPr="00FF4D00" w:rsidRDefault="00FF4D00" w:rsidP="00E751CF">
            <w:pPr>
              <w:jc w:val="both"/>
              <w:rPr>
                <w:rFonts w:ascii="Titillium" w:hAnsi="Titillium"/>
                <w:sz w:val="22"/>
                <w:szCs w:val="22"/>
              </w:rPr>
            </w:pPr>
          </w:p>
          <w:p w14:paraId="79FB261B" w14:textId="77777777" w:rsidR="00FF4D00" w:rsidRPr="00FF4D00" w:rsidRDefault="00FF4D00" w:rsidP="00FF4D00">
            <w:pPr>
              <w:numPr>
                <w:ilvl w:val="0"/>
                <w:numId w:val="27"/>
              </w:numPr>
              <w:overflowPunct w:val="0"/>
              <w:autoSpaceDE w:val="0"/>
              <w:autoSpaceDN w:val="0"/>
              <w:adjustRightInd w:val="0"/>
              <w:jc w:val="both"/>
              <w:textAlignment w:val="baseline"/>
              <w:rPr>
                <w:rFonts w:ascii="Titillium" w:hAnsi="Titillium"/>
                <w:sz w:val="22"/>
                <w:szCs w:val="22"/>
              </w:rPr>
            </w:pPr>
            <w:r w:rsidRPr="00FF4D00">
              <w:rPr>
                <w:rFonts w:ascii="Titillium" w:hAnsi="Titillium"/>
                <w:sz w:val="22"/>
                <w:szCs w:val="22"/>
              </w:rPr>
              <w:t>5pm to 9pm normal working weekdays</w:t>
            </w:r>
          </w:p>
          <w:p w14:paraId="32F1D9B6" w14:textId="148C4395" w:rsidR="00FF4D00" w:rsidRPr="00FF4D00" w:rsidRDefault="00656D16" w:rsidP="00FF4D00">
            <w:pPr>
              <w:numPr>
                <w:ilvl w:val="0"/>
                <w:numId w:val="27"/>
              </w:numPr>
              <w:overflowPunct w:val="0"/>
              <w:autoSpaceDE w:val="0"/>
              <w:autoSpaceDN w:val="0"/>
              <w:adjustRightInd w:val="0"/>
              <w:jc w:val="both"/>
              <w:textAlignment w:val="baseline"/>
              <w:rPr>
                <w:rFonts w:ascii="Titillium" w:hAnsi="Titillium"/>
                <w:sz w:val="22"/>
                <w:szCs w:val="22"/>
              </w:rPr>
            </w:pPr>
            <w:r>
              <w:rPr>
                <w:rFonts w:ascii="Titillium" w:hAnsi="Titillium"/>
                <w:sz w:val="22"/>
                <w:szCs w:val="22"/>
              </w:rPr>
              <w:t>9</w:t>
            </w:r>
            <w:r w:rsidR="00FF4D00" w:rsidRPr="00FF4D00">
              <w:rPr>
                <w:rFonts w:ascii="Titillium" w:hAnsi="Titillium"/>
                <w:sz w:val="22"/>
                <w:szCs w:val="22"/>
              </w:rPr>
              <w:t>am to 5pm weekends and public holidays</w:t>
            </w:r>
          </w:p>
          <w:p w14:paraId="0339F75C" w14:textId="77777777" w:rsidR="00FF4D00" w:rsidRPr="00FF4D00" w:rsidRDefault="00FF4D00" w:rsidP="00E751CF">
            <w:pPr>
              <w:jc w:val="both"/>
              <w:rPr>
                <w:rFonts w:ascii="Titillium" w:hAnsi="Titillium"/>
                <w:sz w:val="22"/>
                <w:szCs w:val="22"/>
              </w:rPr>
            </w:pPr>
          </w:p>
        </w:tc>
      </w:tr>
      <w:tr w:rsidR="00FF4D00" w:rsidRPr="00FF4D00" w14:paraId="7CE141E5" w14:textId="77777777" w:rsidTr="00E751CF">
        <w:tc>
          <w:tcPr>
            <w:tcW w:w="2660" w:type="dxa"/>
          </w:tcPr>
          <w:p w14:paraId="7CC6FEBD" w14:textId="77777777" w:rsidR="00FF4D00" w:rsidRPr="00FF4D00" w:rsidRDefault="00FF4D00" w:rsidP="00E751CF">
            <w:pPr>
              <w:jc w:val="both"/>
              <w:rPr>
                <w:rFonts w:ascii="Titillium" w:hAnsi="Titillium"/>
                <w:sz w:val="22"/>
                <w:szCs w:val="22"/>
              </w:rPr>
            </w:pPr>
          </w:p>
        </w:tc>
        <w:tc>
          <w:tcPr>
            <w:tcW w:w="5812" w:type="dxa"/>
          </w:tcPr>
          <w:p w14:paraId="792789E0" w14:textId="77777777" w:rsidR="00FF4D00" w:rsidRPr="00FF4D00" w:rsidRDefault="00FF4D00" w:rsidP="00E751CF">
            <w:pPr>
              <w:jc w:val="both"/>
              <w:rPr>
                <w:rFonts w:ascii="Titillium" w:hAnsi="Titillium"/>
                <w:sz w:val="22"/>
                <w:szCs w:val="22"/>
              </w:rPr>
            </w:pPr>
          </w:p>
        </w:tc>
      </w:tr>
    </w:tbl>
    <w:p w14:paraId="2A28B17E" w14:textId="77777777" w:rsidR="00FF4D00" w:rsidRPr="00FF4D00" w:rsidRDefault="00FF4D00" w:rsidP="00FF4D00">
      <w:pPr>
        <w:jc w:val="both"/>
        <w:rPr>
          <w:rFonts w:ascii="Titillium" w:hAnsi="Titillium"/>
          <w:noProof/>
          <w:sz w:val="22"/>
          <w:szCs w:val="22"/>
          <w:lang w:eastAsia="en-GB"/>
        </w:rPr>
      </w:pPr>
    </w:p>
    <w:sectPr w:rsidR="00FF4D00" w:rsidRPr="00FF4D00" w:rsidSect="00C12DB8">
      <w:headerReference w:type="even" r:id="rId11"/>
      <w:headerReference w:type="default" r:id="rId12"/>
      <w:footerReference w:type="even" r:id="rId13"/>
      <w:footerReference w:type="default" r:id="rId14"/>
      <w:headerReference w:type="first" r:id="rId15"/>
      <w:type w:val="continuous"/>
      <w:pgSz w:w="11900" w:h="16820"/>
      <w:pgMar w:top="1985" w:right="1134" w:bottom="1701" w:left="1134" w:header="0" w:footer="0" w:gutter="0"/>
      <w:pgNumType w:start="1"/>
      <w:cols w:sep="1"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1F9173" w14:textId="77777777" w:rsidR="00814D7F" w:rsidRDefault="00814D7F" w:rsidP="00EC31D5">
      <w:r>
        <w:separator/>
      </w:r>
    </w:p>
    <w:p w14:paraId="4E1BDE7D" w14:textId="77777777" w:rsidR="00814D7F" w:rsidRDefault="00814D7F"/>
    <w:p w14:paraId="1E3348F7" w14:textId="77777777" w:rsidR="00814D7F" w:rsidRDefault="00814D7F" w:rsidP="00E2701B"/>
  </w:endnote>
  <w:endnote w:type="continuationSeparator" w:id="0">
    <w:p w14:paraId="27E2041E" w14:textId="77777777" w:rsidR="00814D7F" w:rsidRDefault="00814D7F" w:rsidP="00EC31D5">
      <w:r>
        <w:continuationSeparator/>
      </w:r>
    </w:p>
    <w:p w14:paraId="24C4B8F5" w14:textId="77777777" w:rsidR="00814D7F" w:rsidRDefault="00814D7F"/>
    <w:p w14:paraId="29F8627A" w14:textId="77777777" w:rsidR="00814D7F" w:rsidRDefault="00814D7F" w:rsidP="00E270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tillium">
    <w:panose1 w:val="00000500000000000000"/>
    <w:charset w:val="00"/>
    <w:family w:val="modern"/>
    <w:notTrueType/>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tillium-Semibold">
    <w:altName w:val="Titillium"/>
    <w:panose1 w:val="00000000000000000000"/>
    <w:charset w:val="4D"/>
    <w:family w:val="auto"/>
    <w:notTrueType/>
    <w:pitch w:val="variable"/>
    <w:sig w:usb0="00000007" w:usb1="00000001" w:usb2="00000000" w:usb3="00000000" w:csb0="00000093" w:csb1="00000000"/>
  </w:font>
  <w:font w:name="Lucida Grande">
    <w:charset w:val="00"/>
    <w:family w:val="swiss"/>
    <w:pitch w:val="variable"/>
    <w:sig w:usb0="E1000AEF" w:usb1="5000A1FF" w:usb2="00000000" w:usb3="00000000" w:csb0="000001BF" w:csb1="00000000"/>
  </w:font>
  <w:font w:name="Helvetica 45 Light">
    <w:charset w:val="00"/>
    <w:family w:val="swiss"/>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26395625"/>
      <w:docPartObj>
        <w:docPartGallery w:val="Page Numbers (Bottom of Page)"/>
        <w:docPartUnique/>
      </w:docPartObj>
    </w:sdtPr>
    <w:sdtContent>
      <w:p w14:paraId="3509FDE5" w14:textId="3F1FD786" w:rsidR="00064BDC" w:rsidRDefault="00064BDC" w:rsidP="00EE260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11B462" w14:textId="77777777" w:rsidR="00064BDC" w:rsidRDefault="00064BDC" w:rsidP="00064BDC">
    <w:pPr>
      <w:pStyle w:val="Footer"/>
      <w:ind w:right="360"/>
    </w:pPr>
  </w:p>
  <w:p w14:paraId="2838A0B1" w14:textId="77777777" w:rsidR="00E03BF4" w:rsidRDefault="00E03BF4"/>
  <w:p w14:paraId="22B98D81" w14:textId="77777777" w:rsidR="00E03BF4" w:rsidRDefault="00E03BF4" w:rsidP="00E2701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53006551"/>
      <w:docPartObj>
        <w:docPartGallery w:val="Page Numbers (Bottom of Page)"/>
        <w:docPartUnique/>
      </w:docPartObj>
    </w:sdtPr>
    <w:sdtEndPr>
      <w:rPr>
        <w:rStyle w:val="PageNumber"/>
        <w:rFonts w:ascii="Titillium" w:hAnsi="Titillium"/>
        <w:sz w:val="21"/>
        <w:szCs w:val="21"/>
      </w:rPr>
    </w:sdtEndPr>
    <w:sdtContent>
      <w:p w14:paraId="06998160" w14:textId="06190553" w:rsidR="00064BDC" w:rsidRPr="00064BDC" w:rsidRDefault="00064BDC" w:rsidP="00064BDC">
        <w:pPr>
          <w:pStyle w:val="Footer"/>
          <w:framePr w:wrap="none" w:vAnchor="text" w:hAnchor="page" w:x="10647" w:y="7"/>
          <w:rPr>
            <w:rStyle w:val="PageNumber"/>
            <w:rFonts w:ascii="Titillium" w:hAnsi="Titillium"/>
            <w:color w:val="859EA4"/>
            <w:sz w:val="21"/>
            <w:szCs w:val="21"/>
          </w:rPr>
        </w:pPr>
        <w:r w:rsidRPr="00E2701B">
          <w:rPr>
            <w:rStyle w:val="PageNumber"/>
            <w:rFonts w:ascii="Titillium" w:hAnsi="Titillium"/>
            <w:sz w:val="21"/>
            <w:szCs w:val="21"/>
          </w:rPr>
          <w:fldChar w:fldCharType="begin"/>
        </w:r>
        <w:r w:rsidRPr="00E2701B">
          <w:rPr>
            <w:rStyle w:val="PageNumber"/>
            <w:rFonts w:ascii="Titillium" w:hAnsi="Titillium"/>
            <w:sz w:val="21"/>
            <w:szCs w:val="21"/>
          </w:rPr>
          <w:instrText xml:space="preserve"> PAGE </w:instrText>
        </w:r>
        <w:r w:rsidRPr="00E2701B">
          <w:rPr>
            <w:rStyle w:val="PageNumber"/>
            <w:rFonts w:ascii="Titillium" w:hAnsi="Titillium"/>
            <w:sz w:val="21"/>
            <w:szCs w:val="21"/>
          </w:rPr>
          <w:fldChar w:fldCharType="separate"/>
        </w:r>
        <w:r w:rsidRPr="00E2701B">
          <w:rPr>
            <w:rStyle w:val="PageNumber"/>
            <w:rFonts w:ascii="Titillium" w:hAnsi="Titillium"/>
            <w:noProof/>
            <w:sz w:val="21"/>
            <w:szCs w:val="21"/>
          </w:rPr>
          <w:t>1</w:t>
        </w:r>
        <w:r w:rsidRPr="00E2701B">
          <w:rPr>
            <w:rStyle w:val="PageNumber"/>
            <w:rFonts w:ascii="Titillium" w:hAnsi="Titillium"/>
            <w:sz w:val="21"/>
            <w:szCs w:val="21"/>
          </w:rPr>
          <w:fldChar w:fldCharType="end"/>
        </w:r>
      </w:p>
    </w:sdtContent>
  </w:sdt>
  <w:p w14:paraId="102BF2DC" w14:textId="589EB1AC" w:rsidR="005D14A3" w:rsidRPr="00582850" w:rsidRDefault="00064BDC" w:rsidP="00064BDC">
    <w:pPr>
      <w:pStyle w:val="Footer"/>
      <w:ind w:right="360"/>
      <w:jc w:val="center"/>
      <w:rPr>
        <w:rFonts w:ascii="Titillium" w:hAnsi="Titillium"/>
        <w:caps/>
        <w:noProof/>
        <w:sz w:val="22"/>
        <w:szCs w:val="22"/>
      </w:rPr>
    </w:pPr>
    <w:r>
      <w:rPr>
        <w:rFonts w:ascii="Titillium" w:hAnsi="Titillium"/>
        <w:caps/>
        <w:noProof/>
        <w:sz w:val="22"/>
        <w:szCs w:val="22"/>
      </w:rPr>
      <mc:AlternateContent>
        <mc:Choice Requires="wps">
          <w:drawing>
            <wp:inline distT="0" distB="0" distL="0" distR="0" wp14:anchorId="5B12F710" wp14:editId="7B7AF8E0">
              <wp:extent cx="6273165" cy="349321"/>
              <wp:effectExtent l="0" t="0" r="0" b="0"/>
              <wp:docPr id="16" name="Text Box 16"/>
              <wp:cNvGraphicFramePr/>
              <a:graphic xmlns:a="http://schemas.openxmlformats.org/drawingml/2006/main">
                <a:graphicData uri="http://schemas.microsoft.com/office/word/2010/wordprocessingShape">
                  <wps:wsp>
                    <wps:cNvSpPr txBox="1"/>
                    <wps:spPr>
                      <a:xfrm>
                        <a:off x="0" y="0"/>
                        <a:ext cx="6273165" cy="349321"/>
                      </a:xfrm>
                      <a:prstGeom prst="rect">
                        <a:avLst/>
                      </a:prstGeom>
                      <a:noFill/>
                      <a:ln w="6350">
                        <a:noFill/>
                      </a:ln>
                    </wps:spPr>
                    <wps:txbx>
                      <w:txbxContent>
                        <w:p w14:paraId="131E7096" w14:textId="2DFDAA48" w:rsidR="00064BDC" w:rsidRPr="00064BDC" w:rsidRDefault="00FF4D00">
                          <w:pPr>
                            <w:rPr>
                              <w:color w:val="859EA4"/>
                            </w:rPr>
                          </w:pPr>
                          <w:r w:rsidRPr="00FF4D00">
                            <w:rPr>
                              <w:rFonts w:ascii="Titillium" w:hAnsi="Titillium"/>
                              <w:b/>
                              <w:bCs/>
                              <w:i/>
                              <w:iCs/>
                              <w:color w:val="5F5F5F" w:themeColor="accent5"/>
                              <w:sz w:val="21"/>
                              <w:szCs w:val="21"/>
                            </w:rPr>
                            <w:t xml:space="preserve">Stand By </w:t>
                          </w:r>
                          <w:r w:rsidR="00C12DB8">
                            <w:rPr>
                              <w:rFonts w:ascii="Titillium" w:hAnsi="Titillium"/>
                              <w:b/>
                              <w:bCs/>
                              <w:i/>
                              <w:iCs/>
                              <w:color w:val="5F5F5F" w:themeColor="accent5"/>
                              <w:sz w:val="21"/>
                              <w:szCs w:val="21"/>
                            </w:rPr>
                            <w:t>a</w:t>
                          </w:r>
                          <w:r w:rsidRPr="00FF4D00">
                            <w:rPr>
                              <w:rFonts w:ascii="Titillium" w:hAnsi="Titillium"/>
                              <w:b/>
                              <w:bCs/>
                              <w:i/>
                              <w:iCs/>
                              <w:color w:val="5F5F5F" w:themeColor="accent5"/>
                              <w:sz w:val="21"/>
                              <w:szCs w:val="21"/>
                            </w:rPr>
                            <w:t>nd Call Out Payments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B12F710" id="_x0000_t202" coordsize="21600,21600" o:spt="202" path="m,l,21600r21600,l21600,xe">
              <v:stroke joinstyle="miter"/>
              <v:path gradientshapeok="t" o:connecttype="rect"/>
            </v:shapetype>
            <v:shape id="Text Box 16" o:spid="_x0000_s1026" type="#_x0000_t202" style="width:493.95pt;height: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" filled="f" stroked="f" strokeweight=".5pt">
              <v:textbox>
                <w:txbxContent>
                  <w:p w14:paraId="131E7096" w14:textId="2DFDAA48" w:rsidR="00064BDC" w:rsidRPr="00064BDC" w:rsidRDefault="00FF4D00">
                    <w:pPr>
                      <w:rPr>
                        <w:color w:val="859EA4"/>
                      </w:rPr>
                    </w:pPr>
                    <w:r w:rsidRPr="00FF4D00">
                      <w:rPr>
                        <w:rFonts w:ascii="Titillium" w:hAnsi="Titillium"/>
                        <w:b/>
                        <w:bCs/>
                        <w:i/>
                        <w:iCs/>
                        <w:color w:val="5F5F5F" w:themeColor="accent5"/>
                        <w:sz w:val="21"/>
                        <w:szCs w:val="21"/>
                      </w:rPr>
                      <w:t xml:space="preserve">Stand By </w:t>
                    </w:r>
                    <w:r w:rsidR="00C12DB8">
                      <w:rPr>
                        <w:rFonts w:ascii="Titillium" w:hAnsi="Titillium"/>
                        <w:b/>
                        <w:bCs/>
                        <w:i/>
                        <w:iCs/>
                        <w:color w:val="5F5F5F" w:themeColor="accent5"/>
                        <w:sz w:val="21"/>
                        <w:szCs w:val="21"/>
                      </w:rPr>
                      <w:t>a</w:t>
                    </w:r>
                    <w:r w:rsidRPr="00FF4D00">
                      <w:rPr>
                        <w:rFonts w:ascii="Titillium" w:hAnsi="Titillium"/>
                        <w:b/>
                        <w:bCs/>
                        <w:i/>
                        <w:iCs/>
                        <w:color w:val="5F5F5F" w:themeColor="accent5"/>
                        <w:sz w:val="21"/>
                        <w:szCs w:val="21"/>
                      </w:rPr>
                      <w:t>nd Call Out Payments Policy</w:t>
                    </w:r>
                  </w:p>
                </w:txbxContent>
              </v:textbox>
              <w10:anchorlock/>
            </v:shape>
          </w:pict>
        </mc:Fallback>
      </mc:AlternateContent>
    </w:r>
  </w:p>
  <w:p w14:paraId="2F969384" w14:textId="77777777" w:rsidR="005D14A3" w:rsidRDefault="005D14A3">
    <w:pPr>
      <w:pStyle w:val="Footer"/>
    </w:pPr>
  </w:p>
  <w:p w14:paraId="1279B881" w14:textId="77777777" w:rsidR="00E03BF4" w:rsidRDefault="00E03BF4"/>
  <w:p w14:paraId="159EE0A6" w14:textId="77777777" w:rsidR="00E03BF4" w:rsidRDefault="00E03BF4" w:rsidP="00E270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7D98EB" w14:textId="77777777" w:rsidR="00814D7F" w:rsidRDefault="00814D7F" w:rsidP="00EC31D5">
      <w:r>
        <w:separator/>
      </w:r>
    </w:p>
    <w:p w14:paraId="38604C82" w14:textId="77777777" w:rsidR="00814D7F" w:rsidRDefault="00814D7F"/>
    <w:p w14:paraId="6163E899" w14:textId="77777777" w:rsidR="00814D7F" w:rsidRDefault="00814D7F" w:rsidP="00E2701B"/>
  </w:footnote>
  <w:footnote w:type="continuationSeparator" w:id="0">
    <w:p w14:paraId="19E0A294" w14:textId="77777777" w:rsidR="00814D7F" w:rsidRDefault="00814D7F" w:rsidP="00EC31D5">
      <w:r>
        <w:continuationSeparator/>
      </w:r>
    </w:p>
    <w:p w14:paraId="59C9D205" w14:textId="77777777" w:rsidR="00814D7F" w:rsidRDefault="00814D7F"/>
    <w:p w14:paraId="2E8AE3E2" w14:textId="77777777" w:rsidR="00814D7F" w:rsidRDefault="00814D7F" w:rsidP="00E270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C16B1" w14:textId="77777777" w:rsidR="005D14A3" w:rsidRDefault="00000000">
    <w:pPr>
      <w:pStyle w:val="Header"/>
    </w:pPr>
    <w:sdt>
      <w:sdtPr>
        <w:id w:val="196288142"/>
        <w:placeholder>
          <w:docPart w:val="3F2B03ACD5DCCB409DA6B025703A710A"/>
        </w:placeholder>
        <w:temporary/>
        <w:showingPlcHdr/>
      </w:sdtPr>
      <w:sdtContent>
        <w:r w:rsidR="005D14A3">
          <w:t>[Type text]</w:t>
        </w:r>
      </w:sdtContent>
    </w:sdt>
    <w:r w:rsidR="005D14A3">
      <w:ptab w:relativeTo="margin" w:alignment="center" w:leader="none"/>
    </w:r>
    <w:sdt>
      <w:sdtPr>
        <w:id w:val="1926532305"/>
        <w:placeholder>
          <w:docPart w:val="CFACCB42C3B3404CAA11B9BB648C050E"/>
        </w:placeholder>
        <w:temporary/>
        <w:showingPlcHdr/>
      </w:sdtPr>
      <w:sdtContent>
        <w:r w:rsidR="005D14A3">
          <w:t>[Type text]</w:t>
        </w:r>
      </w:sdtContent>
    </w:sdt>
    <w:r w:rsidR="005D14A3">
      <w:ptab w:relativeTo="margin" w:alignment="right" w:leader="none"/>
    </w:r>
    <w:sdt>
      <w:sdtPr>
        <w:id w:val="-1643106329"/>
        <w:placeholder>
          <w:docPart w:val="EAB493A49408F545AC98EEFF5D8D7889"/>
        </w:placeholder>
        <w:temporary/>
        <w:showingPlcHdr/>
      </w:sdtPr>
      <w:sdtContent>
        <w:r w:rsidR="005D14A3">
          <w:t>[Type text]</w:t>
        </w:r>
      </w:sdtContent>
    </w:sdt>
  </w:p>
  <w:p w14:paraId="3C7F53CD" w14:textId="77777777" w:rsidR="005D14A3" w:rsidRDefault="005D14A3">
    <w:pPr>
      <w:pStyle w:val="Header"/>
    </w:pPr>
  </w:p>
  <w:p w14:paraId="173418AB" w14:textId="77777777" w:rsidR="00E03BF4" w:rsidRDefault="00E03BF4"/>
  <w:p w14:paraId="21E03F7A" w14:textId="77777777" w:rsidR="00E03BF4" w:rsidRDefault="00E03BF4" w:rsidP="00E2701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3CA18" w14:textId="28A3CD30" w:rsidR="005D14A3" w:rsidRPr="00640328" w:rsidRDefault="00C12DB8" w:rsidP="00640328">
    <w:pPr>
      <w:pStyle w:val="Header"/>
      <w:rPr>
        <w:rFonts w:ascii="Titillium" w:hAnsi="Titillium"/>
        <w:color w:val="FFFFFF" w:themeColor="background1"/>
        <w:sz w:val="40"/>
        <w:szCs w:val="40"/>
      </w:rPr>
    </w:pPr>
    <w:r>
      <w:rPr>
        <w:rFonts w:ascii="Titillium" w:hAnsi="Titillium"/>
        <w:noProof/>
        <w:color w:val="FFFFFF" w:themeColor="background1"/>
        <w:sz w:val="40"/>
        <w:szCs w:val="40"/>
        <w:lang w:eastAsia="en-GB"/>
      </w:rPr>
      <w:drawing>
        <wp:anchor distT="0" distB="0" distL="114300" distR="114300" simplePos="0" relativeHeight="251672576" behindDoc="1" locked="0" layoutInCell="1" allowOverlap="1" wp14:anchorId="2F0367A8" wp14:editId="25441D14">
          <wp:simplePos x="0" y="0"/>
          <wp:positionH relativeFrom="column">
            <wp:posOffset>-723522</wp:posOffset>
          </wp:positionH>
          <wp:positionV relativeFrom="paragraph">
            <wp:posOffset>0</wp:posOffset>
          </wp:positionV>
          <wp:extent cx="7564539" cy="750014"/>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7564539" cy="750014"/>
                  </a:xfrm>
                  <a:prstGeom prst="rect">
                    <a:avLst/>
                  </a:prstGeom>
                </pic:spPr>
              </pic:pic>
            </a:graphicData>
          </a:graphic>
          <wp14:sizeRelH relativeFrom="page">
            <wp14:pctWidth>0</wp14:pctWidth>
          </wp14:sizeRelH>
          <wp14:sizeRelV relativeFrom="page">
            <wp14:pctHeight>0</wp14:pctHeight>
          </wp14:sizeRelV>
        </wp:anchor>
      </w:drawing>
    </w:r>
    <w:r w:rsidR="009A7DEC">
      <w:rPr>
        <w:rFonts w:ascii="Titillium" w:hAnsi="Titillium"/>
        <w:noProof/>
        <w:color w:val="FFFFFF" w:themeColor="background1"/>
        <w:sz w:val="40"/>
        <w:szCs w:val="40"/>
      </w:rPr>
      <w:drawing>
        <wp:anchor distT="0" distB="0" distL="114300" distR="114300" simplePos="0" relativeHeight="251663360" behindDoc="1" locked="0" layoutInCell="1" allowOverlap="1" wp14:anchorId="5FE62397" wp14:editId="0E09CA55">
          <wp:simplePos x="0" y="0"/>
          <wp:positionH relativeFrom="column">
            <wp:posOffset>-720091</wp:posOffset>
          </wp:positionH>
          <wp:positionV relativeFrom="paragraph">
            <wp:posOffset>-781571</wp:posOffset>
          </wp:positionV>
          <wp:extent cx="7564539" cy="750014"/>
          <wp:effectExtent l="0" t="0" r="508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stretch>
                    <a:fillRect/>
                  </a:stretch>
                </pic:blipFill>
                <pic:spPr>
                  <a:xfrm>
                    <a:off x="0" y="0"/>
                    <a:ext cx="7564539" cy="750014"/>
                  </a:xfrm>
                  <a:prstGeom prst="rect">
                    <a:avLst/>
                  </a:prstGeom>
                </pic:spPr>
              </pic:pic>
            </a:graphicData>
          </a:graphic>
          <wp14:sizeRelH relativeFrom="page">
            <wp14:pctWidth>0</wp14:pctWidth>
          </wp14:sizeRelH>
          <wp14:sizeRelV relativeFrom="page">
            <wp14:pctHeight>0</wp14:pctHeight>
          </wp14:sizeRelV>
        </wp:anchor>
      </w:drawing>
    </w:r>
    <w:r w:rsidR="005D14A3" w:rsidRPr="00054539">
      <w:rPr>
        <w:noProof/>
        <w:lang w:eastAsia="en-GB"/>
      </w:rPr>
      <w:t xml:space="preserve"> </w:t>
    </w:r>
  </w:p>
  <w:p w14:paraId="66FF6D09" w14:textId="32215B5A" w:rsidR="005D14A3" w:rsidRDefault="005D14A3" w:rsidP="009D06B5">
    <w:pPr>
      <w:pStyle w:val="Header"/>
    </w:pPr>
  </w:p>
  <w:p w14:paraId="20239B7F" w14:textId="77777777" w:rsidR="00E03BF4" w:rsidRDefault="00E03BF4"/>
  <w:p w14:paraId="2BCB647F" w14:textId="77777777" w:rsidR="00E03BF4" w:rsidRDefault="00E03BF4" w:rsidP="00E2701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0E8CF" w14:textId="7AF06B77" w:rsidR="005D14A3" w:rsidRDefault="00C12DB8" w:rsidP="00083BD3">
    <w:pPr>
      <w:pStyle w:val="Header"/>
    </w:pPr>
    <w:r>
      <w:rPr>
        <w:noProof/>
      </w:rPr>
      <mc:AlternateContent>
        <mc:Choice Requires="wps">
          <w:drawing>
            <wp:anchor distT="45720" distB="45720" distL="114300" distR="114300" simplePos="0" relativeHeight="251670528" behindDoc="0" locked="0" layoutInCell="1" allowOverlap="1" wp14:anchorId="7457AD9D" wp14:editId="108AB7DF">
              <wp:simplePos x="0" y="0"/>
              <wp:positionH relativeFrom="column">
                <wp:posOffset>-701040</wp:posOffset>
              </wp:positionH>
              <wp:positionV relativeFrom="paragraph">
                <wp:posOffset>971550</wp:posOffset>
              </wp:positionV>
              <wp:extent cx="751522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5225" cy="1404620"/>
                      </a:xfrm>
                      <a:prstGeom prst="rect">
                        <a:avLst/>
                      </a:prstGeom>
                      <a:noFill/>
                      <a:ln w="9525">
                        <a:noFill/>
                        <a:miter lim="800000"/>
                        <a:headEnd/>
                        <a:tailEnd/>
                      </a:ln>
                    </wps:spPr>
                    <wps:txbx>
                      <w:txbxContent>
                        <w:p w14:paraId="2CD2E64D" w14:textId="77777777" w:rsidR="00C12DB8" w:rsidRPr="00C12DB8" w:rsidRDefault="00C12DB8" w:rsidP="00C12DB8">
                          <w:pPr>
                            <w:jc w:val="center"/>
                            <w:rPr>
                              <w:noProof/>
                              <w:sz w:val="36"/>
                              <w:szCs w:val="36"/>
                              <w:lang w:eastAsia="en-GB"/>
                            </w:rPr>
                          </w:pPr>
                          <w:r w:rsidRPr="00C12DB8">
                            <w:rPr>
                              <w:rFonts w:ascii="Titillium" w:hAnsi="Titillium"/>
                              <w:b/>
                              <w:bCs/>
                              <w:noProof/>
                              <w:sz w:val="36"/>
                              <w:szCs w:val="36"/>
                              <w:lang w:eastAsia="en-GB"/>
                            </w:rPr>
                            <w:t>Stand By and Call Out Payments Policy</w:t>
                          </w:r>
                        </w:p>
                        <w:p w14:paraId="17B3B368" w14:textId="3F61FA7A" w:rsidR="00C12DB8" w:rsidRDefault="00C12DB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57AD9D" id="_x0000_t202" coordsize="21600,21600" o:spt="202" path="m,l,21600r21600,l21600,xe">
              <v:stroke joinstyle="miter"/>
              <v:path gradientshapeok="t" o:connecttype="rect"/>
            </v:shapetype>
            <v:shape id="Text Box 2" o:spid="_x0000_s1027" type="#_x0000_t202" style="position:absolute;margin-left:-55.2pt;margin-top:76.5pt;width:591.7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" filled="f" stroked="f">
              <v:textbox style="mso-fit-shape-to-text:t">
                <w:txbxContent>
                  <w:p w14:paraId="2CD2E64D" w14:textId="77777777" w:rsidR="00C12DB8" w:rsidRPr="00C12DB8" w:rsidRDefault="00C12DB8" w:rsidP="00C12DB8">
                    <w:pPr>
                      <w:jc w:val="center"/>
                      <w:rPr>
                        <w:noProof/>
                        <w:sz w:val="36"/>
                        <w:szCs w:val="36"/>
                        <w:lang w:eastAsia="en-GB"/>
                      </w:rPr>
                    </w:pPr>
                    <w:r w:rsidRPr="00C12DB8">
                      <w:rPr>
                        <w:rFonts w:ascii="Titillium" w:hAnsi="Titillium"/>
                        <w:b/>
                        <w:bCs/>
                        <w:noProof/>
                        <w:sz w:val="36"/>
                        <w:szCs w:val="36"/>
                        <w:lang w:eastAsia="en-GB"/>
                      </w:rPr>
                      <w:t>Stand By and Call Out Payments Policy</w:t>
                    </w:r>
                  </w:p>
                  <w:p w14:paraId="17B3B368" w14:textId="3F61FA7A" w:rsidR="00C12DB8" w:rsidRDefault="00C12DB8"/>
                </w:txbxContent>
              </v:textbox>
              <w10:wrap type="square"/>
            </v:shape>
          </w:pict>
        </mc:Fallback>
      </mc:AlternateContent>
    </w:r>
    <w:r>
      <w:rPr>
        <w:noProof/>
        <w:lang w:eastAsia="en-GB"/>
      </w:rPr>
      <w:drawing>
        <wp:anchor distT="0" distB="0" distL="114300" distR="114300" simplePos="0" relativeHeight="251668480" behindDoc="1" locked="0" layoutInCell="1" allowOverlap="1" wp14:anchorId="4C98E2B3" wp14:editId="01C22B62">
          <wp:simplePos x="0" y="0"/>
          <wp:positionH relativeFrom="column">
            <wp:posOffset>-704850</wp:posOffset>
          </wp:positionH>
          <wp:positionV relativeFrom="paragraph">
            <wp:posOffset>44</wp:posOffset>
          </wp:positionV>
          <wp:extent cx="7566246" cy="1533525"/>
          <wp:effectExtent l="0" t="0" r="0" b="0"/>
          <wp:wrapNone/>
          <wp:docPr id="4" name="Picture 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
                  <a:stretch>
                    <a:fillRect/>
                  </a:stretch>
                </pic:blipFill>
                <pic:spPr>
                  <a:xfrm>
                    <a:off x="0" y="0"/>
                    <a:ext cx="7566246" cy="15335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85" type="#_x0000_t75" style="width:1040.8pt;height:1040.8pt" o:bullet="t">
        <v:imagedata r:id="rId1" o:title="Tick-01"/>
      </v:shape>
    </w:pict>
  </w:numPicBullet>
  <w:abstractNum w:abstractNumId="0" w15:restartNumberingAfterBreak="0">
    <w:nsid w:val="015C5627"/>
    <w:multiLevelType w:val="hybridMultilevel"/>
    <w:tmpl w:val="BDD65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5743F8"/>
    <w:multiLevelType w:val="hybridMultilevel"/>
    <w:tmpl w:val="94109C7A"/>
    <w:lvl w:ilvl="0" w:tplc="31363C20">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4C39BD"/>
    <w:multiLevelType w:val="hybridMultilevel"/>
    <w:tmpl w:val="3B0EF44E"/>
    <w:lvl w:ilvl="0" w:tplc="EF88C05A">
      <w:start w:val="1"/>
      <w:numFmt w:val="decimal"/>
      <w:pStyle w:val="ContentsPagesNumber"/>
      <w:lvlText w:val="%1."/>
      <w:lvlJc w:val="left"/>
      <w:pPr>
        <w:ind w:left="678" w:hanging="360"/>
      </w:pPr>
      <w:rPr>
        <w:rFonts w:ascii="Titillium" w:hAnsi="Titillium" w:hint="default"/>
        <w:color w:val="auto"/>
      </w:rPr>
    </w:lvl>
    <w:lvl w:ilvl="1" w:tplc="08090019" w:tentative="1">
      <w:start w:val="1"/>
      <w:numFmt w:val="lowerLetter"/>
      <w:lvlText w:val="%2."/>
      <w:lvlJc w:val="left"/>
      <w:pPr>
        <w:ind w:left="1398" w:hanging="360"/>
      </w:pPr>
    </w:lvl>
    <w:lvl w:ilvl="2" w:tplc="0809001B" w:tentative="1">
      <w:start w:val="1"/>
      <w:numFmt w:val="lowerRoman"/>
      <w:lvlText w:val="%3."/>
      <w:lvlJc w:val="right"/>
      <w:pPr>
        <w:ind w:left="2118" w:hanging="180"/>
      </w:pPr>
    </w:lvl>
    <w:lvl w:ilvl="3" w:tplc="0809000F" w:tentative="1">
      <w:start w:val="1"/>
      <w:numFmt w:val="decimal"/>
      <w:lvlText w:val="%4."/>
      <w:lvlJc w:val="left"/>
      <w:pPr>
        <w:ind w:left="2838" w:hanging="360"/>
      </w:pPr>
    </w:lvl>
    <w:lvl w:ilvl="4" w:tplc="08090019" w:tentative="1">
      <w:start w:val="1"/>
      <w:numFmt w:val="lowerLetter"/>
      <w:lvlText w:val="%5."/>
      <w:lvlJc w:val="left"/>
      <w:pPr>
        <w:ind w:left="3558" w:hanging="360"/>
      </w:pPr>
    </w:lvl>
    <w:lvl w:ilvl="5" w:tplc="0809001B" w:tentative="1">
      <w:start w:val="1"/>
      <w:numFmt w:val="lowerRoman"/>
      <w:lvlText w:val="%6."/>
      <w:lvlJc w:val="right"/>
      <w:pPr>
        <w:ind w:left="4278" w:hanging="180"/>
      </w:pPr>
    </w:lvl>
    <w:lvl w:ilvl="6" w:tplc="0809000F" w:tentative="1">
      <w:start w:val="1"/>
      <w:numFmt w:val="decimal"/>
      <w:lvlText w:val="%7."/>
      <w:lvlJc w:val="left"/>
      <w:pPr>
        <w:ind w:left="4998" w:hanging="360"/>
      </w:pPr>
    </w:lvl>
    <w:lvl w:ilvl="7" w:tplc="08090019" w:tentative="1">
      <w:start w:val="1"/>
      <w:numFmt w:val="lowerLetter"/>
      <w:lvlText w:val="%8."/>
      <w:lvlJc w:val="left"/>
      <w:pPr>
        <w:ind w:left="5718" w:hanging="360"/>
      </w:pPr>
    </w:lvl>
    <w:lvl w:ilvl="8" w:tplc="0809001B" w:tentative="1">
      <w:start w:val="1"/>
      <w:numFmt w:val="lowerRoman"/>
      <w:lvlText w:val="%9."/>
      <w:lvlJc w:val="right"/>
      <w:pPr>
        <w:ind w:left="6438" w:hanging="180"/>
      </w:pPr>
    </w:lvl>
  </w:abstractNum>
  <w:abstractNum w:abstractNumId="3" w15:restartNumberingAfterBreak="0">
    <w:nsid w:val="257710BF"/>
    <w:multiLevelType w:val="hybridMultilevel"/>
    <w:tmpl w:val="59D4A5DA"/>
    <w:lvl w:ilvl="0" w:tplc="31363C20">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5705A9"/>
    <w:multiLevelType w:val="hybridMultilevel"/>
    <w:tmpl w:val="F03A659E"/>
    <w:lvl w:ilvl="0" w:tplc="31363C20">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C72CA4"/>
    <w:multiLevelType w:val="hybridMultilevel"/>
    <w:tmpl w:val="A3C2CB5A"/>
    <w:lvl w:ilvl="0" w:tplc="C76ABA8A">
      <w:start w:val="1"/>
      <w:numFmt w:val="bullet"/>
      <w:lvlText w:val=""/>
      <w:lvlPicBulletId w:val="0"/>
      <w:lvlJc w:val="left"/>
      <w:pPr>
        <w:ind w:left="1038" w:hanging="360"/>
      </w:pPr>
      <w:rPr>
        <w:rFonts w:ascii="Symbol" w:hAnsi="Symbol" w:hint="default"/>
        <w:color w:val="EE7249"/>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6" w15:restartNumberingAfterBreak="0">
    <w:nsid w:val="2D375EC8"/>
    <w:multiLevelType w:val="hybridMultilevel"/>
    <w:tmpl w:val="C5109BCE"/>
    <w:lvl w:ilvl="0" w:tplc="31363C20">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1A0C41"/>
    <w:multiLevelType w:val="hybridMultilevel"/>
    <w:tmpl w:val="7EFE6DCC"/>
    <w:lvl w:ilvl="0" w:tplc="31363C20">
      <w:start w:val="1"/>
      <w:numFmt w:val="bullet"/>
      <w:lvlText w:val=""/>
      <w:lvlPicBulletId w:val="0"/>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312937"/>
    <w:multiLevelType w:val="hybridMultilevel"/>
    <w:tmpl w:val="D7E4D09C"/>
    <w:lvl w:ilvl="0" w:tplc="31363C20">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A14371"/>
    <w:multiLevelType w:val="hybridMultilevel"/>
    <w:tmpl w:val="2F38D618"/>
    <w:lvl w:ilvl="0" w:tplc="31363C20">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9F3FF8"/>
    <w:multiLevelType w:val="hybridMultilevel"/>
    <w:tmpl w:val="E75A1430"/>
    <w:lvl w:ilvl="0" w:tplc="F9469C12">
      <w:start w:val="1"/>
      <w:numFmt w:val="bullet"/>
      <w:lvlText w:val=""/>
      <w:lvlPicBulletId w:val="0"/>
      <w:lvlJc w:val="left"/>
      <w:pPr>
        <w:ind w:left="754" w:hanging="360"/>
      </w:pPr>
      <w:rPr>
        <w:rFonts w:ascii="Symbol" w:hAnsi="Symbol" w:hint="default"/>
        <w:color w:val="EE7249"/>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1" w15:restartNumberingAfterBreak="0">
    <w:nsid w:val="44B76B3A"/>
    <w:multiLevelType w:val="hybridMultilevel"/>
    <w:tmpl w:val="A706022E"/>
    <w:lvl w:ilvl="0" w:tplc="31363C20">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C30C35"/>
    <w:multiLevelType w:val="hybridMultilevel"/>
    <w:tmpl w:val="E3944E90"/>
    <w:lvl w:ilvl="0" w:tplc="31363C20">
      <w:start w:val="1"/>
      <w:numFmt w:val="bullet"/>
      <w:lvlText w:val=""/>
      <w:lvlPicBulletId w:val="0"/>
      <w:lvlJc w:val="left"/>
      <w:pPr>
        <w:ind w:left="1184" w:hanging="360"/>
      </w:pPr>
      <w:rPr>
        <w:rFonts w:ascii="Symbol" w:hAnsi="Symbol" w:hint="default"/>
      </w:rPr>
    </w:lvl>
    <w:lvl w:ilvl="1" w:tplc="08090003" w:tentative="1">
      <w:start w:val="1"/>
      <w:numFmt w:val="bullet"/>
      <w:lvlText w:val="o"/>
      <w:lvlJc w:val="left"/>
      <w:pPr>
        <w:ind w:left="1904" w:hanging="360"/>
      </w:pPr>
      <w:rPr>
        <w:rFonts w:ascii="Courier New" w:hAnsi="Courier New" w:cs="Courier New" w:hint="default"/>
      </w:rPr>
    </w:lvl>
    <w:lvl w:ilvl="2" w:tplc="08090005" w:tentative="1">
      <w:start w:val="1"/>
      <w:numFmt w:val="bullet"/>
      <w:lvlText w:val=""/>
      <w:lvlJc w:val="left"/>
      <w:pPr>
        <w:ind w:left="2624" w:hanging="360"/>
      </w:pPr>
      <w:rPr>
        <w:rFonts w:ascii="Wingdings" w:hAnsi="Wingdings" w:hint="default"/>
      </w:rPr>
    </w:lvl>
    <w:lvl w:ilvl="3" w:tplc="08090001" w:tentative="1">
      <w:start w:val="1"/>
      <w:numFmt w:val="bullet"/>
      <w:lvlText w:val=""/>
      <w:lvlJc w:val="left"/>
      <w:pPr>
        <w:ind w:left="3344" w:hanging="360"/>
      </w:pPr>
      <w:rPr>
        <w:rFonts w:ascii="Symbol" w:hAnsi="Symbol" w:hint="default"/>
      </w:rPr>
    </w:lvl>
    <w:lvl w:ilvl="4" w:tplc="08090003" w:tentative="1">
      <w:start w:val="1"/>
      <w:numFmt w:val="bullet"/>
      <w:lvlText w:val="o"/>
      <w:lvlJc w:val="left"/>
      <w:pPr>
        <w:ind w:left="4064" w:hanging="360"/>
      </w:pPr>
      <w:rPr>
        <w:rFonts w:ascii="Courier New" w:hAnsi="Courier New" w:cs="Courier New" w:hint="default"/>
      </w:rPr>
    </w:lvl>
    <w:lvl w:ilvl="5" w:tplc="08090005" w:tentative="1">
      <w:start w:val="1"/>
      <w:numFmt w:val="bullet"/>
      <w:lvlText w:val=""/>
      <w:lvlJc w:val="left"/>
      <w:pPr>
        <w:ind w:left="4784" w:hanging="360"/>
      </w:pPr>
      <w:rPr>
        <w:rFonts w:ascii="Wingdings" w:hAnsi="Wingdings" w:hint="default"/>
      </w:rPr>
    </w:lvl>
    <w:lvl w:ilvl="6" w:tplc="08090001" w:tentative="1">
      <w:start w:val="1"/>
      <w:numFmt w:val="bullet"/>
      <w:lvlText w:val=""/>
      <w:lvlJc w:val="left"/>
      <w:pPr>
        <w:ind w:left="5504" w:hanging="360"/>
      </w:pPr>
      <w:rPr>
        <w:rFonts w:ascii="Symbol" w:hAnsi="Symbol" w:hint="default"/>
      </w:rPr>
    </w:lvl>
    <w:lvl w:ilvl="7" w:tplc="08090003" w:tentative="1">
      <w:start w:val="1"/>
      <w:numFmt w:val="bullet"/>
      <w:lvlText w:val="o"/>
      <w:lvlJc w:val="left"/>
      <w:pPr>
        <w:ind w:left="6224" w:hanging="360"/>
      </w:pPr>
      <w:rPr>
        <w:rFonts w:ascii="Courier New" w:hAnsi="Courier New" w:cs="Courier New" w:hint="default"/>
      </w:rPr>
    </w:lvl>
    <w:lvl w:ilvl="8" w:tplc="08090005" w:tentative="1">
      <w:start w:val="1"/>
      <w:numFmt w:val="bullet"/>
      <w:lvlText w:val=""/>
      <w:lvlJc w:val="left"/>
      <w:pPr>
        <w:ind w:left="6944" w:hanging="360"/>
      </w:pPr>
      <w:rPr>
        <w:rFonts w:ascii="Wingdings" w:hAnsi="Wingdings" w:hint="default"/>
      </w:rPr>
    </w:lvl>
  </w:abstractNum>
  <w:abstractNum w:abstractNumId="13" w15:restartNumberingAfterBreak="0">
    <w:nsid w:val="50D71C54"/>
    <w:multiLevelType w:val="hybridMultilevel"/>
    <w:tmpl w:val="427E6DDA"/>
    <w:lvl w:ilvl="0" w:tplc="31363C20">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965345"/>
    <w:multiLevelType w:val="hybridMultilevel"/>
    <w:tmpl w:val="AEC425A6"/>
    <w:lvl w:ilvl="0" w:tplc="31363C20">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B43F10"/>
    <w:multiLevelType w:val="hybridMultilevel"/>
    <w:tmpl w:val="F678DD68"/>
    <w:lvl w:ilvl="0" w:tplc="31363C20">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8511BA"/>
    <w:multiLevelType w:val="multilevel"/>
    <w:tmpl w:val="15BC4A00"/>
    <w:lvl w:ilvl="0">
      <w:start w:val="1"/>
      <w:numFmt w:val="decimal"/>
      <w:pStyle w:val="Heading2"/>
      <w:lvlText w:val="%1."/>
      <w:lvlJc w:val="left"/>
      <w:pPr>
        <w:ind w:left="360" w:firstLine="0"/>
      </w:pPr>
      <w:rPr>
        <w:rFonts w:ascii="Titillium" w:hAnsi="Titillium" w:hint="default"/>
        <w:sz w:val="32"/>
        <w:szCs w:val="32"/>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D2F2837"/>
    <w:multiLevelType w:val="hybridMultilevel"/>
    <w:tmpl w:val="D6A2AEB8"/>
    <w:lvl w:ilvl="0" w:tplc="74067E1E">
      <w:start w:val="1"/>
      <w:numFmt w:val="bullet"/>
      <w:lvlText w:val=""/>
      <w:lvlPicBulletId w:val="0"/>
      <w:lvlJc w:val="left"/>
      <w:pPr>
        <w:ind w:left="720" w:hanging="360"/>
      </w:pPr>
      <w:rPr>
        <w:rFonts w:ascii="Symbol" w:hAnsi="Symbol" w:hint="default"/>
        <w:color w:val="EE724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AD621C"/>
    <w:multiLevelType w:val="hybridMultilevel"/>
    <w:tmpl w:val="0EDC580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FC14872"/>
    <w:multiLevelType w:val="hybridMultilevel"/>
    <w:tmpl w:val="1116E2BA"/>
    <w:lvl w:ilvl="0" w:tplc="31363C20">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7A001E"/>
    <w:multiLevelType w:val="hybridMultilevel"/>
    <w:tmpl w:val="1FC41DD6"/>
    <w:lvl w:ilvl="0" w:tplc="1AE41346">
      <w:start w:val="1"/>
      <w:numFmt w:val="bullet"/>
      <w:lvlText w:val=""/>
      <w:lvlPicBulletId w:val="0"/>
      <w:lvlJc w:val="left"/>
      <w:pPr>
        <w:ind w:left="1038" w:hanging="360"/>
      </w:pPr>
      <w:rPr>
        <w:rFonts w:ascii="Symbol" w:hAnsi="Symbol" w:hint="default"/>
        <w:color w:val="EE7249"/>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21" w15:restartNumberingAfterBreak="0">
    <w:nsid w:val="7503485A"/>
    <w:multiLevelType w:val="hybridMultilevel"/>
    <w:tmpl w:val="D0A01510"/>
    <w:lvl w:ilvl="0" w:tplc="31363C20">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3C4344"/>
    <w:multiLevelType w:val="hybridMultilevel"/>
    <w:tmpl w:val="A50EB222"/>
    <w:lvl w:ilvl="0" w:tplc="31363C20">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3D694E"/>
    <w:multiLevelType w:val="hybridMultilevel"/>
    <w:tmpl w:val="378077E6"/>
    <w:lvl w:ilvl="0" w:tplc="31363C20">
      <w:start w:val="1"/>
      <w:numFmt w:val="bullet"/>
      <w:lvlText w:val=""/>
      <w:lvlPicBulletId w:val="0"/>
      <w:lvlJc w:val="left"/>
      <w:pPr>
        <w:ind w:left="1038" w:hanging="360"/>
      </w:pPr>
      <w:rPr>
        <w:rFonts w:ascii="Symbol" w:hAnsi="Symbol" w:hint="default"/>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24" w15:restartNumberingAfterBreak="0">
    <w:nsid w:val="78C3233A"/>
    <w:multiLevelType w:val="hybridMultilevel"/>
    <w:tmpl w:val="38EAD2CA"/>
    <w:lvl w:ilvl="0" w:tplc="31363C20">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0F1663"/>
    <w:multiLevelType w:val="hybridMultilevel"/>
    <w:tmpl w:val="1CE49B4C"/>
    <w:lvl w:ilvl="0" w:tplc="31363C20">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FA4160C"/>
    <w:multiLevelType w:val="multilevel"/>
    <w:tmpl w:val="FB94E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53255139">
    <w:abstractNumId w:val="0"/>
  </w:num>
  <w:num w:numId="2" w16cid:durableId="1640453108">
    <w:abstractNumId w:val="19"/>
  </w:num>
  <w:num w:numId="3" w16cid:durableId="545794179">
    <w:abstractNumId w:val="23"/>
  </w:num>
  <w:num w:numId="4" w16cid:durableId="1308122459">
    <w:abstractNumId w:val="20"/>
  </w:num>
  <w:num w:numId="5" w16cid:durableId="1908802327">
    <w:abstractNumId w:val="5"/>
  </w:num>
  <w:num w:numId="6" w16cid:durableId="573929812">
    <w:abstractNumId w:val="7"/>
  </w:num>
  <w:num w:numId="7" w16cid:durableId="436028122">
    <w:abstractNumId w:val="13"/>
  </w:num>
  <w:num w:numId="8" w16cid:durableId="670377140">
    <w:abstractNumId w:val="3"/>
  </w:num>
  <w:num w:numId="9" w16cid:durableId="1688018991">
    <w:abstractNumId w:val="12"/>
  </w:num>
  <w:num w:numId="10" w16cid:durableId="2111774175">
    <w:abstractNumId w:val="24"/>
  </w:num>
  <w:num w:numId="11" w16cid:durableId="23216760">
    <w:abstractNumId w:val="4"/>
  </w:num>
  <w:num w:numId="12" w16cid:durableId="1863086576">
    <w:abstractNumId w:val="21"/>
  </w:num>
  <w:num w:numId="13" w16cid:durableId="1714499751">
    <w:abstractNumId w:val="8"/>
  </w:num>
  <w:num w:numId="14" w16cid:durableId="855508005">
    <w:abstractNumId w:val="22"/>
  </w:num>
  <w:num w:numId="15" w16cid:durableId="207036480">
    <w:abstractNumId w:val="15"/>
  </w:num>
  <w:num w:numId="16" w16cid:durableId="1685475108">
    <w:abstractNumId w:val="25"/>
  </w:num>
  <w:num w:numId="17" w16cid:durableId="1744984259">
    <w:abstractNumId w:val="9"/>
  </w:num>
  <w:num w:numId="18" w16cid:durableId="1114788264">
    <w:abstractNumId w:val="14"/>
  </w:num>
  <w:num w:numId="19" w16cid:durableId="255022347">
    <w:abstractNumId w:val="10"/>
  </w:num>
  <w:num w:numId="20" w16cid:durableId="1893345536">
    <w:abstractNumId w:val="11"/>
  </w:num>
  <w:num w:numId="21" w16cid:durableId="27729737">
    <w:abstractNumId w:val="1"/>
  </w:num>
  <w:num w:numId="22" w16cid:durableId="637223566">
    <w:abstractNumId w:val="6"/>
  </w:num>
  <w:num w:numId="23" w16cid:durableId="2050495946">
    <w:abstractNumId w:val="17"/>
  </w:num>
  <w:num w:numId="24" w16cid:durableId="842823360">
    <w:abstractNumId w:val="2"/>
  </w:num>
  <w:num w:numId="25" w16cid:durableId="1103113468">
    <w:abstractNumId w:val="16"/>
  </w:num>
  <w:num w:numId="26" w16cid:durableId="1651400673">
    <w:abstractNumId w:val="26"/>
  </w:num>
  <w:num w:numId="27" w16cid:durableId="1054504763">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284"/>
  <w:drawingGridVerticalSpacing w:val="284"/>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F9A"/>
    <w:rsid w:val="00001596"/>
    <w:rsid w:val="00010A5E"/>
    <w:rsid w:val="00010F51"/>
    <w:rsid w:val="0001129F"/>
    <w:rsid w:val="00013CFA"/>
    <w:rsid w:val="000179AA"/>
    <w:rsid w:val="00022079"/>
    <w:rsid w:val="0002284C"/>
    <w:rsid w:val="00023556"/>
    <w:rsid w:val="00023576"/>
    <w:rsid w:val="00025E53"/>
    <w:rsid w:val="00031846"/>
    <w:rsid w:val="000334FC"/>
    <w:rsid w:val="00035FDD"/>
    <w:rsid w:val="000373F2"/>
    <w:rsid w:val="000417E4"/>
    <w:rsid w:val="00043EE5"/>
    <w:rsid w:val="000516ED"/>
    <w:rsid w:val="00052B79"/>
    <w:rsid w:val="000537B2"/>
    <w:rsid w:val="00054539"/>
    <w:rsid w:val="00056176"/>
    <w:rsid w:val="000631B9"/>
    <w:rsid w:val="00064BDC"/>
    <w:rsid w:val="00070C7B"/>
    <w:rsid w:val="000713AF"/>
    <w:rsid w:val="000750D6"/>
    <w:rsid w:val="00076EC9"/>
    <w:rsid w:val="0008233E"/>
    <w:rsid w:val="00083BD3"/>
    <w:rsid w:val="000842DB"/>
    <w:rsid w:val="00087160"/>
    <w:rsid w:val="00092208"/>
    <w:rsid w:val="00094039"/>
    <w:rsid w:val="000954D5"/>
    <w:rsid w:val="000A1C41"/>
    <w:rsid w:val="000A3BB2"/>
    <w:rsid w:val="000A57FF"/>
    <w:rsid w:val="000B5BCA"/>
    <w:rsid w:val="000B772A"/>
    <w:rsid w:val="000C2F9A"/>
    <w:rsid w:val="000C498A"/>
    <w:rsid w:val="000C77FB"/>
    <w:rsid w:val="000D57D9"/>
    <w:rsid w:val="000E5CF6"/>
    <w:rsid w:val="000E749D"/>
    <w:rsid w:val="000F1498"/>
    <w:rsid w:val="000F1C67"/>
    <w:rsid w:val="000F229B"/>
    <w:rsid w:val="000F3816"/>
    <w:rsid w:val="000F42C5"/>
    <w:rsid w:val="000F7788"/>
    <w:rsid w:val="001001E1"/>
    <w:rsid w:val="00102C79"/>
    <w:rsid w:val="00104F20"/>
    <w:rsid w:val="00120ABF"/>
    <w:rsid w:val="0012231E"/>
    <w:rsid w:val="00122D9B"/>
    <w:rsid w:val="00126623"/>
    <w:rsid w:val="0013285A"/>
    <w:rsid w:val="001363D5"/>
    <w:rsid w:val="00141BDE"/>
    <w:rsid w:val="00142D3D"/>
    <w:rsid w:val="00154F14"/>
    <w:rsid w:val="00165734"/>
    <w:rsid w:val="001719E9"/>
    <w:rsid w:val="00171C80"/>
    <w:rsid w:val="001724F5"/>
    <w:rsid w:val="001733B7"/>
    <w:rsid w:val="0017403E"/>
    <w:rsid w:val="0017528E"/>
    <w:rsid w:val="00187F4F"/>
    <w:rsid w:val="00192969"/>
    <w:rsid w:val="00194518"/>
    <w:rsid w:val="0019676B"/>
    <w:rsid w:val="001A072E"/>
    <w:rsid w:val="001A4E44"/>
    <w:rsid w:val="001B18FC"/>
    <w:rsid w:val="001B1CB0"/>
    <w:rsid w:val="001B489D"/>
    <w:rsid w:val="001B6579"/>
    <w:rsid w:val="001B6BA7"/>
    <w:rsid w:val="001C0DF2"/>
    <w:rsid w:val="001C27D2"/>
    <w:rsid w:val="001C5088"/>
    <w:rsid w:val="001C7FF6"/>
    <w:rsid w:val="001D12B5"/>
    <w:rsid w:val="001D3727"/>
    <w:rsid w:val="001D4224"/>
    <w:rsid w:val="001E0D8F"/>
    <w:rsid w:val="001E1204"/>
    <w:rsid w:val="001E4C37"/>
    <w:rsid w:val="001F1F85"/>
    <w:rsid w:val="001F3710"/>
    <w:rsid w:val="002061F2"/>
    <w:rsid w:val="0020658E"/>
    <w:rsid w:val="00207E21"/>
    <w:rsid w:val="00210BEA"/>
    <w:rsid w:val="00213EAC"/>
    <w:rsid w:val="0021440B"/>
    <w:rsid w:val="00216A4C"/>
    <w:rsid w:val="002200B6"/>
    <w:rsid w:val="0022284C"/>
    <w:rsid w:val="00225396"/>
    <w:rsid w:val="00226C3A"/>
    <w:rsid w:val="002340E7"/>
    <w:rsid w:val="00234D0E"/>
    <w:rsid w:val="00236BC8"/>
    <w:rsid w:val="002377CB"/>
    <w:rsid w:val="00243C37"/>
    <w:rsid w:val="00243E32"/>
    <w:rsid w:val="002450AF"/>
    <w:rsid w:val="00245748"/>
    <w:rsid w:val="002529E3"/>
    <w:rsid w:val="00260A7A"/>
    <w:rsid w:val="00261662"/>
    <w:rsid w:val="00261732"/>
    <w:rsid w:val="00264777"/>
    <w:rsid w:val="002766E9"/>
    <w:rsid w:val="0028149A"/>
    <w:rsid w:val="00282416"/>
    <w:rsid w:val="0028639B"/>
    <w:rsid w:val="00286DAF"/>
    <w:rsid w:val="00290859"/>
    <w:rsid w:val="0029159D"/>
    <w:rsid w:val="00291F58"/>
    <w:rsid w:val="0029255E"/>
    <w:rsid w:val="002A18C6"/>
    <w:rsid w:val="002A2102"/>
    <w:rsid w:val="002A369C"/>
    <w:rsid w:val="002B3956"/>
    <w:rsid w:val="002C0436"/>
    <w:rsid w:val="002C0D92"/>
    <w:rsid w:val="002C7B1D"/>
    <w:rsid w:val="002D12F0"/>
    <w:rsid w:val="002D19E3"/>
    <w:rsid w:val="002D576F"/>
    <w:rsid w:val="002E0639"/>
    <w:rsid w:val="002E1BE3"/>
    <w:rsid w:val="002E21BD"/>
    <w:rsid w:val="002E6E3D"/>
    <w:rsid w:val="002F022D"/>
    <w:rsid w:val="002F5A43"/>
    <w:rsid w:val="002F6B3F"/>
    <w:rsid w:val="0030138F"/>
    <w:rsid w:val="00302826"/>
    <w:rsid w:val="003045E6"/>
    <w:rsid w:val="00306518"/>
    <w:rsid w:val="0031060B"/>
    <w:rsid w:val="00317BE5"/>
    <w:rsid w:val="00320496"/>
    <w:rsid w:val="003238E4"/>
    <w:rsid w:val="00330D46"/>
    <w:rsid w:val="0033779E"/>
    <w:rsid w:val="003407C1"/>
    <w:rsid w:val="00344C85"/>
    <w:rsid w:val="00345276"/>
    <w:rsid w:val="00346724"/>
    <w:rsid w:val="00350E46"/>
    <w:rsid w:val="00351611"/>
    <w:rsid w:val="00353ADB"/>
    <w:rsid w:val="00356728"/>
    <w:rsid w:val="003606E9"/>
    <w:rsid w:val="00372519"/>
    <w:rsid w:val="00374325"/>
    <w:rsid w:val="00381161"/>
    <w:rsid w:val="00381CDB"/>
    <w:rsid w:val="0039045B"/>
    <w:rsid w:val="00395C0B"/>
    <w:rsid w:val="00396A78"/>
    <w:rsid w:val="003B2C11"/>
    <w:rsid w:val="003B31AD"/>
    <w:rsid w:val="003B6C5C"/>
    <w:rsid w:val="003C33B2"/>
    <w:rsid w:val="003C33CE"/>
    <w:rsid w:val="003C5A33"/>
    <w:rsid w:val="003C654F"/>
    <w:rsid w:val="003D52A1"/>
    <w:rsid w:val="003E2237"/>
    <w:rsid w:val="003E2271"/>
    <w:rsid w:val="003E2C2B"/>
    <w:rsid w:val="003E6C33"/>
    <w:rsid w:val="003E765A"/>
    <w:rsid w:val="003F20ED"/>
    <w:rsid w:val="003F46AD"/>
    <w:rsid w:val="003F5799"/>
    <w:rsid w:val="0040343E"/>
    <w:rsid w:val="00405FBE"/>
    <w:rsid w:val="00414C26"/>
    <w:rsid w:val="004153AB"/>
    <w:rsid w:val="00416845"/>
    <w:rsid w:val="00417A66"/>
    <w:rsid w:val="00423E5E"/>
    <w:rsid w:val="00426161"/>
    <w:rsid w:val="0043209D"/>
    <w:rsid w:val="004364BF"/>
    <w:rsid w:val="004404E9"/>
    <w:rsid w:val="00443148"/>
    <w:rsid w:val="004505BE"/>
    <w:rsid w:val="00451894"/>
    <w:rsid w:val="0045403F"/>
    <w:rsid w:val="00455789"/>
    <w:rsid w:val="004606A8"/>
    <w:rsid w:val="00461073"/>
    <w:rsid w:val="0046232C"/>
    <w:rsid w:val="00464503"/>
    <w:rsid w:val="0047431A"/>
    <w:rsid w:val="004748E9"/>
    <w:rsid w:val="00480977"/>
    <w:rsid w:val="004810AB"/>
    <w:rsid w:val="00481D4E"/>
    <w:rsid w:val="004850B6"/>
    <w:rsid w:val="004920F4"/>
    <w:rsid w:val="00497E8C"/>
    <w:rsid w:val="004A4C3D"/>
    <w:rsid w:val="004A5566"/>
    <w:rsid w:val="004A6E49"/>
    <w:rsid w:val="004B37B2"/>
    <w:rsid w:val="004B45EB"/>
    <w:rsid w:val="004B46A6"/>
    <w:rsid w:val="004B5C3F"/>
    <w:rsid w:val="004B6014"/>
    <w:rsid w:val="004B6CAC"/>
    <w:rsid w:val="004B6E84"/>
    <w:rsid w:val="004C27A8"/>
    <w:rsid w:val="004C7172"/>
    <w:rsid w:val="004D0F18"/>
    <w:rsid w:val="004D1B58"/>
    <w:rsid w:val="004D2E49"/>
    <w:rsid w:val="004D3679"/>
    <w:rsid w:val="004D443E"/>
    <w:rsid w:val="004D48C2"/>
    <w:rsid w:val="004D6611"/>
    <w:rsid w:val="004D77AA"/>
    <w:rsid w:val="004E10E6"/>
    <w:rsid w:val="004E140E"/>
    <w:rsid w:val="004E303E"/>
    <w:rsid w:val="004F2E9B"/>
    <w:rsid w:val="004F3AD4"/>
    <w:rsid w:val="004F3AF2"/>
    <w:rsid w:val="004F774B"/>
    <w:rsid w:val="005005C6"/>
    <w:rsid w:val="0050101B"/>
    <w:rsid w:val="0050569E"/>
    <w:rsid w:val="00506224"/>
    <w:rsid w:val="00506A88"/>
    <w:rsid w:val="0051093E"/>
    <w:rsid w:val="005137AB"/>
    <w:rsid w:val="0052078B"/>
    <w:rsid w:val="00534A63"/>
    <w:rsid w:val="005362D5"/>
    <w:rsid w:val="00540228"/>
    <w:rsid w:val="00540320"/>
    <w:rsid w:val="00540B65"/>
    <w:rsid w:val="00543470"/>
    <w:rsid w:val="005452D9"/>
    <w:rsid w:val="0054764A"/>
    <w:rsid w:val="00552E16"/>
    <w:rsid w:val="00562956"/>
    <w:rsid w:val="00564ACC"/>
    <w:rsid w:val="00564D9C"/>
    <w:rsid w:val="005704D1"/>
    <w:rsid w:val="00576291"/>
    <w:rsid w:val="00576BC4"/>
    <w:rsid w:val="00580AB0"/>
    <w:rsid w:val="0058260B"/>
    <w:rsid w:val="00582850"/>
    <w:rsid w:val="00584078"/>
    <w:rsid w:val="00584D7A"/>
    <w:rsid w:val="00590452"/>
    <w:rsid w:val="005939B1"/>
    <w:rsid w:val="0059633B"/>
    <w:rsid w:val="005A0F47"/>
    <w:rsid w:val="005A466D"/>
    <w:rsid w:val="005B0472"/>
    <w:rsid w:val="005B525C"/>
    <w:rsid w:val="005C2872"/>
    <w:rsid w:val="005D0021"/>
    <w:rsid w:val="005D14A3"/>
    <w:rsid w:val="005D2474"/>
    <w:rsid w:val="005D6210"/>
    <w:rsid w:val="005D6F3B"/>
    <w:rsid w:val="005E3A95"/>
    <w:rsid w:val="005E4E40"/>
    <w:rsid w:val="005E754E"/>
    <w:rsid w:val="005F0C9C"/>
    <w:rsid w:val="005F3561"/>
    <w:rsid w:val="005F7161"/>
    <w:rsid w:val="00600C15"/>
    <w:rsid w:val="00602903"/>
    <w:rsid w:val="00605443"/>
    <w:rsid w:val="006059C2"/>
    <w:rsid w:val="006121E8"/>
    <w:rsid w:val="006142C7"/>
    <w:rsid w:val="00615A32"/>
    <w:rsid w:val="006223A7"/>
    <w:rsid w:val="00625483"/>
    <w:rsid w:val="006256F7"/>
    <w:rsid w:val="00626308"/>
    <w:rsid w:val="0062663A"/>
    <w:rsid w:val="0063269C"/>
    <w:rsid w:val="00636F47"/>
    <w:rsid w:val="00640328"/>
    <w:rsid w:val="00640B6D"/>
    <w:rsid w:val="006418EB"/>
    <w:rsid w:val="00643736"/>
    <w:rsid w:val="00654607"/>
    <w:rsid w:val="00655832"/>
    <w:rsid w:val="00656D16"/>
    <w:rsid w:val="0066188E"/>
    <w:rsid w:val="0066463B"/>
    <w:rsid w:val="00665E80"/>
    <w:rsid w:val="006710A2"/>
    <w:rsid w:val="00672C60"/>
    <w:rsid w:val="00674DA8"/>
    <w:rsid w:val="00676C01"/>
    <w:rsid w:val="00684265"/>
    <w:rsid w:val="00685D2B"/>
    <w:rsid w:val="00690EDD"/>
    <w:rsid w:val="0069485C"/>
    <w:rsid w:val="006972D9"/>
    <w:rsid w:val="006A280F"/>
    <w:rsid w:val="006A2A5E"/>
    <w:rsid w:val="006A391E"/>
    <w:rsid w:val="006A6839"/>
    <w:rsid w:val="006B1D7D"/>
    <w:rsid w:val="006B2DF2"/>
    <w:rsid w:val="006B31D3"/>
    <w:rsid w:val="006B3F7D"/>
    <w:rsid w:val="006B47BE"/>
    <w:rsid w:val="006B6FB5"/>
    <w:rsid w:val="006C0AC2"/>
    <w:rsid w:val="006C5321"/>
    <w:rsid w:val="006C6347"/>
    <w:rsid w:val="006D0A6A"/>
    <w:rsid w:val="006D1883"/>
    <w:rsid w:val="006D2140"/>
    <w:rsid w:val="006D5AD4"/>
    <w:rsid w:val="006E0A38"/>
    <w:rsid w:val="006E1227"/>
    <w:rsid w:val="006E20F5"/>
    <w:rsid w:val="006E7CDA"/>
    <w:rsid w:val="006F402B"/>
    <w:rsid w:val="006F6F84"/>
    <w:rsid w:val="007009B8"/>
    <w:rsid w:val="007019CF"/>
    <w:rsid w:val="00701F69"/>
    <w:rsid w:val="00710DDD"/>
    <w:rsid w:val="00712395"/>
    <w:rsid w:val="00721283"/>
    <w:rsid w:val="00724D24"/>
    <w:rsid w:val="007329D6"/>
    <w:rsid w:val="00736A8A"/>
    <w:rsid w:val="00736E09"/>
    <w:rsid w:val="00751AD8"/>
    <w:rsid w:val="007535D2"/>
    <w:rsid w:val="00755AF1"/>
    <w:rsid w:val="00760C30"/>
    <w:rsid w:val="00760FA7"/>
    <w:rsid w:val="00762A32"/>
    <w:rsid w:val="00767018"/>
    <w:rsid w:val="00767559"/>
    <w:rsid w:val="0077695F"/>
    <w:rsid w:val="00783D56"/>
    <w:rsid w:val="007840AF"/>
    <w:rsid w:val="00786BBB"/>
    <w:rsid w:val="00787800"/>
    <w:rsid w:val="0079014A"/>
    <w:rsid w:val="00790B9D"/>
    <w:rsid w:val="00793CA9"/>
    <w:rsid w:val="007B72F3"/>
    <w:rsid w:val="007C07CB"/>
    <w:rsid w:val="007C0DF5"/>
    <w:rsid w:val="007C0E8D"/>
    <w:rsid w:val="007C6A58"/>
    <w:rsid w:val="007D11D0"/>
    <w:rsid w:val="007D2455"/>
    <w:rsid w:val="007D36C4"/>
    <w:rsid w:val="007D5AAE"/>
    <w:rsid w:val="007D66F6"/>
    <w:rsid w:val="007D6D7B"/>
    <w:rsid w:val="007E0518"/>
    <w:rsid w:val="007F3765"/>
    <w:rsid w:val="007F3DB7"/>
    <w:rsid w:val="0080567B"/>
    <w:rsid w:val="0081185D"/>
    <w:rsid w:val="00814D7F"/>
    <w:rsid w:val="008201CF"/>
    <w:rsid w:val="00820872"/>
    <w:rsid w:val="008209E2"/>
    <w:rsid w:val="0082166C"/>
    <w:rsid w:val="00823C28"/>
    <w:rsid w:val="0082522B"/>
    <w:rsid w:val="00825947"/>
    <w:rsid w:val="008271F4"/>
    <w:rsid w:val="008320ED"/>
    <w:rsid w:val="00833861"/>
    <w:rsid w:val="00834FED"/>
    <w:rsid w:val="008351AE"/>
    <w:rsid w:val="00837FE9"/>
    <w:rsid w:val="00841055"/>
    <w:rsid w:val="008416F1"/>
    <w:rsid w:val="0084488E"/>
    <w:rsid w:val="008469CB"/>
    <w:rsid w:val="008469E2"/>
    <w:rsid w:val="00854008"/>
    <w:rsid w:val="008541A9"/>
    <w:rsid w:val="008560E2"/>
    <w:rsid w:val="008639E7"/>
    <w:rsid w:val="00865141"/>
    <w:rsid w:val="0086709C"/>
    <w:rsid w:val="00870DE5"/>
    <w:rsid w:val="0087781B"/>
    <w:rsid w:val="008834D9"/>
    <w:rsid w:val="00884924"/>
    <w:rsid w:val="008904B7"/>
    <w:rsid w:val="008915CA"/>
    <w:rsid w:val="0089311B"/>
    <w:rsid w:val="00893414"/>
    <w:rsid w:val="00896882"/>
    <w:rsid w:val="008A2266"/>
    <w:rsid w:val="008A4462"/>
    <w:rsid w:val="008B3BBE"/>
    <w:rsid w:val="008C47BF"/>
    <w:rsid w:val="008C622A"/>
    <w:rsid w:val="008C7EF6"/>
    <w:rsid w:val="008D2013"/>
    <w:rsid w:val="008E2088"/>
    <w:rsid w:val="008E30CA"/>
    <w:rsid w:val="008E30D4"/>
    <w:rsid w:val="008E326F"/>
    <w:rsid w:val="008E3B09"/>
    <w:rsid w:val="008E6288"/>
    <w:rsid w:val="008E721E"/>
    <w:rsid w:val="008E78E3"/>
    <w:rsid w:val="008F0BEA"/>
    <w:rsid w:val="008F1B53"/>
    <w:rsid w:val="008F1C74"/>
    <w:rsid w:val="008F5021"/>
    <w:rsid w:val="008F6130"/>
    <w:rsid w:val="00900EBB"/>
    <w:rsid w:val="00902960"/>
    <w:rsid w:val="00905C6E"/>
    <w:rsid w:val="009124CF"/>
    <w:rsid w:val="00914B0C"/>
    <w:rsid w:val="00915D84"/>
    <w:rsid w:val="00916677"/>
    <w:rsid w:val="00930845"/>
    <w:rsid w:val="0093752E"/>
    <w:rsid w:val="00940495"/>
    <w:rsid w:val="00942DC8"/>
    <w:rsid w:val="00943A9B"/>
    <w:rsid w:val="00944F77"/>
    <w:rsid w:val="00945E52"/>
    <w:rsid w:val="00947950"/>
    <w:rsid w:val="0095091A"/>
    <w:rsid w:val="009531C7"/>
    <w:rsid w:val="00954A71"/>
    <w:rsid w:val="0096631E"/>
    <w:rsid w:val="00970CF7"/>
    <w:rsid w:val="00973A58"/>
    <w:rsid w:val="0097570B"/>
    <w:rsid w:val="00976337"/>
    <w:rsid w:val="00976AED"/>
    <w:rsid w:val="0097793D"/>
    <w:rsid w:val="00982404"/>
    <w:rsid w:val="00983469"/>
    <w:rsid w:val="00983FD1"/>
    <w:rsid w:val="009848DE"/>
    <w:rsid w:val="00996352"/>
    <w:rsid w:val="009967DA"/>
    <w:rsid w:val="009969AF"/>
    <w:rsid w:val="009A067B"/>
    <w:rsid w:val="009A7DEC"/>
    <w:rsid w:val="009B514E"/>
    <w:rsid w:val="009B6013"/>
    <w:rsid w:val="009C1D21"/>
    <w:rsid w:val="009C6EA4"/>
    <w:rsid w:val="009D06B5"/>
    <w:rsid w:val="009D3BE0"/>
    <w:rsid w:val="009D48E2"/>
    <w:rsid w:val="009E07B2"/>
    <w:rsid w:val="009E223F"/>
    <w:rsid w:val="009E28F1"/>
    <w:rsid w:val="009E427B"/>
    <w:rsid w:val="009F5480"/>
    <w:rsid w:val="009F5625"/>
    <w:rsid w:val="00A05209"/>
    <w:rsid w:val="00A0673E"/>
    <w:rsid w:val="00A1524B"/>
    <w:rsid w:val="00A316FC"/>
    <w:rsid w:val="00A35EB5"/>
    <w:rsid w:val="00A37912"/>
    <w:rsid w:val="00A551CD"/>
    <w:rsid w:val="00A66003"/>
    <w:rsid w:val="00A718AD"/>
    <w:rsid w:val="00A71BA5"/>
    <w:rsid w:val="00A76705"/>
    <w:rsid w:val="00A76E0D"/>
    <w:rsid w:val="00A816A8"/>
    <w:rsid w:val="00A81DBC"/>
    <w:rsid w:val="00A82E7D"/>
    <w:rsid w:val="00A83657"/>
    <w:rsid w:val="00A87867"/>
    <w:rsid w:val="00A94480"/>
    <w:rsid w:val="00AA0606"/>
    <w:rsid w:val="00AA1A78"/>
    <w:rsid w:val="00AA24AC"/>
    <w:rsid w:val="00AA556D"/>
    <w:rsid w:val="00AB6B74"/>
    <w:rsid w:val="00AC223A"/>
    <w:rsid w:val="00AC3016"/>
    <w:rsid w:val="00AC664C"/>
    <w:rsid w:val="00AC6EDE"/>
    <w:rsid w:val="00AE09BD"/>
    <w:rsid w:val="00AE3FDC"/>
    <w:rsid w:val="00AE53BA"/>
    <w:rsid w:val="00AE7D5F"/>
    <w:rsid w:val="00AF0B18"/>
    <w:rsid w:val="00AF2F22"/>
    <w:rsid w:val="00AF7942"/>
    <w:rsid w:val="00B03824"/>
    <w:rsid w:val="00B14695"/>
    <w:rsid w:val="00B153BA"/>
    <w:rsid w:val="00B222EB"/>
    <w:rsid w:val="00B239DF"/>
    <w:rsid w:val="00B25874"/>
    <w:rsid w:val="00B276BC"/>
    <w:rsid w:val="00B30B98"/>
    <w:rsid w:val="00B35B1E"/>
    <w:rsid w:val="00B37196"/>
    <w:rsid w:val="00B417A6"/>
    <w:rsid w:val="00B42963"/>
    <w:rsid w:val="00B4311E"/>
    <w:rsid w:val="00B46F52"/>
    <w:rsid w:val="00B47310"/>
    <w:rsid w:val="00B53721"/>
    <w:rsid w:val="00B623C7"/>
    <w:rsid w:val="00B63693"/>
    <w:rsid w:val="00B70EE8"/>
    <w:rsid w:val="00B7289E"/>
    <w:rsid w:val="00B742C1"/>
    <w:rsid w:val="00B81409"/>
    <w:rsid w:val="00B81636"/>
    <w:rsid w:val="00B82138"/>
    <w:rsid w:val="00B85B2A"/>
    <w:rsid w:val="00B863AB"/>
    <w:rsid w:val="00B97095"/>
    <w:rsid w:val="00BA390A"/>
    <w:rsid w:val="00BA3A59"/>
    <w:rsid w:val="00BA75BA"/>
    <w:rsid w:val="00BB38E6"/>
    <w:rsid w:val="00BB5CC2"/>
    <w:rsid w:val="00BB7942"/>
    <w:rsid w:val="00BC39A0"/>
    <w:rsid w:val="00BC3F89"/>
    <w:rsid w:val="00BC66D1"/>
    <w:rsid w:val="00BC6B1B"/>
    <w:rsid w:val="00BD00B3"/>
    <w:rsid w:val="00BD1067"/>
    <w:rsid w:val="00BE1596"/>
    <w:rsid w:val="00BE1860"/>
    <w:rsid w:val="00BE2EDC"/>
    <w:rsid w:val="00BE509F"/>
    <w:rsid w:val="00BE7B15"/>
    <w:rsid w:val="00BF1729"/>
    <w:rsid w:val="00BF31C2"/>
    <w:rsid w:val="00BF31F3"/>
    <w:rsid w:val="00BF7F3D"/>
    <w:rsid w:val="00C01BF9"/>
    <w:rsid w:val="00C03622"/>
    <w:rsid w:val="00C05A27"/>
    <w:rsid w:val="00C07021"/>
    <w:rsid w:val="00C0794D"/>
    <w:rsid w:val="00C12C68"/>
    <w:rsid w:val="00C12DB8"/>
    <w:rsid w:val="00C141B8"/>
    <w:rsid w:val="00C147BE"/>
    <w:rsid w:val="00C15344"/>
    <w:rsid w:val="00C16C17"/>
    <w:rsid w:val="00C306A0"/>
    <w:rsid w:val="00C33390"/>
    <w:rsid w:val="00C41175"/>
    <w:rsid w:val="00C53B0B"/>
    <w:rsid w:val="00C6169E"/>
    <w:rsid w:val="00C64FED"/>
    <w:rsid w:val="00C665D3"/>
    <w:rsid w:val="00C75B55"/>
    <w:rsid w:val="00C817B7"/>
    <w:rsid w:val="00C83FB9"/>
    <w:rsid w:val="00C862B7"/>
    <w:rsid w:val="00C864A2"/>
    <w:rsid w:val="00C8657E"/>
    <w:rsid w:val="00C877E9"/>
    <w:rsid w:val="00C87991"/>
    <w:rsid w:val="00C94449"/>
    <w:rsid w:val="00C94653"/>
    <w:rsid w:val="00C96C62"/>
    <w:rsid w:val="00C9723A"/>
    <w:rsid w:val="00CA41F9"/>
    <w:rsid w:val="00CB4579"/>
    <w:rsid w:val="00CB7F9A"/>
    <w:rsid w:val="00CC0616"/>
    <w:rsid w:val="00CD3608"/>
    <w:rsid w:val="00CD3BE0"/>
    <w:rsid w:val="00CE099E"/>
    <w:rsid w:val="00CE64C8"/>
    <w:rsid w:val="00CF097D"/>
    <w:rsid w:val="00CF37BA"/>
    <w:rsid w:val="00CF57C8"/>
    <w:rsid w:val="00CF7E1D"/>
    <w:rsid w:val="00D02C2B"/>
    <w:rsid w:val="00D032F7"/>
    <w:rsid w:val="00D0460F"/>
    <w:rsid w:val="00D12245"/>
    <w:rsid w:val="00D12902"/>
    <w:rsid w:val="00D17498"/>
    <w:rsid w:val="00D17D98"/>
    <w:rsid w:val="00D205BE"/>
    <w:rsid w:val="00D2595C"/>
    <w:rsid w:val="00D314D6"/>
    <w:rsid w:val="00D412C2"/>
    <w:rsid w:val="00D46212"/>
    <w:rsid w:val="00D47231"/>
    <w:rsid w:val="00D550B0"/>
    <w:rsid w:val="00D6007E"/>
    <w:rsid w:val="00D605C1"/>
    <w:rsid w:val="00D60F4C"/>
    <w:rsid w:val="00D62EF1"/>
    <w:rsid w:val="00D73412"/>
    <w:rsid w:val="00D751BD"/>
    <w:rsid w:val="00D82B65"/>
    <w:rsid w:val="00D82EC9"/>
    <w:rsid w:val="00D85313"/>
    <w:rsid w:val="00D85E08"/>
    <w:rsid w:val="00D92326"/>
    <w:rsid w:val="00D957C8"/>
    <w:rsid w:val="00DA13A9"/>
    <w:rsid w:val="00DA1AA5"/>
    <w:rsid w:val="00DA5C0E"/>
    <w:rsid w:val="00DA6015"/>
    <w:rsid w:val="00DB73DA"/>
    <w:rsid w:val="00DC1426"/>
    <w:rsid w:val="00DC1A8D"/>
    <w:rsid w:val="00DC28E9"/>
    <w:rsid w:val="00DC39ED"/>
    <w:rsid w:val="00DC6285"/>
    <w:rsid w:val="00DC7ABA"/>
    <w:rsid w:val="00DD01C4"/>
    <w:rsid w:val="00DE0811"/>
    <w:rsid w:val="00DE15DF"/>
    <w:rsid w:val="00DE5277"/>
    <w:rsid w:val="00DE5BFC"/>
    <w:rsid w:val="00E03BF4"/>
    <w:rsid w:val="00E04299"/>
    <w:rsid w:val="00E11661"/>
    <w:rsid w:val="00E13264"/>
    <w:rsid w:val="00E14929"/>
    <w:rsid w:val="00E1720C"/>
    <w:rsid w:val="00E23202"/>
    <w:rsid w:val="00E24581"/>
    <w:rsid w:val="00E251FE"/>
    <w:rsid w:val="00E2701B"/>
    <w:rsid w:val="00E3427B"/>
    <w:rsid w:val="00E423C6"/>
    <w:rsid w:val="00E47509"/>
    <w:rsid w:val="00E4759E"/>
    <w:rsid w:val="00E52EAC"/>
    <w:rsid w:val="00E551C0"/>
    <w:rsid w:val="00E5632B"/>
    <w:rsid w:val="00E6027F"/>
    <w:rsid w:val="00E61768"/>
    <w:rsid w:val="00E662F3"/>
    <w:rsid w:val="00E74D07"/>
    <w:rsid w:val="00E778DF"/>
    <w:rsid w:val="00E81B27"/>
    <w:rsid w:val="00E84EC6"/>
    <w:rsid w:val="00E8793B"/>
    <w:rsid w:val="00E91279"/>
    <w:rsid w:val="00EA75BA"/>
    <w:rsid w:val="00EB081A"/>
    <w:rsid w:val="00EB5EBE"/>
    <w:rsid w:val="00EB6640"/>
    <w:rsid w:val="00EC0583"/>
    <w:rsid w:val="00EC0BE7"/>
    <w:rsid w:val="00EC31D5"/>
    <w:rsid w:val="00EC6246"/>
    <w:rsid w:val="00EC71C4"/>
    <w:rsid w:val="00ED5C89"/>
    <w:rsid w:val="00EE260F"/>
    <w:rsid w:val="00EE451E"/>
    <w:rsid w:val="00EF0683"/>
    <w:rsid w:val="00EF3ACF"/>
    <w:rsid w:val="00EF44C3"/>
    <w:rsid w:val="00EF6AAA"/>
    <w:rsid w:val="00F069F9"/>
    <w:rsid w:val="00F1267F"/>
    <w:rsid w:val="00F12787"/>
    <w:rsid w:val="00F23601"/>
    <w:rsid w:val="00F23A11"/>
    <w:rsid w:val="00F30B06"/>
    <w:rsid w:val="00F44CE4"/>
    <w:rsid w:val="00F44E6F"/>
    <w:rsid w:val="00F47ED9"/>
    <w:rsid w:val="00F52332"/>
    <w:rsid w:val="00F606B5"/>
    <w:rsid w:val="00F70483"/>
    <w:rsid w:val="00F73488"/>
    <w:rsid w:val="00F75F0B"/>
    <w:rsid w:val="00F77E4A"/>
    <w:rsid w:val="00F85243"/>
    <w:rsid w:val="00F90018"/>
    <w:rsid w:val="00F917AF"/>
    <w:rsid w:val="00F95CD0"/>
    <w:rsid w:val="00F97972"/>
    <w:rsid w:val="00FA0C38"/>
    <w:rsid w:val="00FA50F6"/>
    <w:rsid w:val="00FB3282"/>
    <w:rsid w:val="00FB373D"/>
    <w:rsid w:val="00FB447F"/>
    <w:rsid w:val="00FB56E2"/>
    <w:rsid w:val="00FB7961"/>
    <w:rsid w:val="00FC160B"/>
    <w:rsid w:val="00FC4BCC"/>
    <w:rsid w:val="00FC7B42"/>
    <w:rsid w:val="00FD30E7"/>
    <w:rsid w:val="00FD34CB"/>
    <w:rsid w:val="00FE0522"/>
    <w:rsid w:val="00FE1837"/>
    <w:rsid w:val="00FF0CEE"/>
    <w:rsid w:val="00FF35D8"/>
    <w:rsid w:val="00FF4D00"/>
    <w:rsid w:val="00FF5ED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C9B660"/>
  <w15:docId w15:val="{77731AD2-F7D3-3643-BC96-181992977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601"/>
    <w:rPr>
      <w:rFonts w:ascii="Arial" w:eastAsia="Times New Roman" w:hAnsi="Arial" w:cs="Arial"/>
    </w:rPr>
  </w:style>
  <w:style w:type="paragraph" w:styleId="Heading1">
    <w:name w:val="heading 1"/>
    <w:basedOn w:val="Normal"/>
    <w:next w:val="Normal"/>
    <w:link w:val="Heading1Char"/>
    <w:uiPriority w:val="9"/>
    <w:qFormat/>
    <w:rsid w:val="00E2701B"/>
    <w:pPr>
      <w:jc w:val="both"/>
      <w:outlineLvl w:val="0"/>
    </w:pPr>
    <w:rPr>
      <w:rFonts w:ascii="Titillium" w:hAnsi="Titillium"/>
      <w:b/>
      <w:bCs/>
      <w:noProof/>
      <w:sz w:val="44"/>
      <w:szCs w:val="44"/>
      <w:lang w:eastAsia="en-GB"/>
    </w:rPr>
  </w:style>
  <w:style w:type="paragraph" w:styleId="Heading2">
    <w:name w:val="heading 2"/>
    <w:basedOn w:val="ListParagraph"/>
    <w:link w:val="Heading2Char"/>
    <w:uiPriority w:val="9"/>
    <w:qFormat/>
    <w:rsid w:val="008E30D4"/>
    <w:pPr>
      <w:numPr>
        <w:numId w:val="25"/>
      </w:numPr>
      <w:ind w:hanging="360"/>
      <w:outlineLvl w:val="1"/>
    </w:pPr>
    <w:rPr>
      <w:rFonts w:ascii="Titillium" w:hAnsi="Titillium"/>
      <w:b/>
      <w:color w:val="E5233F"/>
      <w:sz w:val="32"/>
      <w:szCs w:val="32"/>
    </w:rPr>
  </w:style>
  <w:style w:type="paragraph" w:styleId="Heading3">
    <w:name w:val="heading 3"/>
    <w:next w:val="Normal"/>
    <w:link w:val="Heading3Char"/>
    <w:uiPriority w:val="9"/>
    <w:unhideWhenUsed/>
    <w:qFormat/>
    <w:rsid w:val="008E30D4"/>
    <w:pPr>
      <w:outlineLvl w:val="2"/>
    </w:pPr>
    <w:rPr>
      <w:rFonts w:ascii="Titillium-Semibold" w:hAnsi="Titillium-Semibold" w:cs="Titillium-Semibold"/>
      <w:color w:val="E5233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5C3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5C3F"/>
    <w:rPr>
      <w:rFonts w:ascii="Lucida Grande" w:eastAsia="Times New Roman" w:hAnsi="Lucida Grande" w:cs="Lucida Grande"/>
      <w:sz w:val="18"/>
      <w:szCs w:val="18"/>
    </w:rPr>
  </w:style>
  <w:style w:type="paragraph" w:styleId="ListParagraph">
    <w:name w:val="List Paragraph"/>
    <w:basedOn w:val="Normal"/>
    <w:link w:val="ListParagraphChar"/>
    <w:uiPriority w:val="34"/>
    <w:qFormat/>
    <w:rsid w:val="004A5566"/>
    <w:pPr>
      <w:ind w:left="720"/>
      <w:contextualSpacing/>
    </w:pPr>
  </w:style>
  <w:style w:type="paragraph" w:styleId="FootnoteText">
    <w:name w:val="footnote text"/>
    <w:basedOn w:val="Normal"/>
    <w:link w:val="FootnoteTextChar"/>
    <w:uiPriority w:val="99"/>
    <w:unhideWhenUsed/>
    <w:rsid w:val="00EC31D5"/>
  </w:style>
  <w:style w:type="character" w:customStyle="1" w:styleId="FootnoteTextChar">
    <w:name w:val="Footnote Text Char"/>
    <w:basedOn w:val="DefaultParagraphFont"/>
    <w:link w:val="FootnoteText"/>
    <w:uiPriority w:val="99"/>
    <w:rsid w:val="00EC31D5"/>
    <w:rPr>
      <w:rFonts w:ascii="Arial" w:eastAsia="Times New Roman" w:hAnsi="Arial" w:cs="Arial"/>
    </w:rPr>
  </w:style>
  <w:style w:type="character" w:styleId="FootnoteReference">
    <w:name w:val="footnote reference"/>
    <w:basedOn w:val="DefaultParagraphFont"/>
    <w:uiPriority w:val="99"/>
    <w:unhideWhenUsed/>
    <w:rsid w:val="00EC31D5"/>
    <w:rPr>
      <w:vertAlign w:val="superscript"/>
    </w:rPr>
  </w:style>
  <w:style w:type="paragraph" w:styleId="Header">
    <w:name w:val="header"/>
    <w:next w:val="Normal"/>
    <w:link w:val="HeaderChar"/>
    <w:uiPriority w:val="99"/>
    <w:unhideWhenUsed/>
    <w:rsid w:val="008201CF"/>
    <w:pPr>
      <w:tabs>
        <w:tab w:val="center" w:pos="4320"/>
        <w:tab w:val="right" w:pos="8640"/>
      </w:tabs>
    </w:pPr>
    <w:rPr>
      <w:rFonts w:ascii="Arial" w:eastAsia="Times New Roman" w:hAnsi="Arial" w:cs="Arial"/>
    </w:rPr>
  </w:style>
  <w:style w:type="character" w:customStyle="1" w:styleId="HeaderChar">
    <w:name w:val="Header Char"/>
    <w:basedOn w:val="DefaultParagraphFont"/>
    <w:link w:val="Header"/>
    <w:uiPriority w:val="99"/>
    <w:rsid w:val="008201CF"/>
    <w:rPr>
      <w:rFonts w:ascii="Arial" w:eastAsia="Times New Roman" w:hAnsi="Arial" w:cs="Arial"/>
    </w:rPr>
  </w:style>
  <w:style w:type="paragraph" w:styleId="Footer">
    <w:name w:val="footer"/>
    <w:basedOn w:val="Normal"/>
    <w:link w:val="FooterChar"/>
    <w:uiPriority w:val="99"/>
    <w:unhideWhenUsed/>
    <w:rsid w:val="00EC31D5"/>
    <w:pPr>
      <w:tabs>
        <w:tab w:val="center" w:pos="4320"/>
        <w:tab w:val="right" w:pos="8640"/>
      </w:tabs>
    </w:pPr>
  </w:style>
  <w:style w:type="character" w:customStyle="1" w:styleId="FooterChar">
    <w:name w:val="Footer Char"/>
    <w:basedOn w:val="DefaultParagraphFont"/>
    <w:link w:val="Footer"/>
    <w:uiPriority w:val="99"/>
    <w:rsid w:val="00EC31D5"/>
    <w:rPr>
      <w:rFonts w:ascii="Arial" w:eastAsia="Times New Roman" w:hAnsi="Arial" w:cs="Arial"/>
    </w:rPr>
  </w:style>
  <w:style w:type="character" w:customStyle="1" w:styleId="highlight">
    <w:name w:val="highlight"/>
    <w:basedOn w:val="DefaultParagraphFont"/>
    <w:rsid w:val="004D3679"/>
  </w:style>
  <w:style w:type="table" w:styleId="TableGrid">
    <w:name w:val="Table Grid"/>
    <w:basedOn w:val="TableNormal"/>
    <w:rsid w:val="00883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12C68"/>
    <w:rPr>
      <w:color w:val="5F5F5F" w:themeColor="hyperlink"/>
      <w:u w:val="single"/>
    </w:rPr>
  </w:style>
  <w:style w:type="table" w:customStyle="1" w:styleId="TableGrid1">
    <w:name w:val="Table Grid1"/>
    <w:basedOn w:val="TableNormal"/>
    <w:next w:val="TableGrid"/>
    <w:uiPriority w:val="59"/>
    <w:rsid w:val="00820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F5799"/>
    <w:rPr>
      <w:color w:val="919191" w:themeColor="followedHyperlink"/>
      <w:u w:val="single"/>
    </w:rPr>
  </w:style>
  <w:style w:type="table" w:customStyle="1" w:styleId="TableGrid2">
    <w:name w:val="Table Grid2"/>
    <w:basedOn w:val="TableNormal"/>
    <w:next w:val="TableGrid"/>
    <w:uiPriority w:val="59"/>
    <w:rsid w:val="003F5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582850"/>
  </w:style>
  <w:style w:type="paragraph" w:customStyle="1" w:styleId="Default">
    <w:name w:val="Default"/>
    <w:rsid w:val="00E24581"/>
    <w:pPr>
      <w:autoSpaceDE w:val="0"/>
      <w:autoSpaceDN w:val="0"/>
      <w:adjustRightInd w:val="0"/>
    </w:pPr>
    <w:rPr>
      <w:rFonts w:ascii="Helvetica 45 Light" w:hAnsi="Helvetica 45 Light" w:cs="Helvetica 45 Light"/>
      <w:color w:val="000000"/>
    </w:rPr>
  </w:style>
  <w:style w:type="paragraph" w:styleId="BodyText">
    <w:name w:val="Body Text"/>
    <w:basedOn w:val="Normal"/>
    <w:link w:val="BodyTextChar"/>
    <w:rsid w:val="008416F1"/>
    <w:pPr>
      <w:jc w:val="both"/>
    </w:pPr>
    <w:rPr>
      <w:rFonts w:ascii="Tahoma" w:hAnsi="Tahoma" w:cs="Times New Roman"/>
      <w:sz w:val="26"/>
      <w:szCs w:val="20"/>
    </w:rPr>
  </w:style>
  <w:style w:type="character" w:customStyle="1" w:styleId="BodyTextChar">
    <w:name w:val="Body Text Char"/>
    <w:basedOn w:val="DefaultParagraphFont"/>
    <w:link w:val="BodyText"/>
    <w:rsid w:val="008416F1"/>
    <w:rPr>
      <w:rFonts w:ascii="Tahoma" w:eastAsia="Times New Roman" w:hAnsi="Tahoma" w:cs="Times New Roman"/>
      <w:sz w:val="26"/>
      <w:szCs w:val="20"/>
    </w:rPr>
  </w:style>
  <w:style w:type="paragraph" w:styleId="List3">
    <w:name w:val="List 3"/>
    <w:basedOn w:val="Normal"/>
    <w:rsid w:val="008416F1"/>
    <w:pPr>
      <w:ind w:left="849" w:hanging="283"/>
    </w:pPr>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6A280F"/>
    <w:rPr>
      <w:sz w:val="16"/>
      <w:szCs w:val="16"/>
    </w:rPr>
  </w:style>
  <w:style w:type="paragraph" w:styleId="CommentText">
    <w:name w:val="annotation text"/>
    <w:basedOn w:val="Normal"/>
    <w:link w:val="CommentTextChar"/>
    <w:uiPriority w:val="99"/>
    <w:unhideWhenUsed/>
    <w:rsid w:val="006A280F"/>
    <w:rPr>
      <w:sz w:val="20"/>
      <w:szCs w:val="20"/>
    </w:rPr>
  </w:style>
  <w:style w:type="character" w:customStyle="1" w:styleId="CommentTextChar">
    <w:name w:val="Comment Text Char"/>
    <w:basedOn w:val="DefaultParagraphFont"/>
    <w:link w:val="CommentText"/>
    <w:uiPriority w:val="99"/>
    <w:rsid w:val="006A280F"/>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6A280F"/>
    <w:rPr>
      <w:b/>
      <w:bCs/>
    </w:rPr>
  </w:style>
  <w:style w:type="character" w:customStyle="1" w:styleId="CommentSubjectChar">
    <w:name w:val="Comment Subject Char"/>
    <w:basedOn w:val="CommentTextChar"/>
    <w:link w:val="CommentSubject"/>
    <w:uiPriority w:val="99"/>
    <w:semiHidden/>
    <w:rsid w:val="006A280F"/>
    <w:rPr>
      <w:rFonts w:ascii="Arial" w:eastAsia="Times New Roman" w:hAnsi="Arial" w:cs="Arial"/>
      <w:b/>
      <w:bCs/>
      <w:sz w:val="20"/>
      <w:szCs w:val="20"/>
    </w:rPr>
  </w:style>
  <w:style w:type="paragraph" w:styleId="NormalWeb">
    <w:name w:val="Normal (Web)"/>
    <w:basedOn w:val="Normal"/>
    <w:uiPriority w:val="99"/>
    <w:semiHidden/>
    <w:unhideWhenUsed/>
    <w:rsid w:val="004D1B58"/>
    <w:rPr>
      <w:rFonts w:ascii="Times New Roman" w:hAnsi="Times New Roman" w:cs="Times New Roman"/>
    </w:rPr>
  </w:style>
  <w:style w:type="table" w:customStyle="1" w:styleId="TableGrid3">
    <w:name w:val="Table Grid3"/>
    <w:basedOn w:val="TableNormal"/>
    <w:next w:val="TableGrid"/>
    <w:uiPriority w:val="59"/>
    <w:rsid w:val="00BB3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BB3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E30D4"/>
    <w:rPr>
      <w:rFonts w:ascii="Titillium" w:eastAsia="Times New Roman" w:hAnsi="Titillium" w:cs="Arial"/>
      <w:b/>
      <w:color w:val="E5233F"/>
      <w:sz w:val="32"/>
      <w:szCs w:val="32"/>
    </w:rPr>
  </w:style>
  <w:style w:type="character" w:styleId="Strong">
    <w:name w:val="Strong"/>
    <w:basedOn w:val="DefaultParagraphFont"/>
    <w:uiPriority w:val="22"/>
    <w:qFormat/>
    <w:rsid w:val="009D3BE0"/>
    <w:rPr>
      <w:b/>
      <w:bCs/>
    </w:rPr>
  </w:style>
  <w:style w:type="character" w:customStyle="1" w:styleId="Heading3Char">
    <w:name w:val="Heading 3 Char"/>
    <w:basedOn w:val="DefaultParagraphFont"/>
    <w:link w:val="Heading3"/>
    <w:uiPriority w:val="9"/>
    <w:rsid w:val="008E30D4"/>
    <w:rPr>
      <w:rFonts w:ascii="Titillium-Semibold" w:hAnsi="Titillium-Semibold" w:cs="Titillium-Semibold"/>
      <w:color w:val="E5233F"/>
      <w:sz w:val="22"/>
      <w:szCs w:val="22"/>
    </w:rPr>
  </w:style>
  <w:style w:type="character" w:styleId="PageNumber">
    <w:name w:val="page number"/>
    <w:basedOn w:val="DefaultParagraphFont"/>
    <w:uiPriority w:val="99"/>
    <w:semiHidden/>
    <w:unhideWhenUsed/>
    <w:rsid w:val="00064BDC"/>
  </w:style>
  <w:style w:type="character" w:styleId="UnresolvedMention">
    <w:name w:val="Unresolved Mention"/>
    <w:basedOn w:val="DefaultParagraphFont"/>
    <w:uiPriority w:val="99"/>
    <w:semiHidden/>
    <w:unhideWhenUsed/>
    <w:rsid w:val="009B6013"/>
    <w:rPr>
      <w:color w:val="605E5C"/>
      <w:shd w:val="clear" w:color="auto" w:fill="E1DFDD"/>
    </w:rPr>
  </w:style>
  <w:style w:type="character" w:customStyle="1" w:styleId="Heading1Char">
    <w:name w:val="Heading 1 Char"/>
    <w:basedOn w:val="DefaultParagraphFont"/>
    <w:link w:val="Heading1"/>
    <w:uiPriority w:val="9"/>
    <w:rsid w:val="00E2701B"/>
    <w:rPr>
      <w:rFonts w:ascii="Titillium" w:eastAsia="Times New Roman" w:hAnsi="Titillium" w:cs="Arial"/>
      <w:b/>
      <w:bCs/>
      <w:noProof/>
      <w:sz w:val="44"/>
      <w:szCs w:val="44"/>
      <w:lang w:eastAsia="en-GB"/>
    </w:rPr>
  </w:style>
  <w:style w:type="paragraph" w:customStyle="1" w:styleId="ContentsPagesNumber">
    <w:name w:val="Contents Pages Number"/>
    <w:basedOn w:val="ListParagraph"/>
    <w:link w:val="ContentsPagesNumberChar"/>
    <w:qFormat/>
    <w:rsid w:val="00E2701B"/>
    <w:pPr>
      <w:framePr w:hSpace="180" w:wrap="around" w:vAnchor="text" w:hAnchor="text" w:y="1"/>
      <w:numPr>
        <w:numId w:val="24"/>
      </w:numPr>
      <w:autoSpaceDE w:val="0"/>
      <w:autoSpaceDN w:val="0"/>
      <w:adjustRightInd w:val="0"/>
      <w:spacing w:line="360" w:lineRule="auto"/>
      <w:suppressOverlap/>
    </w:pPr>
    <w:rPr>
      <w:rFonts w:ascii="Titillium-Semibold" w:eastAsiaTheme="minorEastAsia" w:hAnsi="Titillium-Semibold" w:cs="Titillium-Semibold"/>
      <w:sz w:val="22"/>
      <w:szCs w:val="22"/>
    </w:rPr>
  </w:style>
  <w:style w:type="character" w:customStyle="1" w:styleId="ListParagraphChar">
    <w:name w:val="List Paragraph Char"/>
    <w:basedOn w:val="DefaultParagraphFont"/>
    <w:link w:val="ListParagraph"/>
    <w:uiPriority w:val="34"/>
    <w:rsid w:val="00E2701B"/>
    <w:rPr>
      <w:rFonts w:ascii="Arial" w:eastAsia="Times New Roman" w:hAnsi="Arial" w:cs="Arial"/>
    </w:rPr>
  </w:style>
  <w:style w:type="character" w:customStyle="1" w:styleId="ContentsPagesNumberChar">
    <w:name w:val="Contents Pages Number Char"/>
    <w:basedOn w:val="ListParagraphChar"/>
    <w:link w:val="ContentsPagesNumber"/>
    <w:rsid w:val="00E2701B"/>
    <w:rPr>
      <w:rFonts w:ascii="Titillium-Semibold" w:eastAsia="Times New Roman" w:hAnsi="Titillium-Semibold" w:cs="Titillium-Semibol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993265">
      <w:bodyDiv w:val="1"/>
      <w:marLeft w:val="0"/>
      <w:marRight w:val="0"/>
      <w:marTop w:val="0"/>
      <w:marBottom w:val="0"/>
      <w:divBdr>
        <w:top w:val="none" w:sz="0" w:space="0" w:color="auto"/>
        <w:left w:val="none" w:sz="0" w:space="0" w:color="auto"/>
        <w:bottom w:val="none" w:sz="0" w:space="0" w:color="auto"/>
        <w:right w:val="none" w:sz="0" w:space="0" w:color="auto"/>
      </w:divBdr>
      <w:divsChild>
        <w:div w:id="126315171">
          <w:marLeft w:val="0"/>
          <w:marRight w:val="0"/>
          <w:marTop w:val="0"/>
          <w:marBottom w:val="0"/>
          <w:divBdr>
            <w:top w:val="none" w:sz="0" w:space="0" w:color="auto"/>
            <w:left w:val="none" w:sz="0" w:space="0" w:color="auto"/>
            <w:bottom w:val="none" w:sz="0" w:space="0" w:color="auto"/>
            <w:right w:val="none" w:sz="0" w:space="0" w:color="auto"/>
          </w:divBdr>
          <w:divsChild>
            <w:div w:id="179704069">
              <w:marLeft w:val="0"/>
              <w:marRight w:val="0"/>
              <w:marTop w:val="0"/>
              <w:marBottom w:val="0"/>
              <w:divBdr>
                <w:top w:val="none" w:sz="0" w:space="0" w:color="auto"/>
                <w:left w:val="none" w:sz="0" w:space="0" w:color="auto"/>
                <w:bottom w:val="none" w:sz="0" w:space="0" w:color="auto"/>
                <w:right w:val="none" w:sz="0" w:space="0" w:color="auto"/>
              </w:divBdr>
              <w:divsChild>
                <w:div w:id="467552922">
                  <w:marLeft w:val="0"/>
                  <w:marRight w:val="0"/>
                  <w:marTop w:val="0"/>
                  <w:marBottom w:val="0"/>
                  <w:divBdr>
                    <w:top w:val="none" w:sz="0" w:space="0" w:color="auto"/>
                    <w:left w:val="none" w:sz="0" w:space="0" w:color="auto"/>
                    <w:bottom w:val="none" w:sz="0" w:space="0" w:color="auto"/>
                    <w:right w:val="none" w:sz="0" w:space="0" w:color="auto"/>
                  </w:divBdr>
                  <w:divsChild>
                    <w:div w:id="1103108045">
                      <w:marLeft w:val="0"/>
                      <w:marRight w:val="0"/>
                      <w:marTop w:val="210"/>
                      <w:marBottom w:val="0"/>
                      <w:divBdr>
                        <w:top w:val="none" w:sz="0" w:space="0" w:color="auto"/>
                        <w:left w:val="none" w:sz="0" w:space="0" w:color="auto"/>
                        <w:bottom w:val="none" w:sz="0" w:space="0" w:color="auto"/>
                        <w:right w:val="none" w:sz="0" w:space="0" w:color="auto"/>
                      </w:divBdr>
                      <w:divsChild>
                        <w:div w:id="2141026030">
                          <w:marLeft w:val="0"/>
                          <w:marRight w:val="0"/>
                          <w:marTop w:val="0"/>
                          <w:marBottom w:val="0"/>
                          <w:divBdr>
                            <w:top w:val="none" w:sz="0" w:space="0" w:color="auto"/>
                            <w:left w:val="none" w:sz="0" w:space="0" w:color="auto"/>
                            <w:bottom w:val="none" w:sz="0" w:space="0" w:color="auto"/>
                            <w:right w:val="none" w:sz="0" w:space="0" w:color="auto"/>
                          </w:divBdr>
                          <w:divsChild>
                            <w:div w:id="1965623103">
                              <w:marLeft w:val="0"/>
                              <w:marRight w:val="0"/>
                              <w:marTop w:val="0"/>
                              <w:marBottom w:val="0"/>
                              <w:divBdr>
                                <w:top w:val="none" w:sz="0" w:space="0" w:color="auto"/>
                                <w:left w:val="none" w:sz="0" w:space="0" w:color="auto"/>
                                <w:bottom w:val="none" w:sz="0" w:space="0" w:color="auto"/>
                                <w:right w:val="none" w:sz="0" w:space="0" w:color="auto"/>
                              </w:divBdr>
                              <w:divsChild>
                                <w:div w:id="60430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5633112">
      <w:bodyDiv w:val="1"/>
      <w:marLeft w:val="0"/>
      <w:marRight w:val="0"/>
      <w:marTop w:val="0"/>
      <w:marBottom w:val="0"/>
      <w:divBdr>
        <w:top w:val="none" w:sz="0" w:space="0" w:color="auto"/>
        <w:left w:val="none" w:sz="0" w:space="0" w:color="auto"/>
        <w:bottom w:val="none" w:sz="0" w:space="0" w:color="auto"/>
        <w:right w:val="none" w:sz="0" w:space="0" w:color="auto"/>
      </w:divBdr>
      <w:divsChild>
        <w:div w:id="1470899623">
          <w:marLeft w:val="0"/>
          <w:marRight w:val="0"/>
          <w:marTop w:val="0"/>
          <w:marBottom w:val="0"/>
          <w:divBdr>
            <w:top w:val="none" w:sz="0" w:space="0" w:color="auto"/>
            <w:left w:val="none" w:sz="0" w:space="0" w:color="auto"/>
            <w:bottom w:val="none" w:sz="0" w:space="0" w:color="auto"/>
            <w:right w:val="none" w:sz="0" w:space="0" w:color="auto"/>
          </w:divBdr>
          <w:divsChild>
            <w:div w:id="570431338">
              <w:marLeft w:val="0"/>
              <w:marRight w:val="0"/>
              <w:marTop w:val="0"/>
              <w:marBottom w:val="0"/>
              <w:divBdr>
                <w:top w:val="none" w:sz="0" w:space="0" w:color="auto"/>
                <w:left w:val="none" w:sz="0" w:space="0" w:color="auto"/>
                <w:bottom w:val="none" w:sz="0" w:space="0" w:color="auto"/>
                <w:right w:val="none" w:sz="0" w:space="0" w:color="auto"/>
              </w:divBdr>
              <w:divsChild>
                <w:div w:id="714430598">
                  <w:marLeft w:val="0"/>
                  <w:marRight w:val="0"/>
                  <w:marTop w:val="0"/>
                  <w:marBottom w:val="0"/>
                  <w:divBdr>
                    <w:top w:val="none" w:sz="0" w:space="0" w:color="auto"/>
                    <w:left w:val="none" w:sz="0" w:space="0" w:color="auto"/>
                    <w:bottom w:val="none" w:sz="0" w:space="0" w:color="auto"/>
                    <w:right w:val="none" w:sz="0" w:space="0" w:color="auto"/>
                  </w:divBdr>
                  <w:divsChild>
                    <w:div w:id="990330205">
                      <w:marLeft w:val="0"/>
                      <w:marRight w:val="0"/>
                      <w:marTop w:val="210"/>
                      <w:marBottom w:val="0"/>
                      <w:divBdr>
                        <w:top w:val="none" w:sz="0" w:space="0" w:color="auto"/>
                        <w:left w:val="none" w:sz="0" w:space="0" w:color="auto"/>
                        <w:bottom w:val="none" w:sz="0" w:space="0" w:color="auto"/>
                        <w:right w:val="none" w:sz="0" w:space="0" w:color="auto"/>
                      </w:divBdr>
                      <w:divsChild>
                        <w:div w:id="1091778492">
                          <w:marLeft w:val="0"/>
                          <w:marRight w:val="0"/>
                          <w:marTop w:val="0"/>
                          <w:marBottom w:val="0"/>
                          <w:divBdr>
                            <w:top w:val="none" w:sz="0" w:space="0" w:color="auto"/>
                            <w:left w:val="none" w:sz="0" w:space="0" w:color="auto"/>
                            <w:bottom w:val="none" w:sz="0" w:space="0" w:color="auto"/>
                            <w:right w:val="none" w:sz="0" w:space="0" w:color="auto"/>
                          </w:divBdr>
                          <w:divsChild>
                            <w:div w:id="295725742">
                              <w:marLeft w:val="0"/>
                              <w:marRight w:val="0"/>
                              <w:marTop w:val="0"/>
                              <w:marBottom w:val="0"/>
                              <w:divBdr>
                                <w:top w:val="none" w:sz="0" w:space="0" w:color="auto"/>
                                <w:left w:val="none" w:sz="0" w:space="0" w:color="auto"/>
                                <w:bottom w:val="none" w:sz="0" w:space="0" w:color="auto"/>
                                <w:right w:val="none" w:sz="0" w:space="0" w:color="auto"/>
                              </w:divBdr>
                              <w:divsChild>
                                <w:div w:id="10325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6891513">
      <w:bodyDiv w:val="1"/>
      <w:marLeft w:val="0"/>
      <w:marRight w:val="0"/>
      <w:marTop w:val="0"/>
      <w:marBottom w:val="0"/>
      <w:divBdr>
        <w:top w:val="none" w:sz="0" w:space="0" w:color="auto"/>
        <w:left w:val="none" w:sz="0" w:space="0" w:color="auto"/>
        <w:bottom w:val="none" w:sz="0" w:space="0" w:color="auto"/>
        <w:right w:val="none" w:sz="0" w:space="0" w:color="auto"/>
      </w:divBdr>
      <w:divsChild>
        <w:div w:id="71318563">
          <w:marLeft w:val="0"/>
          <w:marRight w:val="0"/>
          <w:marTop w:val="0"/>
          <w:marBottom w:val="0"/>
          <w:divBdr>
            <w:top w:val="none" w:sz="0" w:space="0" w:color="auto"/>
            <w:left w:val="none" w:sz="0" w:space="0" w:color="auto"/>
            <w:bottom w:val="none" w:sz="0" w:space="0" w:color="auto"/>
            <w:right w:val="none" w:sz="0" w:space="0" w:color="auto"/>
          </w:divBdr>
          <w:divsChild>
            <w:div w:id="584730779">
              <w:marLeft w:val="0"/>
              <w:marRight w:val="0"/>
              <w:marTop w:val="0"/>
              <w:marBottom w:val="0"/>
              <w:divBdr>
                <w:top w:val="none" w:sz="0" w:space="0" w:color="auto"/>
                <w:left w:val="none" w:sz="0" w:space="0" w:color="auto"/>
                <w:bottom w:val="none" w:sz="0" w:space="0" w:color="auto"/>
                <w:right w:val="none" w:sz="0" w:space="0" w:color="auto"/>
              </w:divBdr>
              <w:divsChild>
                <w:div w:id="1252474795">
                  <w:marLeft w:val="0"/>
                  <w:marRight w:val="0"/>
                  <w:marTop w:val="0"/>
                  <w:marBottom w:val="0"/>
                  <w:divBdr>
                    <w:top w:val="none" w:sz="0" w:space="0" w:color="auto"/>
                    <w:left w:val="none" w:sz="0" w:space="0" w:color="auto"/>
                    <w:bottom w:val="none" w:sz="0" w:space="0" w:color="auto"/>
                    <w:right w:val="none" w:sz="0" w:space="0" w:color="auto"/>
                  </w:divBdr>
                  <w:divsChild>
                    <w:div w:id="721096330">
                      <w:marLeft w:val="0"/>
                      <w:marRight w:val="0"/>
                      <w:marTop w:val="0"/>
                      <w:marBottom w:val="0"/>
                      <w:divBdr>
                        <w:top w:val="none" w:sz="0" w:space="0" w:color="auto"/>
                        <w:left w:val="none" w:sz="0" w:space="0" w:color="auto"/>
                        <w:bottom w:val="none" w:sz="0" w:space="0" w:color="auto"/>
                        <w:right w:val="none" w:sz="0" w:space="0" w:color="auto"/>
                      </w:divBdr>
                      <w:divsChild>
                        <w:div w:id="197863675">
                          <w:marLeft w:val="0"/>
                          <w:marRight w:val="0"/>
                          <w:marTop w:val="0"/>
                          <w:marBottom w:val="0"/>
                          <w:divBdr>
                            <w:top w:val="none" w:sz="0" w:space="0" w:color="auto"/>
                            <w:left w:val="none" w:sz="0" w:space="0" w:color="auto"/>
                            <w:bottom w:val="none" w:sz="0" w:space="0" w:color="auto"/>
                            <w:right w:val="none" w:sz="0" w:space="0" w:color="auto"/>
                          </w:divBdr>
                          <w:divsChild>
                            <w:div w:id="2022735371">
                              <w:marLeft w:val="0"/>
                              <w:marRight w:val="0"/>
                              <w:marTop w:val="0"/>
                              <w:marBottom w:val="0"/>
                              <w:divBdr>
                                <w:top w:val="none" w:sz="0" w:space="0" w:color="auto"/>
                                <w:left w:val="none" w:sz="0" w:space="0" w:color="auto"/>
                                <w:bottom w:val="none" w:sz="0" w:space="0" w:color="auto"/>
                                <w:right w:val="none" w:sz="0" w:space="0" w:color="auto"/>
                              </w:divBdr>
                              <w:divsChild>
                                <w:div w:id="1063022853">
                                  <w:marLeft w:val="0"/>
                                  <w:marRight w:val="0"/>
                                  <w:marTop w:val="0"/>
                                  <w:marBottom w:val="0"/>
                                  <w:divBdr>
                                    <w:top w:val="none" w:sz="0" w:space="0" w:color="auto"/>
                                    <w:left w:val="none" w:sz="0" w:space="0" w:color="auto"/>
                                    <w:bottom w:val="none" w:sz="0" w:space="0" w:color="auto"/>
                                    <w:right w:val="none" w:sz="0" w:space="0" w:color="auto"/>
                                  </w:divBdr>
                                  <w:divsChild>
                                    <w:div w:id="835806553">
                                      <w:marLeft w:val="0"/>
                                      <w:marRight w:val="0"/>
                                      <w:marTop w:val="0"/>
                                      <w:marBottom w:val="0"/>
                                      <w:divBdr>
                                        <w:top w:val="none" w:sz="0" w:space="0" w:color="auto"/>
                                        <w:left w:val="none" w:sz="0" w:space="0" w:color="auto"/>
                                        <w:bottom w:val="none" w:sz="0" w:space="0" w:color="auto"/>
                                        <w:right w:val="none" w:sz="0" w:space="0" w:color="auto"/>
                                      </w:divBdr>
                                      <w:divsChild>
                                        <w:div w:id="444346623">
                                          <w:marLeft w:val="0"/>
                                          <w:marRight w:val="0"/>
                                          <w:marTop w:val="0"/>
                                          <w:marBottom w:val="0"/>
                                          <w:divBdr>
                                            <w:top w:val="none" w:sz="0" w:space="0" w:color="auto"/>
                                            <w:left w:val="none" w:sz="0" w:space="0" w:color="auto"/>
                                            <w:bottom w:val="none" w:sz="0" w:space="0" w:color="auto"/>
                                            <w:right w:val="none" w:sz="0" w:space="0" w:color="auto"/>
                                          </w:divBdr>
                                          <w:divsChild>
                                            <w:div w:id="32926518">
                                              <w:marLeft w:val="0"/>
                                              <w:marRight w:val="0"/>
                                              <w:marTop w:val="0"/>
                                              <w:marBottom w:val="0"/>
                                              <w:divBdr>
                                                <w:top w:val="none" w:sz="0" w:space="0" w:color="auto"/>
                                                <w:left w:val="none" w:sz="0" w:space="0" w:color="auto"/>
                                                <w:bottom w:val="none" w:sz="0" w:space="0" w:color="auto"/>
                                                <w:right w:val="none" w:sz="0" w:space="0" w:color="auto"/>
                                              </w:divBdr>
                                              <w:divsChild>
                                                <w:div w:id="400181577">
                                                  <w:marLeft w:val="0"/>
                                                  <w:marRight w:val="0"/>
                                                  <w:marTop w:val="0"/>
                                                  <w:marBottom w:val="45"/>
                                                  <w:divBdr>
                                                    <w:top w:val="none" w:sz="0" w:space="0" w:color="auto"/>
                                                    <w:left w:val="none" w:sz="0" w:space="0" w:color="auto"/>
                                                    <w:bottom w:val="none" w:sz="0" w:space="0" w:color="auto"/>
                                                    <w:right w:val="none" w:sz="0" w:space="0" w:color="auto"/>
                                                  </w:divBdr>
                                                </w:div>
                                                <w:div w:id="1649507394">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2016289">
      <w:bodyDiv w:val="1"/>
      <w:marLeft w:val="0"/>
      <w:marRight w:val="0"/>
      <w:marTop w:val="0"/>
      <w:marBottom w:val="0"/>
      <w:divBdr>
        <w:top w:val="none" w:sz="0" w:space="0" w:color="auto"/>
        <w:left w:val="none" w:sz="0" w:space="0" w:color="auto"/>
        <w:bottom w:val="none" w:sz="0" w:space="0" w:color="auto"/>
        <w:right w:val="none" w:sz="0" w:space="0" w:color="auto"/>
      </w:divBdr>
      <w:divsChild>
        <w:div w:id="2135832698">
          <w:marLeft w:val="0"/>
          <w:marRight w:val="0"/>
          <w:marTop w:val="0"/>
          <w:marBottom w:val="0"/>
          <w:divBdr>
            <w:top w:val="none" w:sz="0" w:space="0" w:color="auto"/>
            <w:left w:val="none" w:sz="0" w:space="0" w:color="auto"/>
            <w:bottom w:val="none" w:sz="0" w:space="0" w:color="auto"/>
            <w:right w:val="none" w:sz="0" w:space="0" w:color="auto"/>
          </w:divBdr>
          <w:divsChild>
            <w:div w:id="420152190">
              <w:marLeft w:val="0"/>
              <w:marRight w:val="0"/>
              <w:marTop w:val="0"/>
              <w:marBottom w:val="0"/>
              <w:divBdr>
                <w:top w:val="none" w:sz="0" w:space="0" w:color="auto"/>
                <w:left w:val="none" w:sz="0" w:space="0" w:color="auto"/>
                <w:bottom w:val="none" w:sz="0" w:space="0" w:color="auto"/>
                <w:right w:val="none" w:sz="0" w:space="0" w:color="auto"/>
              </w:divBdr>
              <w:divsChild>
                <w:div w:id="1975210981">
                  <w:marLeft w:val="0"/>
                  <w:marRight w:val="0"/>
                  <w:marTop w:val="0"/>
                  <w:marBottom w:val="0"/>
                  <w:divBdr>
                    <w:top w:val="none" w:sz="0" w:space="0" w:color="auto"/>
                    <w:left w:val="none" w:sz="0" w:space="0" w:color="auto"/>
                    <w:bottom w:val="none" w:sz="0" w:space="0" w:color="auto"/>
                    <w:right w:val="none" w:sz="0" w:space="0" w:color="auto"/>
                  </w:divBdr>
                  <w:divsChild>
                    <w:div w:id="233514286">
                      <w:marLeft w:val="0"/>
                      <w:marRight w:val="0"/>
                      <w:marTop w:val="210"/>
                      <w:marBottom w:val="0"/>
                      <w:divBdr>
                        <w:top w:val="none" w:sz="0" w:space="0" w:color="auto"/>
                        <w:left w:val="none" w:sz="0" w:space="0" w:color="auto"/>
                        <w:bottom w:val="none" w:sz="0" w:space="0" w:color="auto"/>
                        <w:right w:val="none" w:sz="0" w:space="0" w:color="auto"/>
                      </w:divBdr>
                      <w:divsChild>
                        <w:div w:id="1862930293">
                          <w:marLeft w:val="0"/>
                          <w:marRight w:val="0"/>
                          <w:marTop w:val="0"/>
                          <w:marBottom w:val="0"/>
                          <w:divBdr>
                            <w:top w:val="none" w:sz="0" w:space="0" w:color="auto"/>
                            <w:left w:val="none" w:sz="0" w:space="0" w:color="auto"/>
                            <w:bottom w:val="none" w:sz="0" w:space="0" w:color="auto"/>
                            <w:right w:val="none" w:sz="0" w:space="0" w:color="auto"/>
                          </w:divBdr>
                          <w:divsChild>
                            <w:div w:id="1951275690">
                              <w:marLeft w:val="0"/>
                              <w:marRight w:val="0"/>
                              <w:marTop w:val="0"/>
                              <w:marBottom w:val="0"/>
                              <w:divBdr>
                                <w:top w:val="none" w:sz="0" w:space="0" w:color="auto"/>
                                <w:left w:val="none" w:sz="0" w:space="0" w:color="auto"/>
                                <w:bottom w:val="none" w:sz="0" w:space="0" w:color="auto"/>
                                <w:right w:val="none" w:sz="0" w:space="0" w:color="auto"/>
                              </w:divBdr>
                              <w:divsChild>
                                <w:div w:id="136664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155378">
      <w:bodyDiv w:val="1"/>
      <w:marLeft w:val="0"/>
      <w:marRight w:val="0"/>
      <w:marTop w:val="0"/>
      <w:marBottom w:val="0"/>
      <w:divBdr>
        <w:top w:val="none" w:sz="0" w:space="0" w:color="auto"/>
        <w:left w:val="none" w:sz="0" w:space="0" w:color="auto"/>
        <w:bottom w:val="none" w:sz="0" w:space="0" w:color="auto"/>
        <w:right w:val="none" w:sz="0" w:space="0" w:color="auto"/>
      </w:divBdr>
      <w:divsChild>
        <w:div w:id="26831721">
          <w:marLeft w:val="0"/>
          <w:marRight w:val="0"/>
          <w:marTop w:val="0"/>
          <w:marBottom w:val="0"/>
          <w:divBdr>
            <w:top w:val="none" w:sz="0" w:space="0" w:color="auto"/>
            <w:left w:val="none" w:sz="0" w:space="0" w:color="auto"/>
            <w:bottom w:val="none" w:sz="0" w:space="0" w:color="auto"/>
            <w:right w:val="none" w:sz="0" w:space="0" w:color="auto"/>
          </w:divBdr>
          <w:divsChild>
            <w:div w:id="558903433">
              <w:marLeft w:val="0"/>
              <w:marRight w:val="0"/>
              <w:marTop w:val="0"/>
              <w:marBottom w:val="0"/>
              <w:divBdr>
                <w:top w:val="none" w:sz="0" w:space="0" w:color="auto"/>
                <w:left w:val="none" w:sz="0" w:space="0" w:color="auto"/>
                <w:bottom w:val="none" w:sz="0" w:space="0" w:color="auto"/>
                <w:right w:val="none" w:sz="0" w:space="0" w:color="auto"/>
              </w:divBdr>
              <w:divsChild>
                <w:div w:id="323749629">
                  <w:marLeft w:val="0"/>
                  <w:marRight w:val="0"/>
                  <w:marTop w:val="0"/>
                  <w:marBottom w:val="0"/>
                  <w:divBdr>
                    <w:top w:val="none" w:sz="0" w:space="0" w:color="auto"/>
                    <w:left w:val="none" w:sz="0" w:space="0" w:color="auto"/>
                    <w:bottom w:val="none" w:sz="0" w:space="0" w:color="auto"/>
                    <w:right w:val="none" w:sz="0" w:space="0" w:color="auto"/>
                  </w:divBdr>
                  <w:divsChild>
                    <w:div w:id="164518855">
                      <w:marLeft w:val="0"/>
                      <w:marRight w:val="0"/>
                      <w:marTop w:val="210"/>
                      <w:marBottom w:val="0"/>
                      <w:divBdr>
                        <w:top w:val="none" w:sz="0" w:space="0" w:color="auto"/>
                        <w:left w:val="none" w:sz="0" w:space="0" w:color="auto"/>
                        <w:bottom w:val="none" w:sz="0" w:space="0" w:color="auto"/>
                        <w:right w:val="none" w:sz="0" w:space="0" w:color="auto"/>
                      </w:divBdr>
                      <w:divsChild>
                        <w:div w:id="509218307">
                          <w:marLeft w:val="0"/>
                          <w:marRight w:val="0"/>
                          <w:marTop w:val="0"/>
                          <w:marBottom w:val="0"/>
                          <w:divBdr>
                            <w:top w:val="none" w:sz="0" w:space="0" w:color="auto"/>
                            <w:left w:val="none" w:sz="0" w:space="0" w:color="auto"/>
                            <w:bottom w:val="none" w:sz="0" w:space="0" w:color="auto"/>
                            <w:right w:val="none" w:sz="0" w:space="0" w:color="auto"/>
                          </w:divBdr>
                          <w:divsChild>
                            <w:div w:id="982809883">
                              <w:marLeft w:val="0"/>
                              <w:marRight w:val="0"/>
                              <w:marTop w:val="0"/>
                              <w:marBottom w:val="0"/>
                              <w:divBdr>
                                <w:top w:val="none" w:sz="0" w:space="0" w:color="auto"/>
                                <w:left w:val="none" w:sz="0" w:space="0" w:color="auto"/>
                                <w:bottom w:val="none" w:sz="0" w:space="0" w:color="auto"/>
                                <w:right w:val="none" w:sz="0" w:space="0" w:color="auto"/>
                              </w:divBdr>
                              <w:divsChild>
                                <w:div w:id="108947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7217828">
      <w:bodyDiv w:val="1"/>
      <w:marLeft w:val="0"/>
      <w:marRight w:val="0"/>
      <w:marTop w:val="0"/>
      <w:marBottom w:val="0"/>
      <w:divBdr>
        <w:top w:val="none" w:sz="0" w:space="0" w:color="auto"/>
        <w:left w:val="none" w:sz="0" w:space="0" w:color="auto"/>
        <w:bottom w:val="none" w:sz="0" w:space="0" w:color="auto"/>
        <w:right w:val="none" w:sz="0" w:space="0" w:color="auto"/>
      </w:divBdr>
      <w:divsChild>
        <w:div w:id="2110612382">
          <w:marLeft w:val="0"/>
          <w:marRight w:val="0"/>
          <w:marTop w:val="0"/>
          <w:marBottom w:val="0"/>
          <w:divBdr>
            <w:top w:val="none" w:sz="0" w:space="0" w:color="auto"/>
            <w:left w:val="none" w:sz="0" w:space="0" w:color="auto"/>
            <w:bottom w:val="none" w:sz="0" w:space="0" w:color="auto"/>
            <w:right w:val="none" w:sz="0" w:space="0" w:color="auto"/>
          </w:divBdr>
          <w:divsChild>
            <w:div w:id="824472347">
              <w:marLeft w:val="0"/>
              <w:marRight w:val="0"/>
              <w:marTop w:val="0"/>
              <w:marBottom w:val="0"/>
              <w:divBdr>
                <w:top w:val="none" w:sz="0" w:space="0" w:color="auto"/>
                <w:left w:val="none" w:sz="0" w:space="0" w:color="auto"/>
                <w:bottom w:val="none" w:sz="0" w:space="0" w:color="auto"/>
                <w:right w:val="none" w:sz="0" w:space="0" w:color="auto"/>
              </w:divBdr>
              <w:divsChild>
                <w:div w:id="1473061568">
                  <w:marLeft w:val="0"/>
                  <w:marRight w:val="0"/>
                  <w:marTop w:val="0"/>
                  <w:marBottom w:val="0"/>
                  <w:divBdr>
                    <w:top w:val="none" w:sz="0" w:space="0" w:color="auto"/>
                    <w:left w:val="none" w:sz="0" w:space="0" w:color="auto"/>
                    <w:bottom w:val="none" w:sz="0" w:space="0" w:color="auto"/>
                    <w:right w:val="none" w:sz="0" w:space="0" w:color="auto"/>
                  </w:divBdr>
                  <w:divsChild>
                    <w:div w:id="1789423499">
                      <w:marLeft w:val="0"/>
                      <w:marRight w:val="0"/>
                      <w:marTop w:val="210"/>
                      <w:marBottom w:val="0"/>
                      <w:divBdr>
                        <w:top w:val="none" w:sz="0" w:space="0" w:color="auto"/>
                        <w:left w:val="none" w:sz="0" w:space="0" w:color="auto"/>
                        <w:bottom w:val="none" w:sz="0" w:space="0" w:color="auto"/>
                        <w:right w:val="none" w:sz="0" w:space="0" w:color="auto"/>
                      </w:divBdr>
                      <w:divsChild>
                        <w:div w:id="1257901707">
                          <w:marLeft w:val="0"/>
                          <w:marRight w:val="0"/>
                          <w:marTop w:val="0"/>
                          <w:marBottom w:val="0"/>
                          <w:divBdr>
                            <w:top w:val="none" w:sz="0" w:space="0" w:color="auto"/>
                            <w:left w:val="none" w:sz="0" w:space="0" w:color="auto"/>
                            <w:bottom w:val="none" w:sz="0" w:space="0" w:color="auto"/>
                            <w:right w:val="none" w:sz="0" w:space="0" w:color="auto"/>
                          </w:divBdr>
                          <w:divsChild>
                            <w:div w:id="1242717072">
                              <w:marLeft w:val="0"/>
                              <w:marRight w:val="0"/>
                              <w:marTop w:val="0"/>
                              <w:marBottom w:val="0"/>
                              <w:divBdr>
                                <w:top w:val="none" w:sz="0" w:space="0" w:color="auto"/>
                                <w:left w:val="none" w:sz="0" w:space="0" w:color="auto"/>
                                <w:bottom w:val="none" w:sz="0" w:space="0" w:color="auto"/>
                                <w:right w:val="none" w:sz="0" w:space="0" w:color="auto"/>
                              </w:divBdr>
                              <w:divsChild>
                                <w:div w:id="183815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9086535">
      <w:bodyDiv w:val="1"/>
      <w:marLeft w:val="0"/>
      <w:marRight w:val="0"/>
      <w:marTop w:val="0"/>
      <w:marBottom w:val="0"/>
      <w:divBdr>
        <w:top w:val="none" w:sz="0" w:space="0" w:color="auto"/>
        <w:left w:val="none" w:sz="0" w:space="0" w:color="auto"/>
        <w:bottom w:val="none" w:sz="0" w:space="0" w:color="auto"/>
        <w:right w:val="none" w:sz="0" w:space="0" w:color="auto"/>
      </w:divBdr>
    </w:div>
    <w:div w:id="1060250270">
      <w:bodyDiv w:val="1"/>
      <w:marLeft w:val="0"/>
      <w:marRight w:val="0"/>
      <w:marTop w:val="0"/>
      <w:marBottom w:val="0"/>
      <w:divBdr>
        <w:top w:val="none" w:sz="0" w:space="0" w:color="auto"/>
        <w:left w:val="none" w:sz="0" w:space="0" w:color="auto"/>
        <w:bottom w:val="none" w:sz="0" w:space="0" w:color="auto"/>
        <w:right w:val="none" w:sz="0" w:space="0" w:color="auto"/>
      </w:divBdr>
      <w:divsChild>
        <w:div w:id="1270820559">
          <w:marLeft w:val="0"/>
          <w:marRight w:val="0"/>
          <w:marTop w:val="0"/>
          <w:marBottom w:val="0"/>
          <w:divBdr>
            <w:top w:val="none" w:sz="0" w:space="0" w:color="auto"/>
            <w:left w:val="none" w:sz="0" w:space="0" w:color="auto"/>
            <w:bottom w:val="none" w:sz="0" w:space="0" w:color="auto"/>
            <w:right w:val="none" w:sz="0" w:space="0" w:color="auto"/>
          </w:divBdr>
          <w:divsChild>
            <w:div w:id="2107381490">
              <w:marLeft w:val="0"/>
              <w:marRight w:val="0"/>
              <w:marTop w:val="0"/>
              <w:marBottom w:val="0"/>
              <w:divBdr>
                <w:top w:val="none" w:sz="0" w:space="0" w:color="auto"/>
                <w:left w:val="none" w:sz="0" w:space="0" w:color="auto"/>
                <w:bottom w:val="none" w:sz="0" w:space="0" w:color="auto"/>
                <w:right w:val="none" w:sz="0" w:space="0" w:color="auto"/>
              </w:divBdr>
              <w:divsChild>
                <w:div w:id="1978946225">
                  <w:marLeft w:val="0"/>
                  <w:marRight w:val="0"/>
                  <w:marTop w:val="0"/>
                  <w:marBottom w:val="0"/>
                  <w:divBdr>
                    <w:top w:val="none" w:sz="0" w:space="0" w:color="auto"/>
                    <w:left w:val="none" w:sz="0" w:space="0" w:color="auto"/>
                    <w:bottom w:val="none" w:sz="0" w:space="0" w:color="auto"/>
                    <w:right w:val="none" w:sz="0" w:space="0" w:color="auto"/>
                  </w:divBdr>
                  <w:divsChild>
                    <w:div w:id="1110783009">
                      <w:marLeft w:val="0"/>
                      <w:marRight w:val="0"/>
                      <w:marTop w:val="210"/>
                      <w:marBottom w:val="0"/>
                      <w:divBdr>
                        <w:top w:val="none" w:sz="0" w:space="0" w:color="auto"/>
                        <w:left w:val="none" w:sz="0" w:space="0" w:color="auto"/>
                        <w:bottom w:val="none" w:sz="0" w:space="0" w:color="auto"/>
                        <w:right w:val="none" w:sz="0" w:space="0" w:color="auto"/>
                      </w:divBdr>
                      <w:divsChild>
                        <w:div w:id="154609391">
                          <w:marLeft w:val="0"/>
                          <w:marRight w:val="0"/>
                          <w:marTop w:val="0"/>
                          <w:marBottom w:val="0"/>
                          <w:divBdr>
                            <w:top w:val="none" w:sz="0" w:space="0" w:color="auto"/>
                            <w:left w:val="none" w:sz="0" w:space="0" w:color="auto"/>
                            <w:bottom w:val="none" w:sz="0" w:space="0" w:color="auto"/>
                            <w:right w:val="none" w:sz="0" w:space="0" w:color="auto"/>
                          </w:divBdr>
                          <w:divsChild>
                            <w:div w:id="647786424">
                              <w:marLeft w:val="0"/>
                              <w:marRight w:val="0"/>
                              <w:marTop w:val="0"/>
                              <w:marBottom w:val="0"/>
                              <w:divBdr>
                                <w:top w:val="none" w:sz="0" w:space="0" w:color="auto"/>
                                <w:left w:val="none" w:sz="0" w:space="0" w:color="auto"/>
                                <w:bottom w:val="none" w:sz="0" w:space="0" w:color="auto"/>
                                <w:right w:val="none" w:sz="0" w:space="0" w:color="auto"/>
                              </w:divBdr>
                              <w:divsChild>
                                <w:div w:id="121912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266387">
      <w:bodyDiv w:val="1"/>
      <w:marLeft w:val="0"/>
      <w:marRight w:val="0"/>
      <w:marTop w:val="0"/>
      <w:marBottom w:val="0"/>
      <w:divBdr>
        <w:top w:val="none" w:sz="0" w:space="0" w:color="auto"/>
        <w:left w:val="none" w:sz="0" w:space="0" w:color="auto"/>
        <w:bottom w:val="none" w:sz="0" w:space="0" w:color="auto"/>
        <w:right w:val="none" w:sz="0" w:space="0" w:color="auto"/>
      </w:divBdr>
    </w:div>
    <w:div w:id="1255674817">
      <w:bodyDiv w:val="1"/>
      <w:marLeft w:val="0"/>
      <w:marRight w:val="0"/>
      <w:marTop w:val="0"/>
      <w:marBottom w:val="0"/>
      <w:divBdr>
        <w:top w:val="none" w:sz="0" w:space="0" w:color="auto"/>
        <w:left w:val="none" w:sz="0" w:space="0" w:color="auto"/>
        <w:bottom w:val="none" w:sz="0" w:space="0" w:color="auto"/>
        <w:right w:val="none" w:sz="0" w:space="0" w:color="auto"/>
      </w:divBdr>
      <w:divsChild>
        <w:div w:id="817695967">
          <w:marLeft w:val="0"/>
          <w:marRight w:val="0"/>
          <w:marTop w:val="0"/>
          <w:marBottom w:val="0"/>
          <w:divBdr>
            <w:top w:val="none" w:sz="0" w:space="0" w:color="auto"/>
            <w:left w:val="none" w:sz="0" w:space="0" w:color="auto"/>
            <w:bottom w:val="none" w:sz="0" w:space="0" w:color="auto"/>
            <w:right w:val="none" w:sz="0" w:space="0" w:color="auto"/>
          </w:divBdr>
          <w:divsChild>
            <w:div w:id="864371538">
              <w:marLeft w:val="0"/>
              <w:marRight w:val="0"/>
              <w:marTop w:val="0"/>
              <w:marBottom w:val="0"/>
              <w:divBdr>
                <w:top w:val="none" w:sz="0" w:space="0" w:color="auto"/>
                <w:left w:val="none" w:sz="0" w:space="0" w:color="auto"/>
                <w:bottom w:val="none" w:sz="0" w:space="0" w:color="auto"/>
                <w:right w:val="none" w:sz="0" w:space="0" w:color="auto"/>
              </w:divBdr>
              <w:divsChild>
                <w:div w:id="326137158">
                  <w:marLeft w:val="0"/>
                  <w:marRight w:val="0"/>
                  <w:marTop w:val="0"/>
                  <w:marBottom w:val="0"/>
                  <w:divBdr>
                    <w:top w:val="none" w:sz="0" w:space="0" w:color="auto"/>
                    <w:left w:val="none" w:sz="0" w:space="0" w:color="auto"/>
                    <w:bottom w:val="none" w:sz="0" w:space="0" w:color="auto"/>
                    <w:right w:val="none" w:sz="0" w:space="0" w:color="auto"/>
                  </w:divBdr>
                  <w:divsChild>
                    <w:div w:id="878201268">
                      <w:marLeft w:val="0"/>
                      <w:marRight w:val="0"/>
                      <w:marTop w:val="210"/>
                      <w:marBottom w:val="0"/>
                      <w:divBdr>
                        <w:top w:val="none" w:sz="0" w:space="0" w:color="auto"/>
                        <w:left w:val="none" w:sz="0" w:space="0" w:color="auto"/>
                        <w:bottom w:val="none" w:sz="0" w:space="0" w:color="auto"/>
                        <w:right w:val="none" w:sz="0" w:space="0" w:color="auto"/>
                      </w:divBdr>
                      <w:divsChild>
                        <w:div w:id="1578975882">
                          <w:marLeft w:val="0"/>
                          <w:marRight w:val="0"/>
                          <w:marTop w:val="0"/>
                          <w:marBottom w:val="0"/>
                          <w:divBdr>
                            <w:top w:val="none" w:sz="0" w:space="0" w:color="auto"/>
                            <w:left w:val="none" w:sz="0" w:space="0" w:color="auto"/>
                            <w:bottom w:val="none" w:sz="0" w:space="0" w:color="auto"/>
                            <w:right w:val="none" w:sz="0" w:space="0" w:color="auto"/>
                          </w:divBdr>
                          <w:divsChild>
                            <w:div w:id="947195600">
                              <w:marLeft w:val="0"/>
                              <w:marRight w:val="0"/>
                              <w:marTop w:val="0"/>
                              <w:marBottom w:val="0"/>
                              <w:divBdr>
                                <w:top w:val="none" w:sz="0" w:space="0" w:color="auto"/>
                                <w:left w:val="none" w:sz="0" w:space="0" w:color="auto"/>
                                <w:bottom w:val="none" w:sz="0" w:space="0" w:color="auto"/>
                                <w:right w:val="none" w:sz="0" w:space="0" w:color="auto"/>
                              </w:divBdr>
                              <w:divsChild>
                                <w:div w:id="124715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6436419">
      <w:bodyDiv w:val="1"/>
      <w:marLeft w:val="0"/>
      <w:marRight w:val="0"/>
      <w:marTop w:val="0"/>
      <w:marBottom w:val="0"/>
      <w:divBdr>
        <w:top w:val="none" w:sz="0" w:space="0" w:color="auto"/>
        <w:left w:val="none" w:sz="0" w:space="0" w:color="auto"/>
        <w:bottom w:val="none" w:sz="0" w:space="0" w:color="auto"/>
        <w:right w:val="none" w:sz="0" w:space="0" w:color="auto"/>
      </w:divBdr>
      <w:divsChild>
        <w:div w:id="820927984">
          <w:marLeft w:val="0"/>
          <w:marRight w:val="0"/>
          <w:marTop w:val="0"/>
          <w:marBottom w:val="0"/>
          <w:divBdr>
            <w:top w:val="none" w:sz="0" w:space="0" w:color="auto"/>
            <w:left w:val="none" w:sz="0" w:space="0" w:color="auto"/>
            <w:bottom w:val="none" w:sz="0" w:space="0" w:color="auto"/>
            <w:right w:val="none" w:sz="0" w:space="0" w:color="auto"/>
          </w:divBdr>
          <w:divsChild>
            <w:div w:id="732629511">
              <w:marLeft w:val="0"/>
              <w:marRight w:val="0"/>
              <w:marTop w:val="0"/>
              <w:marBottom w:val="0"/>
              <w:divBdr>
                <w:top w:val="none" w:sz="0" w:space="0" w:color="auto"/>
                <w:left w:val="none" w:sz="0" w:space="0" w:color="auto"/>
                <w:bottom w:val="none" w:sz="0" w:space="0" w:color="auto"/>
                <w:right w:val="none" w:sz="0" w:space="0" w:color="auto"/>
              </w:divBdr>
              <w:divsChild>
                <w:div w:id="1166281620">
                  <w:marLeft w:val="0"/>
                  <w:marRight w:val="0"/>
                  <w:marTop w:val="0"/>
                  <w:marBottom w:val="0"/>
                  <w:divBdr>
                    <w:top w:val="none" w:sz="0" w:space="0" w:color="auto"/>
                    <w:left w:val="none" w:sz="0" w:space="0" w:color="auto"/>
                    <w:bottom w:val="none" w:sz="0" w:space="0" w:color="auto"/>
                    <w:right w:val="none" w:sz="0" w:space="0" w:color="auto"/>
                  </w:divBdr>
                  <w:divsChild>
                    <w:div w:id="143357942">
                      <w:marLeft w:val="0"/>
                      <w:marRight w:val="0"/>
                      <w:marTop w:val="210"/>
                      <w:marBottom w:val="0"/>
                      <w:divBdr>
                        <w:top w:val="none" w:sz="0" w:space="0" w:color="auto"/>
                        <w:left w:val="none" w:sz="0" w:space="0" w:color="auto"/>
                        <w:bottom w:val="none" w:sz="0" w:space="0" w:color="auto"/>
                        <w:right w:val="none" w:sz="0" w:space="0" w:color="auto"/>
                      </w:divBdr>
                      <w:divsChild>
                        <w:div w:id="825626882">
                          <w:marLeft w:val="0"/>
                          <w:marRight w:val="0"/>
                          <w:marTop w:val="0"/>
                          <w:marBottom w:val="0"/>
                          <w:divBdr>
                            <w:top w:val="none" w:sz="0" w:space="0" w:color="auto"/>
                            <w:left w:val="none" w:sz="0" w:space="0" w:color="auto"/>
                            <w:bottom w:val="none" w:sz="0" w:space="0" w:color="auto"/>
                            <w:right w:val="none" w:sz="0" w:space="0" w:color="auto"/>
                          </w:divBdr>
                          <w:divsChild>
                            <w:div w:id="16542141">
                              <w:marLeft w:val="0"/>
                              <w:marRight w:val="0"/>
                              <w:marTop w:val="0"/>
                              <w:marBottom w:val="0"/>
                              <w:divBdr>
                                <w:top w:val="none" w:sz="0" w:space="0" w:color="auto"/>
                                <w:left w:val="none" w:sz="0" w:space="0" w:color="auto"/>
                                <w:bottom w:val="none" w:sz="0" w:space="0" w:color="auto"/>
                                <w:right w:val="none" w:sz="0" w:space="0" w:color="auto"/>
                              </w:divBdr>
                              <w:divsChild>
                                <w:div w:id="86752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9576477">
      <w:bodyDiv w:val="1"/>
      <w:marLeft w:val="0"/>
      <w:marRight w:val="0"/>
      <w:marTop w:val="0"/>
      <w:marBottom w:val="0"/>
      <w:divBdr>
        <w:top w:val="none" w:sz="0" w:space="0" w:color="auto"/>
        <w:left w:val="none" w:sz="0" w:space="0" w:color="auto"/>
        <w:bottom w:val="none" w:sz="0" w:space="0" w:color="auto"/>
        <w:right w:val="none" w:sz="0" w:space="0" w:color="auto"/>
      </w:divBdr>
      <w:divsChild>
        <w:div w:id="1411927295">
          <w:marLeft w:val="0"/>
          <w:marRight w:val="0"/>
          <w:marTop w:val="0"/>
          <w:marBottom w:val="0"/>
          <w:divBdr>
            <w:top w:val="none" w:sz="0" w:space="0" w:color="auto"/>
            <w:left w:val="none" w:sz="0" w:space="0" w:color="auto"/>
            <w:bottom w:val="none" w:sz="0" w:space="0" w:color="auto"/>
            <w:right w:val="none" w:sz="0" w:space="0" w:color="auto"/>
          </w:divBdr>
          <w:divsChild>
            <w:div w:id="221134911">
              <w:marLeft w:val="0"/>
              <w:marRight w:val="0"/>
              <w:marTop w:val="0"/>
              <w:marBottom w:val="0"/>
              <w:divBdr>
                <w:top w:val="none" w:sz="0" w:space="0" w:color="auto"/>
                <w:left w:val="none" w:sz="0" w:space="0" w:color="auto"/>
                <w:bottom w:val="none" w:sz="0" w:space="0" w:color="auto"/>
                <w:right w:val="none" w:sz="0" w:space="0" w:color="auto"/>
              </w:divBdr>
              <w:divsChild>
                <w:div w:id="515848963">
                  <w:marLeft w:val="0"/>
                  <w:marRight w:val="0"/>
                  <w:marTop w:val="0"/>
                  <w:marBottom w:val="0"/>
                  <w:divBdr>
                    <w:top w:val="none" w:sz="0" w:space="0" w:color="auto"/>
                    <w:left w:val="none" w:sz="0" w:space="0" w:color="auto"/>
                    <w:bottom w:val="none" w:sz="0" w:space="0" w:color="auto"/>
                    <w:right w:val="none" w:sz="0" w:space="0" w:color="auto"/>
                  </w:divBdr>
                  <w:divsChild>
                    <w:div w:id="909654187">
                      <w:marLeft w:val="0"/>
                      <w:marRight w:val="0"/>
                      <w:marTop w:val="210"/>
                      <w:marBottom w:val="0"/>
                      <w:divBdr>
                        <w:top w:val="none" w:sz="0" w:space="0" w:color="auto"/>
                        <w:left w:val="none" w:sz="0" w:space="0" w:color="auto"/>
                        <w:bottom w:val="none" w:sz="0" w:space="0" w:color="auto"/>
                        <w:right w:val="none" w:sz="0" w:space="0" w:color="auto"/>
                      </w:divBdr>
                      <w:divsChild>
                        <w:div w:id="559051358">
                          <w:marLeft w:val="0"/>
                          <w:marRight w:val="0"/>
                          <w:marTop w:val="0"/>
                          <w:marBottom w:val="0"/>
                          <w:divBdr>
                            <w:top w:val="none" w:sz="0" w:space="0" w:color="auto"/>
                            <w:left w:val="none" w:sz="0" w:space="0" w:color="auto"/>
                            <w:bottom w:val="none" w:sz="0" w:space="0" w:color="auto"/>
                            <w:right w:val="none" w:sz="0" w:space="0" w:color="auto"/>
                          </w:divBdr>
                          <w:divsChild>
                            <w:div w:id="61173735">
                              <w:marLeft w:val="0"/>
                              <w:marRight w:val="0"/>
                              <w:marTop w:val="0"/>
                              <w:marBottom w:val="0"/>
                              <w:divBdr>
                                <w:top w:val="none" w:sz="0" w:space="0" w:color="auto"/>
                                <w:left w:val="none" w:sz="0" w:space="0" w:color="auto"/>
                                <w:bottom w:val="none" w:sz="0" w:space="0" w:color="auto"/>
                                <w:right w:val="none" w:sz="0" w:space="0" w:color="auto"/>
                              </w:divBdr>
                              <w:divsChild>
                                <w:div w:id="12258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0664185">
      <w:bodyDiv w:val="1"/>
      <w:marLeft w:val="0"/>
      <w:marRight w:val="0"/>
      <w:marTop w:val="0"/>
      <w:marBottom w:val="0"/>
      <w:divBdr>
        <w:top w:val="none" w:sz="0" w:space="0" w:color="auto"/>
        <w:left w:val="none" w:sz="0" w:space="0" w:color="auto"/>
        <w:bottom w:val="none" w:sz="0" w:space="0" w:color="auto"/>
        <w:right w:val="none" w:sz="0" w:space="0" w:color="auto"/>
      </w:divBdr>
    </w:div>
    <w:div w:id="1872304517">
      <w:bodyDiv w:val="1"/>
      <w:marLeft w:val="0"/>
      <w:marRight w:val="0"/>
      <w:marTop w:val="0"/>
      <w:marBottom w:val="0"/>
      <w:divBdr>
        <w:top w:val="none" w:sz="0" w:space="0" w:color="auto"/>
        <w:left w:val="none" w:sz="0" w:space="0" w:color="auto"/>
        <w:bottom w:val="none" w:sz="0" w:space="0" w:color="auto"/>
        <w:right w:val="none" w:sz="0" w:space="0" w:color="auto"/>
      </w:divBdr>
    </w:div>
    <w:div w:id="2038657276">
      <w:bodyDiv w:val="1"/>
      <w:marLeft w:val="0"/>
      <w:marRight w:val="0"/>
      <w:marTop w:val="0"/>
      <w:marBottom w:val="0"/>
      <w:divBdr>
        <w:top w:val="none" w:sz="0" w:space="0" w:color="auto"/>
        <w:left w:val="none" w:sz="0" w:space="0" w:color="auto"/>
        <w:bottom w:val="none" w:sz="0" w:space="0" w:color="auto"/>
        <w:right w:val="none" w:sz="0" w:space="0" w:color="auto"/>
      </w:divBdr>
      <w:divsChild>
        <w:div w:id="58751882">
          <w:marLeft w:val="0"/>
          <w:marRight w:val="0"/>
          <w:marTop w:val="0"/>
          <w:marBottom w:val="0"/>
          <w:divBdr>
            <w:top w:val="none" w:sz="0" w:space="0" w:color="auto"/>
            <w:left w:val="none" w:sz="0" w:space="0" w:color="auto"/>
            <w:bottom w:val="none" w:sz="0" w:space="0" w:color="auto"/>
            <w:right w:val="none" w:sz="0" w:space="0" w:color="auto"/>
          </w:divBdr>
          <w:divsChild>
            <w:div w:id="399451999">
              <w:marLeft w:val="0"/>
              <w:marRight w:val="0"/>
              <w:marTop w:val="0"/>
              <w:marBottom w:val="0"/>
              <w:divBdr>
                <w:top w:val="none" w:sz="0" w:space="0" w:color="auto"/>
                <w:left w:val="none" w:sz="0" w:space="0" w:color="auto"/>
                <w:bottom w:val="none" w:sz="0" w:space="0" w:color="auto"/>
                <w:right w:val="none" w:sz="0" w:space="0" w:color="auto"/>
              </w:divBdr>
              <w:divsChild>
                <w:div w:id="1049722082">
                  <w:marLeft w:val="0"/>
                  <w:marRight w:val="0"/>
                  <w:marTop w:val="0"/>
                  <w:marBottom w:val="0"/>
                  <w:divBdr>
                    <w:top w:val="none" w:sz="0" w:space="0" w:color="auto"/>
                    <w:left w:val="none" w:sz="0" w:space="0" w:color="auto"/>
                    <w:bottom w:val="none" w:sz="0" w:space="0" w:color="auto"/>
                    <w:right w:val="none" w:sz="0" w:space="0" w:color="auto"/>
                  </w:divBdr>
                  <w:divsChild>
                    <w:div w:id="1320961928">
                      <w:marLeft w:val="0"/>
                      <w:marRight w:val="0"/>
                      <w:marTop w:val="210"/>
                      <w:marBottom w:val="0"/>
                      <w:divBdr>
                        <w:top w:val="none" w:sz="0" w:space="0" w:color="auto"/>
                        <w:left w:val="none" w:sz="0" w:space="0" w:color="auto"/>
                        <w:bottom w:val="none" w:sz="0" w:space="0" w:color="auto"/>
                        <w:right w:val="none" w:sz="0" w:space="0" w:color="auto"/>
                      </w:divBdr>
                      <w:divsChild>
                        <w:div w:id="1074353974">
                          <w:marLeft w:val="0"/>
                          <w:marRight w:val="0"/>
                          <w:marTop w:val="0"/>
                          <w:marBottom w:val="0"/>
                          <w:divBdr>
                            <w:top w:val="none" w:sz="0" w:space="0" w:color="auto"/>
                            <w:left w:val="none" w:sz="0" w:space="0" w:color="auto"/>
                            <w:bottom w:val="none" w:sz="0" w:space="0" w:color="auto"/>
                            <w:right w:val="none" w:sz="0" w:space="0" w:color="auto"/>
                          </w:divBdr>
                          <w:divsChild>
                            <w:div w:id="1951546357">
                              <w:marLeft w:val="0"/>
                              <w:marRight w:val="0"/>
                              <w:marTop w:val="0"/>
                              <w:marBottom w:val="0"/>
                              <w:divBdr>
                                <w:top w:val="none" w:sz="0" w:space="0" w:color="auto"/>
                                <w:left w:val="none" w:sz="0" w:space="0" w:color="auto"/>
                                <w:bottom w:val="none" w:sz="0" w:space="0" w:color="auto"/>
                                <w:right w:val="none" w:sz="0" w:space="0" w:color="auto"/>
                              </w:divBdr>
                              <w:divsChild>
                                <w:div w:id="183044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F2B03ACD5DCCB409DA6B025703A710A"/>
        <w:category>
          <w:name w:val="General"/>
          <w:gallery w:val="placeholder"/>
        </w:category>
        <w:types>
          <w:type w:val="bbPlcHdr"/>
        </w:types>
        <w:behaviors>
          <w:behavior w:val="content"/>
        </w:behaviors>
        <w:guid w:val="{B02F9164-30BC-B540-90A3-F8DD7E84B8E1}"/>
      </w:docPartPr>
      <w:docPartBody>
        <w:p w:rsidR="00E6420B" w:rsidRDefault="00E6420B" w:rsidP="00E6420B">
          <w:pPr>
            <w:pStyle w:val="3F2B03ACD5DCCB409DA6B025703A710A"/>
          </w:pPr>
          <w:r>
            <w:t>[Type text]</w:t>
          </w:r>
        </w:p>
      </w:docPartBody>
    </w:docPart>
    <w:docPart>
      <w:docPartPr>
        <w:name w:val="CFACCB42C3B3404CAA11B9BB648C050E"/>
        <w:category>
          <w:name w:val="General"/>
          <w:gallery w:val="placeholder"/>
        </w:category>
        <w:types>
          <w:type w:val="bbPlcHdr"/>
        </w:types>
        <w:behaviors>
          <w:behavior w:val="content"/>
        </w:behaviors>
        <w:guid w:val="{86080DC1-FE02-494D-A754-5E1B203D1AD0}"/>
      </w:docPartPr>
      <w:docPartBody>
        <w:p w:rsidR="00E6420B" w:rsidRDefault="00E6420B" w:rsidP="00E6420B">
          <w:pPr>
            <w:pStyle w:val="CFACCB42C3B3404CAA11B9BB648C050E"/>
          </w:pPr>
          <w:r>
            <w:t>[Type text]</w:t>
          </w:r>
        </w:p>
      </w:docPartBody>
    </w:docPart>
    <w:docPart>
      <w:docPartPr>
        <w:name w:val="EAB493A49408F545AC98EEFF5D8D7889"/>
        <w:category>
          <w:name w:val="General"/>
          <w:gallery w:val="placeholder"/>
        </w:category>
        <w:types>
          <w:type w:val="bbPlcHdr"/>
        </w:types>
        <w:behaviors>
          <w:behavior w:val="content"/>
        </w:behaviors>
        <w:guid w:val="{61D0F2D1-535B-2A4F-96DE-6F0640DA8E13}"/>
      </w:docPartPr>
      <w:docPartBody>
        <w:p w:rsidR="00E6420B" w:rsidRDefault="00E6420B" w:rsidP="00E6420B">
          <w:pPr>
            <w:pStyle w:val="EAB493A49408F545AC98EEFF5D8D7889"/>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tillium">
    <w:panose1 w:val="00000500000000000000"/>
    <w:charset w:val="00"/>
    <w:family w:val="modern"/>
    <w:notTrueType/>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tillium-Semibold">
    <w:altName w:val="Titillium"/>
    <w:panose1 w:val="00000000000000000000"/>
    <w:charset w:val="4D"/>
    <w:family w:val="auto"/>
    <w:notTrueType/>
    <w:pitch w:val="variable"/>
    <w:sig w:usb0="00000007" w:usb1="00000001" w:usb2="00000000" w:usb3="00000000" w:csb0="00000093" w:csb1="00000000"/>
  </w:font>
  <w:font w:name="Lucida Grande">
    <w:charset w:val="00"/>
    <w:family w:val="swiss"/>
    <w:pitch w:val="variable"/>
    <w:sig w:usb0="E1000AEF" w:usb1="5000A1FF" w:usb2="00000000" w:usb3="00000000" w:csb0="000001BF" w:csb1="00000000"/>
  </w:font>
  <w:font w:name="Helvetica 45 Light">
    <w:charset w:val="00"/>
    <w:family w:val="swiss"/>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420B"/>
    <w:rsid w:val="000751DB"/>
    <w:rsid w:val="00250B62"/>
    <w:rsid w:val="002D576F"/>
    <w:rsid w:val="00320E10"/>
    <w:rsid w:val="004A2683"/>
    <w:rsid w:val="004D094E"/>
    <w:rsid w:val="005058D9"/>
    <w:rsid w:val="00541CD1"/>
    <w:rsid w:val="005C1EB8"/>
    <w:rsid w:val="006703CF"/>
    <w:rsid w:val="00674DA8"/>
    <w:rsid w:val="006A7C39"/>
    <w:rsid w:val="00733210"/>
    <w:rsid w:val="008A4462"/>
    <w:rsid w:val="008A542F"/>
    <w:rsid w:val="00A169E8"/>
    <w:rsid w:val="00A42EAC"/>
    <w:rsid w:val="00A964BE"/>
    <w:rsid w:val="00B02716"/>
    <w:rsid w:val="00BD2A4D"/>
    <w:rsid w:val="00C16C17"/>
    <w:rsid w:val="00C41114"/>
    <w:rsid w:val="00CA3CCD"/>
    <w:rsid w:val="00CF3817"/>
    <w:rsid w:val="00E6420B"/>
    <w:rsid w:val="00EA4F15"/>
    <w:rsid w:val="00EC71C4"/>
    <w:rsid w:val="00EE14CD"/>
    <w:rsid w:val="00F302A6"/>
    <w:rsid w:val="00F7327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F2B03ACD5DCCB409DA6B025703A710A">
    <w:name w:val="3F2B03ACD5DCCB409DA6B025703A710A"/>
    <w:rsid w:val="00E6420B"/>
  </w:style>
  <w:style w:type="paragraph" w:customStyle="1" w:styleId="CFACCB42C3B3404CAA11B9BB648C050E">
    <w:name w:val="CFACCB42C3B3404CAA11B9BB648C050E"/>
    <w:rsid w:val="00E6420B"/>
  </w:style>
  <w:style w:type="paragraph" w:customStyle="1" w:styleId="EAB493A49408F545AC98EEFF5D8D7889">
    <w:name w:val="EAB493A49408F545AC98EEFF5D8D7889"/>
    <w:rsid w:val="00E642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Office Theme">
  <a:themeElements>
    <a:clrScheme name="Gre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E2F8E08ACC15149987F27117DD23089" ma:contentTypeVersion="94" ma:contentTypeDescription="Create a new document." ma:contentTypeScope="" ma:versionID="0ca8d1e0dd22d111a7782c4ebdecef70">
  <xsd:schema xmlns:xsd="http://www.w3.org/2001/XMLSchema" xmlns:xs="http://www.w3.org/2001/XMLSchema" xmlns:p="http://schemas.microsoft.com/office/2006/metadata/properties" xmlns:ns1="http://schemas.microsoft.com/sharepoint/v3" xmlns:ns2="034498f0-af88-4ead-8ff8-8771186303f3" targetNamespace="http://schemas.microsoft.com/office/2006/metadata/properties" ma:root="true" ma:fieldsID="d78bdaa633c2daa314a07a34caa8c900" ns1:_="" ns2:_="">
    <xsd:import namespace="http://schemas.microsoft.com/sharepoint/v3"/>
    <xsd:import namespace="034498f0-af88-4ead-8ff8-8771186303f3"/>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4498f0-af88-4ead-8ff8-8771186303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A32E4C-881E-4376-9256-626477FDBBA7}">
  <ds:schemaRefs>
    <ds:schemaRef ds:uri="http://schemas.microsoft.com/office/2006/metadata/properties"/>
    <ds:schemaRef ds:uri="http://schemas.microsoft.com/office/infopath/2007/PartnerControls"/>
    <ds:schemaRef ds:uri="61e05e3d-61ed-4561-addd-dcd97b453233"/>
    <ds:schemaRef ds:uri="9b103751-d83b-4d14-8377-da6c251ff194"/>
  </ds:schemaRefs>
</ds:datastoreItem>
</file>

<file path=customXml/itemProps2.xml><?xml version="1.0" encoding="utf-8"?>
<ds:datastoreItem xmlns:ds="http://schemas.openxmlformats.org/officeDocument/2006/customXml" ds:itemID="{66A5BA16-594C-461F-85B2-D20E23238BF2}">
  <ds:schemaRefs>
    <ds:schemaRef ds:uri="http://schemas.openxmlformats.org/officeDocument/2006/bibliography"/>
  </ds:schemaRefs>
</ds:datastoreItem>
</file>

<file path=customXml/itemProps3.xml><?xml version="1.0" encoding="utf-8"?>
<ds:datastoreItem xmlns:ds="http://schemas.openxmlformats.org/officeDocument/2006/customXml" ds:itemID="{75388936-248C-4A9C-8793-25C9A5CA5415}"/>
</file>

<file path=customXml/itemProps4.xml><?xml version="1.0" encoding="utf-8"?>
<ds:datastoreItem xmlns:ds="http://schemas.openxmlformats.org/officeDocument/2006/customXml" ds:itemID="{D7440EA2-0A6B-4E1C-AEDD-9E80E00893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1158</Words>
  <Characters>6606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Yorgos Panagopoulos</dc:creator>
  <cp:keywords/>
  <dc:description/>
  <cp:lastModifiedBy>Arnot, Louise</cp:lastModifiedBy>
  <cp:revision>10</cp:revision>
  <cp:lastPrinted>2024-07-10T15:46:00Z</cp:lastPrinted>
  <dcterms:created xsi:type="dcterms:W3CDTF">2024-07-10T15:44:00Z</dcterms:created>
  <dcterms:modified xsi:type="dcterms:W3CDTF">2024-07-26T12:33:00Z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0x0101004E2F8E08ACC15149987F27117DD23089</vt:lpwstr>
  </property>
</Properties>
</file>