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74FE1" w14:textId="77777777" w:rsidR="000144BD" w:rsidRPr="000144BD" w:rsidRDefault="000236CA" w:rsidP="000236CA">
      <w:pPr>
        <w:tabs>
          <w:tab w:val="left" w:pos="567"/>
        </w:tabs>
        <w:jc w:val="right"/>
        <w:rPr>
          <w:rFonts w:ascii="Arial" w:hAnsi="Arial" w:cs="Arial"/>
          <w:b/>
          <w:color w:val="000000" w:themeColor="text1"/>
          <w:sz w:val="22"/>
          <w:szCs w:val="22"/>
        </w:rPr>
      </w:pPr>
      <w:r>
        <w:rPr>
          <w:rFonts w:ascii="Arial" w:hAnsi="Arial" w:cs="Arial"/>
          <w:b/>
          <w:noProof/>
          <w:color w:val="000000" w:themeColor="text1"/>
          <w:sz w:val="22"/>
          <w:szCs w:val="22"/>
        </w:rPr>
        <w:drawing>
          <wp:inline distT="0" distB="0" distL="0" distR="0" wp14:anchorId="04CBA8FE" wp14:editId="141EBC2B">
            <wp:extent cx="1780925" cy="85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mp;D logo.png"/>
                    <pic:cNvPicPr/>
                  </pic:nvPicPr>
                  <pic:blipFill rotWithShape="1">
                    <a:blip r:embed="rId10" cstate="print">
                      <a:extLst>
                        <a:ext uri="{28A0092B-C50C-407E-A947-70E740481C1C}">
                          <a14:useLocalDpi xmlns:a14="http://schemas.microsoft.com/office/drawing/2010/main" val="0"/>
                        </a:ext>
                      </a:extLst>
                    </a:blip>
                    <a:srcRect t="8152"/>
                    <a:stretch/>
                  </pic:blipFill>
                  <pic:spPr bwMode="auto">
                    <a:xfrm>
                      <a:off x="0" y="0"/>
                      <a:ext cx="1793182" cy="864429"/>
                    </a:xfrm>
                    <a:prstGeom prst="rect">
                      <a:avLst/>
                    </a:prstGeom>
                    <a:ln>
                      <a:noFill/>
                    </a:ln>
                    <a:extLst>
                      <a:ext uri="{53640926-AAD7-44D8-BBD7-CCE9431645EC}">
                        <a14:shadowObscured xmlns:a14="http://schemas.microsoft.com/office/drawing/2010/main"/>
                      </a:ext>
                    </a:extLst>
                  </pic:spPr>
                </pic:pic>
              </a:graphicData>
            </a:graphic>
          </wp:inline>
        </w:drawing>
      </w:r>
    </w:p>
    <w:p w14:paraId="7C702BFF" w14:textId="77777777" w:rsidR="00F50972" w:rsidRDefault="00F50972" w:rsidP="000236CA">
      <w:pPr>
        <w:pStyle w:val="Heading3"/>
        <w:shd w:val="clear" w:color="auto" w:fill="91C331"/>
        <w:spacing w:before="0" w:line="240" w:lineRule="auto"/>
        <w:ind w:right="238"/>
        <w:rPr>
          <w:rFonts w:ascii="Arial" w:hAnsi="Arial" w:cs="Arial"/>
          <w:b/>
          <w:color w:val="FFFFFF" w:themeColor="background1"/>
          <w:sz w:val="32"/>
          <w:szCs w:val="32"/>
        </w:rPr>
      </w:pPr>
    </w:p>
    <w:p w14:paraId="7654DDDA" w14:textId="09DEC954" w:rsidR="000144BD" w:rsidRPr="000236CA" w:rsidRDefault="00F50972" w:rsidP="000236CA">
      <w:pPr>
        <w:pStyle w:val="Heading3"/>
        <w:shd w:val="clear" w:color="auto" w:fill="91C331"/>
        <w:spacing w:before="0" w:line="240" w:lineRule="auto"/>
        <w:ind w:right="238"/>
        <w:rPr>
          <w:rFonts w:ascii="Arial" w:hAnsi="Arial" w:cs="Arial"/>
          <w:b/>
          <w:color w:val="FFFFFF" w:themeColor="background1"/>
          <w:sz w:val="32"/>
          <w:szCs w:val="32"/>
        </w:rPr>
      </w:pPr>
      <w:r>
        <w:rPr>
          <w:rFonts w:ascii="Arial" w:hAnsi="Arial" w:cs="Arial"/>
          <w:b/>
          <w:color w:val="FFFFFF" w:themeColor="background1"/>
          <w:sz w:val="32"/>
          <w:szCs w:val="32"/>
        </w:rPr>
        <w:t xml:space="preserve">Salary </w:t>
      </w:r>
      <w:r w:rsidR="00482E3A">
        <w:rPr>
          <w:rFonts w:ascii="Arial" w:hAnsi="Arial" w:cs="Arial"/>
          <w:b/>
          <w:color w:val="FFFFFF" w:themeColor="background1"/>
          <w:sz w:val="32"/>
          <w:szCs w:val="32"/>
        </w:rPr>
        <w:t xml:space="preserve">Placement </w:t>
      </w:r>
      <w:r w:rsidR="00B66C85">
        <w:rPr>
          <w:rFonts w:ascii="Arial" w:hAnsi="Arial" w:cs="Arial"/>
          <w:b/>
          <w:color w:val="FFFFFF" w:themeColor="background1"/>
          <w:sz w:val="32"/>
          <w:szCs w:val="32"/>
        </w:rPr>
        <w:t xml:space="preserve">Policy </w:t>
      </w:r>
      <w:r>
        <w:rPr>
          <w:rFonts w:ascii="Arial" w:hAnsi="Arial" w:cs="Arial"/>
          <w:b/>
          <w:color w:val="FFFFFF" w:themeColor="background1"/>
          <w:sz w:val="32"/>
          <w:szCs w:val="32"/>
        </w:rPr>
        <w:t xml:space="preserve"> </w:t>
      </w:r>
    </w:p>
    <w:p w14:paraId="30CFFD17" w14:textId="77777777" w:rsidR="000144BD" w:rsidRDefault="000144BD" w:rsidP="000144BD">
      <w:pPr>
        <w:tabs>
          <w:tab w:val="center" w:pos="4513"/>
        </w:tabs>
        <w:rPr>
          <w:rFonts w:ascii="Arial" w:hAnsi="Arial" w:cs="Arial"/>
          <w:b/>
          <w:sz w:val="22"/>
          <w:szCs w:val="22"/>
        </w:rPr>
      </w:pPr>
    </w:p>
    <w:p w14:paraId="362D2FCD" w14:textId="63197402" w:rsidR="00600AB9" w:rsidRPr="00F50972" w:rsidRDefault="00600AB9" w:rsidP="00600AB9">
      <w:pPr>
        <w:rPr>
          <w:rFonts w:ascii="Arial" w:hAnsi="Arial" w:cs="Arial"/>
          <w:bCs/>
          <w:iCs/>
          <w:color w:val="000000" w:themeColor="text1"/>
        </w:rPr>
      </w:pPr>
      <w:r w:rsidRPr="00F50972">
        <w:rPr>
          <w:rFonts w:ascii="Arial" w:hAnsi="Arial" w:cs="Arial"/>
          <w:bCs/>
          <w:iCs/>
          <w:color w:val="000000" w:themeColor="text1"/>
        </w:rPr>
        <w:t xml:space="preserve">This </w:t>
      </w:r>
      <w:r w:rsidR="00125979">
        <w:rPr>
          <w:rFonts w:ascii="Arial" w:hAnsi="Arial" w:cs="Arial"/>
          <w:bCs/>
          <w:iCs/>
          <w:color w:val="000000" w:themeColor="text1"/>
        </w:rPr>
        <w:t>Policy</w:t>
      </w:r>
      <w:r w:rsidR="00ED31B0">
        <w:rPr>
          <w:rFonts w:ascii="Arial" w:hAnsi="Arial" w:cs="Arial"/>
          <w:bCs/>
          <w:iCs/>
          <w:color w:val="000000" w:themeColor="text1"/>
        </w:rPr>
        <w:t xml:space="preserve"> </w:t>
      </w:r>
      <w:r w:rsidRPr="00F50972">
        <w:rPr>
          <w:rFonts w:ascii="Arial" w:hAnsi="Arial" w:cs="Arial"/>
          <w:bCs/>
          <w:iCs/>
          <w:color w:val="000000" w:themeColor="text1"/>
        </w:rPr>
        <w:t xml:space="preserve">is effective from </w:t>
      </w:r>
      <w:r w:rsidR="004B0912">
        <w:rPr>
          <w:rFonts w:ascii="Arial" w:hAnsi="Arial" w:cs="Arial"/>
          <w:bCs/>
          <w:iCs/>
          <w:color w:val="000000" w:themeColor="text1"/>
        </w:rPr>
        <w:t>1</w:t>
      </w:r>
      <w:r w:rsidR="004B0912" w:rsidRPr="00946867">
        <w:rPr>
          <w:rFonts w:ascii="Arial" w:hAnsi="Arial" w:cs="Arial"/>
          <w:bCs/>
          <w:iCs/>
          <w:color w:val="000000" w:themeColor="text1"/>
          <w:vertAlign w:val="superscript"/>
        </w:rPr>
        <w:t>st</w:t>
      </w:r>
      <w:r w:rsidR="004B0912">
        <w:rPr>
          <w:rFonts w:ascii="Arial" w:hAnsi="Arial" w:cs="Arial"/>
          <w:bCs/>
          <w:iCs/>
          <w:color w:val="000000" w:themeColor="text1"/>
        </w:rPr>
        <w:t xml:space="preserve"> October 2015. </w:t>
      </w:r>
      <w:r w:rsidRPr="00F50972">
        <w:rPr>
          <w:rFonts w:ascii="Arial" w:hAnsi="Arial" w:cs="Arial"/>
          <w:bCs/>
          <w:iCs/>
          <w:color w:val="000000" w:themeColor="text1"/>
        </w:rPr>
        <w:t>This policy replaces all other policies, whether written or not.</w:t>
      </w:r>
    </w:p>
    <w:p w14:paraId="7E8F9A25" w14:textId="77777777" w:rsidR="00600AB9" w:rsidRDefault="00600AB9" w:rsidP="000144BD">
      <w:pPr>
        <w:tabs>
          <w:tab w:val="center" w:pos="4513"/>
        </w:tabs>
        <w:rPr>
          <w:rFonts w:ascii="Arial" w:hAnsi="Arial" w:cs="Arial"/>
          <w:b/>
          <w:sz w:val="22"/>
          <w:szCs w:val="22"/>
        </w:rPr>
      </w:pPr>
    </w:p>
    <w:p w14:paraId="66197300" w14:textId="77777777" w:rsidR="00F50972" w:rsidRPr="00800D4A" w:rsidRDefault="00F50972" w:rsidP="00800D4A">
      <w:pPr>
        <w:pStyle w:val="ListParagraph"/>
        <w:numPr>
          <w:ilvl w:val="0"/>
          <w:numId w:val="12"/>
        </w:numPr>
        <w:rPr>
          <w:rFonts w:ascii="Arial" w:hAnsi="Arial" w:cs="Arial"/>
          <w:b/>
          <w:lang w:val="en-US"/>
        </w:rPr>
      </w:pPr>
      <w:r w:rsidRPr="00800D4A">
        <w:rPr>
          <w:rFonts w:ascii="Arial" w:hAnsi="Arial" w:cs="Arial"/>
          <w:b/>
          <w:lang w:val="en-US"/>
        </w:rPr>
        <w:t>Purpose</w:t>
      </w:r>
    </w:p>
    <w:p w14:paraId="795DC70D" w14:textId="77777777" w:rsidR="00600AB9" w:rsidRPr="00BA163F" w:rsidRDefault="00600AB9" w:rsidP="00F50972">
      <w:pPr>
        <w:rPr>
          <w:rFonts w:ascii="Arial" w:hAnsi="Arial" w:cs="Arial"/>
          <w:lang w:val="en-US"/>
        </w:rPr>
      </w:pPr>
    </w:p>
    <w:p w14:paraId="1DAA27D3" w14:textId="397C22AE" w:rsidR="00F50972" w:rsidRPr="00125979" w:rsidRDefault="00F50972" w:rsidP="00FF726B">
      <w:pPr>
        <w:tabs>
          <w:tab w:val="left" w:pos="1134"/>
        </w:tabs>
        <w:spacing w:line="276" w:lineRule="auto"/>
        <w:ind w:hanging="720"/>
        <w:rPr>
          <w:rFonts w:ascii="Arial" w:hAnsi="Arial" w:cs="Arial"/>
        </w:rPr>
      </w:pPr>
      <w:r>
        <w:rPr>
          <w:rFonts w:ascii="Arial" w:hAnsi="Arial" w:cs="Arial"/>
        </w:rPr>
        <w:tab/>
      </w:r>
      <w:r w:rsidRPr="00CB7A72">
        <w:rPr>
          <w:rFonts w:ascii="Arial" w:hAnsi="Arial" w:cs="Arial"/>
        </w:rPr>
        <w:t xml:space="preserve">The University seeks to ensure that all decisions taken by </w:t>
      </w:r>
      <w:r w:rsidR="00125979" w:rsidRPr="00CB7A72">
        <w:rPr>
          <w:rFonts w:ascii="Arial" w:hAnsi="Arial" w:cs="Arial"/>
        </w:rPr>
        <w:t xml:space="preserve">the </w:t>
      </w:r>
      <w:r w:rsidR="00125979" w:rsidRPr="00946867">
        <w:rPr>
          <w:rFonts w:ascii="Arial" w:hAnsi="Arial" w:cs="Arial"/>
        </w:rPr>
        <w:t>appointment Line Manager and Dean of School</w:t>
      </w:r>
      <w:r w:rsidR="00125979">
        <w:rPr>
          <w:rFonts w:ascii="Arial" w:hAnsi="Arial" w:cs="Arial"/>
        </w:rPr>
        <w:t xml:space="preserve"> </w:t>
      </w:r>
      <w:r w:rsidR="00125979" w:rsidRPr="00946867">
        <w:rPr>
          <w:rFonts w:ascii="Arial" w:hAnsi="Arial" w:cs="Arial"/>
        </w:rPr>
        <w:t>/</w:t>
      </w:r>
      <w:r w:rsidR="00125979">
        <w:rPr>
          <w:rFonts w:ascii="Arial" w:hAnsi="Arial" w:cs="Arial"/>
        </w:rPr>
        <w:t xml:space="preserve"> </w:t>
      </w:r>
      <w:r w:rsidR="00125979" w:rsidRPr="00946867">
        <w:rPr>
          <w:rFonts w:ascii="Arial" w:hAnsi="Arial" w:cs="Arial"/>
        </w:rPr>
        <w:t>Director of Service</w:t>
      </w:r>
      <w:r w:rsidR="00125979" w:rsidRPr="00CB7A72" w:rsidDel="00125979">
        <w:rPr>
          <w:rFonts w:ascii="Arial" w:hAnsi="Arial" w:cs="Arial"/>
        </w:rPr>
        <w:t xml:space="preserve"> </w:t>
      </w:r>
      <w:r w:rsidR="00125979" w:rsidRPr="00CB7A72">
        <w:rPr>
          <w:rFonts w:ascii="Arial" w:hAnsi="Arial" w:cs="Arial"/>
        </w:rPr>
        <w:t xml:space="preserve">in regards to the </w:t>
      </w:r>
      <w:r w:rsidRPr="00CB7A72">
        <w:rPr>
          <w:rFonts w:ascii="Arial" w:hAnsi="Arial" w:cs="Arial"/>
        </w:rPr>
        <w:t xml:space="preserve">setting of salaries </w:t>
      </w:r>
      <w:r w:rsidR="001C1638">
        <w:rPr>
          <w:rFonts w:ascii="Arial" w:hAnsi="Arial" w:cs="Arial"/>
        </w:rPr>
        <w:t>are</w:t>
      </w:r>
      <w:r w:rsidRPr="00CB7A72">
        <w:rPr>
          <w:rFonts w:ascii="Arial" w:hAnsi="Arial" w:cs="Arial"/>
        </w:rPr>
        <w:t xml:space="preserve"> consistent, fair, justifiable and non-discriminatory.</w:t>
      </w:r>
    </w:p>
    <w:p w14:paraId="34866B70" w14:textId="77777777" w:rsidR="00F50972" w:rsidRPr="00125979" w:rsidRDefault="00F50972" w:rsidP="00FF726B">
      <w:pPr>
        <w:rPr>
          <w:rFonts w:ascii="Arial" w:hAnsi="Arial" w:cs="Arial"/>
          <w:lang w:val="en-US"/>
        </w:rPr>
      </w:pPr>
    </w:p>
    <w:p w14:paraId="23D48294" w14:textId="7A3ACD74" w:rsidR="00F50972" w:rsidRPr="00800D4A" w:rsidRDefault="00F50972" w:rsidP="00800D4A">
      <w:pPr>
        <w:pStyle w:val="ListParagraph"/>
        <w:numPr>
          <w:ilvl w:val="0"/>
          <w:numId w:val="12"/>
        </w:numPr>
        <w:rPr>
          <w:rFonts w:ascii="Arial" w:hAnsi="Arial" w:cs="Arial"/>
          <w:b/>
          <w:lang w:val="en-US"/>
        </w:rPr>
      </w:pPr>
      <w:r w:rsidRPr="00800D4A">
        <w:rPr>
          <w:rFonts w:ascii="Arial" w:hAnsi="Arial" w:cs="Arial"/>
          <w:b/>
          <w:lang w:val="en-US"/>
        </w:rPr>
        <w:t xml:space="preserve">Application of </w:t>
      </w:r>
      <w:r w:rsidR="00BC739C">
        <w:rPr>
          <w:rFonts w:ascii="Arial" w:hAnsi="Arial" w:cs="Arial"/>
          <w:b/>
          <w:lang w:val="en-US"/>
        </w:rPr>
        <w:t>this Guidance</w:t>
      </w:r>
    </w:p>
    <w:p w14:paraId="2AA227E8" w14:textId="77777777" w:rsidR="00F50972" w:rsidRPr="00BA163F" w:rsidRDefault="00F50972" w:rsidP="00FF726B">
      <w:pPr>
        <w:pStyle w:val="BodyText"/>
        <w:spacing w:after="0"/>
        <w:rPr>
          <w:rFonts w:ascii="Arial" w:hAnsi="Arial" w:cs="Arial"/>
          <w:color w:val="000000" w:themeColor="text1"/>
        </w:rPr>
      </w:pPr>
      <w:bookmarkStart w:id="0" w:name="Paragraph_22"/>
    </w:p>
    <w:bookmarkEnd w:id="0"/>
    <w:p w14:paraId="29E1B557" w14:textId="4CC06A4E" w:rsidR="00F50972" w:rsidRPr="00F50972" w:rsidRDefault="00F50972" w:rsidP="00FF726B">
      <w:pPr>
        <w:rPr>
          <w:rFonts w:ascii="Arial" w:hAnsi="Arial" w:cs="Arial"/>
          <w:bCs/>
          <w:iCs/>
          <w:color w:val="000000" w:themeColor="text1"/>
        </w:rPr>
      </w:pPr>
      <w:r w:rsidRPr="00F50972">
        <w:rPr>
          <w:rFonts w:ascii="Arial" w:hAnsi="Arial" w:cs="Arial"/>
          <w:bCs/>
          <w:iCs/>
          <w:color w:val="000000" w:themeColor="text1"/>
        </w:rPr>
        <w:t xml:space="preserve">This </w:t>
      </w:r>
      <w:r w:rsidR="00125979">
        <w:rPr>
          <w:rFonts w:ascii="Arial" w:hAnsi="Arial" w:cs="Arial"/>
          <w:bCs/>
          <w:iCs/>
          <w:color w:val="000000" w:themeColor="text1"/>
        </w:rPr>
        <w:t>policy</w:t>
      </w:r>
      <w:r w:rsidR="00BC739C">
        <w:rPr>
          <w:rFonts w:ascii="Arial" w:hAnsi="Arial" w:cs="Arial"/>
          <w:bCs/>
          <w:iCs/>
          <w:color w:val="000000" w:themeColor="text1"/>
        </w:rPr>
        <w:t xml:space="preserve"> </w:t>
      </w:r>
      <w:r w:rsidRPr="00F50972">
        <w:rPr>
          <w:rFonts w:ascii="Arial" w:hAnsi="Arial" w:cs="Arial"/>
          <w:bCs/>
          <w:iCs/>
          <w:color w:val="000000" w:themeColor="text1"/>
        </w:rPr>
        <w:t xml:space="preserve">applies to </w:t>
      </w:r>
      <w:r>
        <w:rPr>
          <w:rFonts w:ascii="Arial" w:hAnsi="Arial" w:cs="Arial"/>
          <w:bCs/>
          <w:iCs/>
          <w:color w:val="000000" w:themeColor="text1"/>
        </w:rPr>
        <w:t xml:space="preserve">all </w:t>
      </w:r>
      <w:r w:rsidRPr="00F50972">
        <w:rPr>
          <w:rFonts w:ascii="Arial" w:hAnsi="Arial" w:cs="Arial"/>
          <w:bCs/>
          <w:iCs/>
          <w:color w:val="000000" w:themeColor="text1"/>
        </w:rPr>
        <w:t xml:space="preserve">employees of </w:t>
      </w:r>
      <w:r w:rsidRPr="00F50972">
        <w:rPr>
          <w:rFonts w:ascii="Arial" w:hAnsi="Arial" w:cs="Arial"/>
          <w:lang w:val="en-US"/>
        </w:rPr>
        <w:t>Edinburgh Napier University</w:t>
      </w:r>
      <w:r w:rsidRPr="00F50972">
        <w:rPr>
          <w:rFonts w:ascii="Arial" w:hAnsi="Arial" w:cs="Arial"/>
          <w:bCs/>
          <w:iCs/>
          <w:color w:val="000000" w:themeColor="text1"/>
        </w:rPr>
        <w:t xml:space="preserve">, collectively referred to in this </w:t>
      </w:r>
      <w:r w:rsidR="00BC739C">
        <w:rPr>
          <w:rFonts w:ascii="Arial" w:hAnsi="Arial" w:cs="Arial"/>
          <w:bCs/>
          <w:iCs/>
          <w:color w:val="000000" w:themeColor="text1"/>
        </w:rPr>
        <w:t xml:space="preserve">guidance document </w:t>
      </w:r>
      <w:r w:rsidRPr="00F50972">
        <w:rPr>
          <w:rFonts w:ascii="Arial" w:hAnsi="Arial" w:cs="Arial"/>
          <w:bCs/>
          <w:iCs/>
          <w:color w:val="000000" w:themeColor="text1"/>
        </w:rPr>
        <w:t>as ‘staff members’.</w:t>
      </w:r>
    </w:p>
    <w:p w14:paraId="52F69E13" w14:textId="77777777" w:rsidR="00F50972" w:rsidRPr="00BA163F" w:rsidRDefault="00F50972" w:rsidP="00FF726B">
      <w:pPr>
        <w:rPr>
          <w:rFonts w:ascii="Arial" w:hAnsi="Arial" w:cs="Arial"/>
          <w:bCs/>
          <w:iCs/>
          <w:color w:val="000000" w:themeColor="text1"/>
        </w:rPr>
      </w:pPr>
    </w:p>
    <w:p w14:paraId="04D0B08D" w14:textId="77777777" w:rsidR="00BC739C" w:rsidRDefault="00F50972" w:rsidP="00946867">
      <w:pPr>
        <w:pStyle w:val="ListParagraph"/>
        <w:numPr>
          <w:ilvl w:val="0"/>
          <w:numId w:val="12"/>
        </w:numPr>
        <w:rPr>
          <w:rFonts w:ascii="Arial" w:hAnsi="Arial" w:cs="Arial"/>
          <w:b/>
          <w:lang w:val="en-US"/>
        </w:rPr>
      </w:pPr>
      <w:r w:rsidRPr="00BC739C">
        <w:rPr>
          <w:rFonts w:ascii="Arial" w:hAnsi="Arial" w:cs="Arial"/>
          <w:b/>
          <w:lang w:val="en-US"/>
        </w:rPr>
        <w:t xml:space="preserve">Variations to this </w:t>
      </w:r>
      <w:r w:rsidR="00BC739C">
        <w:rPr>
          <w:rFonts w:ascii="Arial" w:hAnsi="Arial" w:cs="Arial"/>
          <w:b/>
          <w:lang w:val="en-US"/>
        </w:rPr>
        <w:t xml:space="preserve">Guidance </w:t>
      </w:r>
    </w:p>
    <w:p w14:paraId="5E90ABAC" w14:textId="77777777" w:rsidR="00800D4A" w:rsidRPr="00BC739C" w:rsidRDefault="00800D4A" w:rsidP="00946867">
      <w:pPr>
        <w:pStyle w:val="ListParagraph"/>
        <w:ind w:left="360"/>
        <w:rPr>
          <w:rFonts w:ascii="Arial" w:hAnsi="Arial" w:cs="Arial"/>
          <w:b/>
          <w:lang w:val="en-US"/>
        </w:rPr>
      </w:pPr>
    </w:p>
    <w:p w14:paraId="6F16E097" w14:textId="7D399E40" w:rsidR="00800D4A" w:rsidRPr="00BA163F" w:rsidRDefault="00800D4A" w:rsidP="00800D4A">
      <w:pPr>
        <w:rPr>
          <w:rFonts w:ascii="Arial" w:hAnsi="Arial" w:cs="Arial"/>
          <w:bCs/>
          <w:iCs/>
          <w:color w:val="000000" w:themeColor="text1"/>
        </w:rPr>
      </w:pPr>
      <w:r w:rsidRPr="00BA163F">
        <w:rPr>
          <w:rFonts w:ascii="Arial" w:hAnsi="Arial" w:cs="Arial"/>
          <w:lang w:val="en-US"/>
        </w:rPr>
        <w:t xml:space="preserve">Edinburgh Napier University </w:t>
      </w:r>
      <w:r w:rsidRPr="00BA163F">
        <w:rPr>
          <w:rFonts w:ascii="Arial" w:hAnsi="Arial" w:cs="Arial"/>
          <w:bCs/>
          <w:iCs/>
          <w:color w:val="000000" w:themeColor="text1"/>
        </w:rPr>
        <w:t xml:space="preserve">reserves the right to terminate, replace, or vary this </w:t>
      </w:r>
      <w:r w:rsidR="00125979">
        <w:rPr>
          <w:rFonts w:ascii="Arial" w:hAnsi="Arial" w:cs="Arial"/>
          <w:bCs/>
          <w:iCs/>
          <w:color w:val="000000" w:themeColor="text1"/>
        </w:rPr>
        <w:t>policy</w:t>
      </w:r>
      <w:r w:rsidR="00BC739C">
        <w:rPr>
          <w:rFonts w:ascii="Arial" w:hAnsi="Arial" w:cs="Arial"/>
          <w:bCs/>
          <w:iCs/>
          <w:color w:val="000000" w:themeColor="text1"/>
        </w:rPr>
        <w:t xml:space="preserve"> </w:t>
      </w:r>
      <w:r w:rsidRPr="00BA163F">
        <w:rPr>
          <w:rFonts w:ascii="Arial" w:hAnsi="Arial" w:cs="Arial"/>
          <w:bCs/>
          <w:iCs/>
          <w:color w:val="000000" w:themeColor="text1"/>
        </w:rPr>
        <w:t>from time to time.</w:t>
      </w:r>
    </w:p>
    <w:p w14:paraId="5BB2EB67" w14:textId="77777777" w:rsidR="00800D4A" w:rsidRPr="00BA163F" w:rsidRDefault="00800D4A" w:rsidP="00FF726B">
      <w:pPr>
        <w:rPr>
          <w:rFonts w:ascii="Arial" w:hAnsi="Arial" w:cs="Arial"/>
          <w:b/>
          <w:lang w:val="en-US"/>
        </w:rPr>
      </w:pPr>
    </w:p>
    <w:p w14:paraId="79FDB3A5" w14:textId="77777777" w:rsidR="00800D4A" w:rsidRDefault="00800D4A" w:rsidP="00800D4A">
      <w:pPr>
        <w:pStyle w:val="ListParagraph"/>
        <w:numPr>
          <w:ilvl w:val="0"/>
          <w:numId w:val="12"/>
        </w:numPr>
        <w:rPr>
          <w:rFonts w:ascii="Arial" w:hAnsi="Arial" w:cs="Arial"/>
          <w:lang w:val="en-US"/>
        </w:rPr>
      </w:pPr>
      <w:r w:rsidRPr="00800D4A">
        <w:rPr>
          <w:rFonts w:ascii="Arial" w:hAnsi="Arial" w:cs="Arial"/>
          <w:b/>
        </w:rPr>
        <w:t>Starting Salaries for New Employees</w:t>
      </w:r>
      <w:r w:rsidRPr="00800D4A">
        <w:rPr>
          <w:rFonts w:ascii="Arial" w:hAnsi="Arial" w:cs="Arial"/>
          <w:lang w:val="en-US"/>
        </w:rPr>
        <w:t xml:space="preserve"> </w:t>
      </w:r>
    </w:p>
    <w:p w14:paraId="277B9203" w14:textId="77777777" w:rsidR="00ED31B0" w:rsidRDefault="00ED31B0" w:rsidP="00946867">
      <w:pPr>
        <w:rPr>
          <w:rFonts w:ascii="Arial" w:hAnsi="Arial" w:cs="Arial"/>
          <w:lang w:val="en-US"/>
        </w:rPr>
      </w:pPr>
    </w:p>
    <w:p w14:paraId="56AB1F5D" w14:textId="77777777" w:rsidR="00ED31B0" w:rsidRDefault="00ED31B0" w:rsidP="00ED31B0">
      <w:pPr>
        <w:spacing w:line="276" w:lineRule="auto"/>
        <w:ind w:hanging="11"/>
        <w:rPr>
          <w:rFonts w:ascii="Arial" w:hAnsi="Arial" w:cs="Arial"/>
        </w:rPr>
      </w:pPr>
      <w:r w:rsidRPr="006E3AF2">
        <w:rPr>
          <w:rFonts w:ascii="Arial" w:hAnsi="Arial" w:cs="Arial"/>
        </w:rPr>
        <w:t>Salaries on appointment will be made within the evaluated grade.  The grade of the role cannot be changed following commencement of the recruitment and selection process.</w:t>
      </w:r>
    </w:p>
    <w:p w14:paraId="7DDF15D6" w14:textId="77777777" w:rsidR="00ED31B0" w:rsidRDefault="00ED31B0" w:rsidP="00ED31B0">
      <w:pPr>
        <w:spacing w:line="276" w:lineRule="auto"/>
        <w:ind w:left="720" w:hanging="720"/>
        <w:rPr>
          <w:rFonts w:ascii="Arial" w:hAnsi="Arial" w:cs="Arial"/>
        </w:rPr>
      </w:pPr>
    </w:p>
    <w:p w14:paraId="7255B7E3" w14:textId="77777777" w:rsidR="00ED31B0" w:rsidRDefault="00ED31B0" w:rsidP="00ED31B0">
      <w:pPr>
        <w:spacing w:line="276" w:lineRule="auto"/>
        <w:rPr>
          <w:rFonts w:ascii="Arial" w:hAnsi="Arial" w:cs="Arial"/>
        </w:rPr>
      </w:pPr>
      <w:r w:rsidRPr="006E3AF2">
        <w:rPr>
          <w:rFonts w:ascii="Arial" w:hAnsi="Arial" w:cs="Arial"/>
        </w:rPr>
        <w:t>A number of factors need to be taken into account when agreeing the appropriate starting salary for the appointed candidate:</w:t>
      </w:r>
    </w:p>
    <w:p w14:paraId="5D7C7720" w14:textId="77777777" w:rsidR="00ED31B0" w:rsidRPr="006E3AF2" w:rsidRDefault="00ED31B0" w:rsidP="00ED31B0">
      <w:pPr>
        <w:spacing w:line="276" w:lineRule="auto"/>
        <w:ind w:left="720" w:hanging="720"/>
        <w:rPr>
          <w:rFonts w:ascii="Arial" w:hAnsi="Arial" w:cs="Arial"/>
        </w:rPr>
      </w:pPr>
    </w:p>
    <w:p w14:paraId="0AF2E39D" w14:textId="77777777" w:rsidR="00ED31B0" w:rsidRPr="00BD3AAF" w:rsidRDefault="00ED31B0" w:rsidP="00ED31B0">
      <w:pPr>
        <w:numPr>
          <w:ilvl w:val="0"/>
          <w:numId w:val="8"/>
        </w:numPr>
        <w:spacing w:line="276" w:lineRule="auto"/>
        <w:ind w:left="284"/>
        <w:rPr>
          <w:rFonts w:ascii="Arial" w:hAnsi="Arial" w:cs="Arial"/>
        </w:rPr>
      </w:pPr>
      <w:r w:rsidRPr="00BD3AAF">
        <w:rPr>
          <w:rFonts w:ascii="Arial" w:hAnsi="Arial" w:cs="Arial"/>
        </w:rPr>
        <w:t>Job-related experience in relation to the role description and person specification.</w:t>
      </w:r>
    </w:p>
    <w:p w14:paraId="2312C179" w14:textId="77777777" w:rsidR="00ED31B0" w:rsidRDefault="00ED31B0" w:rsidP="00ED31B0">
      <w:pPr>
        <w:numPr>
          <w:ilvl w:val="0"/>
          <w:numId w:val="8"/>
        </w:numPr>
        <w:spacing w:line="276" w:lineRule="auto"/>
        <w:ind w:left="284"/>
        <w:rPr>
          <w:rFonts w:ascii="Arial" w:hAnsi="Arial" w:cs="Arial"/>
        </w:rPr>
      </w:pPr>
      <w:r w:rsidRPr="00BD3AAF">
        <w:rPr>
          <w:rFonts w:ascii="Arial" w:hAnsi="Arial" w:cs="Arial"/>
        </w:rPr>
        <w:t>Placing at</w:t>
      </w:r>
      <w:r>
        <w:rPr>
          <w:rFonts w:ascii="Arial" w:hAnsi="Arial" w:cs="Arial"/>
        </w:rPr>
        <w:t xml:space="preserve"> </w:t>
      </w:r>
      <w:r w:rsidRPr="00BD3AAF">
        <w:rPr>
          <w:rFonts w:ascii="Arial" w:hAnsi="Arial" w:cs="Arial"/>
        </w:rPr>
        <w:t>/</w:t>
      </w:r>
      <w:r>
        <w:rPr>
          <w:rFonts w:ascii="Arial" w:hAnsi="Arial" w:cs="Arial"/>
        </w:rPr>
        <w:t xml:space="preserve"> </w:t>
      </w:r>
      <w:r w:rsidRPr="00BD3AAF">
        <w:rPr>
          <w:rFonts w:ascii="Arial" w:hAnsi="Arial" w:cs="Arial"/>
        </w:rPr>
        <w:t>or near the top of the grade restricts any potential salary progression</w:t>
      </w:r>
    </w:p>
    <w:p w14:paraId="219504B8" w14:textId="7D4D6892" w:rsidR="00ED31B0" w:rsidRPr="00CB7A72" w:rsidRDefault="00ED31B0" w:rsidP="00ED31B0">
      <w:pPr>
        <w:numPr>
          <w:ilvl w:val="0"/>
          <w:numId w:val="8"/>
        </w:numPr>
        <w:spacing w:line="276" w:lineRule="auto"/>
        <w:ind w:left="284"/>
        <w:rPr>
          <w:rFonts w:ascii="Arial" w:hAnsi="Arial" w:cs="Arial"/>
        </w:rPr>
      </w:pPr>
      <w:r>
        <w:rPr>
          <w:rFonts w:ascii="Arial" w:hAnsi="Arial" w:cs="Arial"/>
        </w:rPr>
        <w:t>Market pay data for that role</w:t>
      </w:r>
      <w:r w:rsidR="00125979">
        <w:rPr>
          <w:rFonts w:ascii="Arial" w:hAnsi="Arial" w:cs="Arial"/>
        </w:rPr>
        <w:t xml:space="preserve"> </w:t>
      </w:r>
      <w:r w:rsidR="00125979" w:rsidRPr="00CB7A72">
        <w:rPr>
          <w:rFonts w:ascii="Arial" w:hAnsi="Arial" w:cs="Arial"/>
        </w:rPr>
        <w:t>(</w:t>
      </w:r>
      <w:r w:rsidR="009D6035" w:rsidRPr="00946867">
        <w:rPr>
          <w:rFonts w:ascii="Arial" w:hAnsi="Arial" w:cs="Arial"/>
        </w:rPr>
        <w:t>needs to be substantial data to support this, not just a comparison with one HEI)</w:t>
      </w:r>
    </w:p>
    <w:p w14:paraId="6CE2BE70" w14:textId="77777777" w:rsidR="00ED31B0" w:rsidRPr="00BD3AAF" w:rsidRDefault="00ED31B0" w:rsidP="00ED31B0">
      <w:pPr>
        <w:numPr>
          <w:ilvl w:val="0"/>
          <w:numId w:val="8"/>
        </w:numPr>
        <w:spacing w:line="276" w:lineRule="auto"/>
        <w:ind w:left="284"/>
        <w:rPr>
          <w:rFonts w:ascii="Arial" w:hAnsi="Arial" w:cs="Arial"/>
        </w:rPr>
      </w:pPr>
      <w:r w:rsidRPr="00BD3AAF">
        <w:rPr>
          <w:rFonts w:ascii="Arial" w:hAnsi="Arial" w:cs="Arial"/>
        </w:rPr>
        <w:t>Equality and Diversity considerations</w:t>
      </w:r>
    </w:p>
    <w:p w14:paraId="51B0C659" w14:textId="77777777" w:rsidR="00ED31B0" w:rsidRPr="00BD3AAF" w:rsidRDefault="00ED31B0" w:rsidP="00ED31B0">
      <w:pPr>
        <w:numPr>
          <w:ilvl w:val="0"/>
          <w:numId w:val="8"/>
        </w:numPr>
        <w:spacing w:line="276" w:lineRule="auto"/>
        <w:ind w:left="284"/>
        <w:rPr>
          <w:rFonts w:ascii="Arial" w:hAnsi="Arial" w:cs="Arial"/>
        </w:rPr>
      </w:pPr>
      <w:r w:rsidRPr="00BD3AAF">
        <w:rPr>
          <w:rFonts w:ascii="Arial" w:hAnsi="Arial" w:cs="Arial"/>
        </w:rPr>
        <w:t xml:space="preserve">Internal consistency – the salary levels of colleagues performing roles of similar responsibility, particularly with relation to Equal Pay legislation.  </w:t>
      </w:r>
    </w:p>
    <w:p w14:paraId="05B62152" w14:textId="77777777" w:rsidR="00ED31B0" w:rsidRDefault="00ED31B0" w:rsidP="00ED31B0">
      <w:pPr>
        <w:numPr>
          <w:ilvl w:val="0"/>
          <w:numId w:val="8"/>
        </w:numPr>
        <w:spacing w:line="276" w:lineRule="auto"/>
        <w:ind w:left="284"/>
        <w:rPr>
          <w:rFonts w:ascii="Arial" w:hAnsi="Arial" w:cs="Arial"/>
        </w:rPr>
      </w:pPr>
      <w:r w:rsidRPr="00BD3AAF">
        <w:rPr>
          <w:rFonts w:ascii="Arial" w:hAnsi="Arial" w:cs="Arial"/>
        </w:rPr>
        <w:t>Current salary*</w:t>
      </w:r>
    </w:p>
    <w:p w14:paraId="37290A3A" w14:textId="77777777" w:rsidR="00ED31B0" w:rsidRDefault="00ED31B0" w:rsidP="00ED31B0">
      <w:pPr>
        <w:spacing w:line="276" w:lineRule="auto"/>
        <w:ind w:left="698" w:hanging="120"/>
        <w:rPr>
          <w:rFonts w:ascii="Arial" w:hAnsi="Arial" w:cs="Arial"/>
        </w:rPr>
      </w:pPr>
    </w:p>
    <w:p w14:paraId="3C7A18D4" w14:textId="77777777" w:rsidR="00ED31B0" w:rsidRPr="006E3AF2" w:rsidRDefault="00ED31B0" w:rsidP="00ED31B0">
      <w:pPr>
        <w:spacing w:line="276" w:lineRule="auto"/>
        <w:ind w:hanging="120"/>
        <w:rPr>
          <w:rFonts w:ascii="Arial" w:hAnsi="Arial" w:cs="Arial"/>
        </w:rPr>
      </w:pPr>
      <w:r w:rsidRPr="006E3AF2">
        <w:rPr>
          <w:rFonts w:ascii="Arial" w:hAnsi="Arial" w:cs="Arial"/>
        </w:rPr>
        <w:t>*</w:t>
      </w:r>
      <w:r w:rsidRPr="006E3AF2">
        <w:rPr>
          <w:rFonts w:ascii="Arial" w:hAnsi="Arial" w:cs="Arial"/>
        </w:rPr>
        <w:tab/>
      </w:r>
      <w:r w:rsidRPr="006E3AF2">
        <w:rPr>
          <w:rFonts w:ascii="Arial" w:hAnsi="Arial" w:cs="Arial"/>
          <w:i/>
        </w:rPr>
        <w:t xml:space="preserve">Current salary should only be considered as a factor, if it is relevant in the case of similar experience in the same role at another higher education institution. It should not be used as the main criterion to determine starting salary especially where the applicant has changed career, come from a different industry, private sector or other </w:t>
      </w:r>
      <w:r w:rsidRPr="006E3AF2">
        <w:rPr>
          <w:rFonts w:ascii="Arial" w:hAnsi="Arial" w:cs="Arial"/>
          <w:i/>
        </w:rPr>
        <w:lastRenderedPageBreak/>
        <w:t xml:space="preserve">locale where salaries may be at a higher level.  </w:t>
      </w:r>
      <w:r>
        <w:rPr>
          <w:rFonts w:ascii="Arial" w:hAnsi="Arial" w:cs="Arial"/>
          <w:i/>
        </w:rPr>
        <w:t xml:space="preserve">It is important to remember that their </w:t>
      </w:r>
      <w:r w:rsidRPr="006E3AF2">
        <w:rPr>
          <w:rFonts w:ascii="Arial" w:hAnsi="Arial" w:cs="Arial"/>
          <w:i/>
        </w:rPr>
        <w:t>previous salary may not have been assessed objectively and may not be a realistic measure of the expertise required in the new role.  Consideration should also be given to the overall benefits package on offer at Edinburgh Napier University and that salary levels differ between organisations and sectors and often depend upon factors which do not compare equally.</w:t>
      </w:r>
    </w:p>
    <w:p w14:paraId="14E1A9FE" w14:textId="77777777" w:rsidR="00800D4A" w:rsidRDefault="00800D4A" w:rsidP="00FF726B">
      <w:pPr>
        <w:rPr>
          <w:rFonts w:ascii="Arial" w:hAnsi="Arial" w:cs="Arial"/>
          <w:lang w:val="en-US"/>
        </w:rPr>
      </w:pPr>
    </w:p>
    <w:p w14:paraId="3043423A" w14:textId="267902A0"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New appointments will </w:t>
      </w:r>
      <w:r w:rsidR="00800D4A">
        <w:rPr>
          <w:rFonts w:ascii="Arial" w:hAnsi="Arial" w:cs="Arial"/>
          <w:bCs/>
          <w:iCs/>
          <w:color w:val="000000" w:themeColor="text1"/>
        </w:rPr>
        <w:t xml:space="preserve">normally </w:t>
      </w:r>
      <w:r w:rsidRPr="00F50972">
        <w:rPr>
          <w:rFonts w:ascii="Arial" w:hAnsi="Arial" w:cs="Arial"/>
          <w:bCs/>
          <w:iCs/>
          <w:color w:val="000000" w:themeColor="text1"/>
        </w:rPr>
        <w:t xml:space="preserve">be </w:t>
      </w:r>
      <w:r w:rsidR="00ED31B0">
        <w:rPr>
          <w:rFonts w:ascii="Arial" w:hAnsi="Arial" w:cs="Arial"/>
          <w:bCs/>
          <w:iCs/>
          <w:color w:val="000000" w:themeColor="text1"/>
        </w:rPr>
        <w:t xml:space="preserve">made </w:t>
      </w:r>
      <w:r w:rsidRPr="00F50972">
        <w:rPr>
          <w:rFonts w:ascii="Arial" w:hAnsi="Arial" w:cs="Arial"/>
          <w:bCs/>
          <w:iCs/>
          <w:color w:val="000000" w:themeColor="text1"/>
        </w:rPr>
        <w:t>at the minimum point within the evaluated grade.</w:t>
      </w:r>
    </w:p>
    <w:p w14:paraId="1F507374" w14:textId="77777777" w:rsidR="00F50972" w:rsidRPr="00F50972" w:rsidRDefault="00F50972" w:rsidP="00F50972">
      <w:pPr>
        <w:rPr>
          <w:rFonts w:ascii="Arial" w:hAnsi="Arial" w:cs="Arial"/>
          <w:bCs/>
          <w:iCs/>
          <w:color w:val="000000" w:themeColor="text1"/>
        </w:rPr>
      </w:pPr>
    </w:p>
    <w:p w14:paraId="0F5AAA19" w14:textId="11EAB1D0" w:rsidR="00ED31B0" w:rsidRDefault="00800D4A" w:rsidP="00800D4A">
      <w:pPr>
        <w:rPr>
          <w:rFonts w:ascii="Arial" w:hAnsi="Arial" w:cs="Arial"/>
          <w:bCs/>
          <w:iCs/>
          <w:color w:val="000000" w:themeColor="text1"/>
        </w:rPr>
      </w:pPr>
      <w:r>
        <w:rPr>
          <w:rFonts w:ascii="Arial" w:hAnsi="Arial" w:cs="Arial"/>
          <w:bCs/>
          <w:iCs/>
          <w:color w:val="000000" w:themeColor="text1"/>
        </w:rPr>
        <w:t xml:space="preserve">However, </w:t>
      </w:r>
      <w:r w:rsidR="00ED31B0">
        <w:rPr>
          <w:rFonts w:ascii="Arial" w:hAnsi="Arial" w:cs="Arial"/>
          <w:bCs/>
          <w:iCs/>
          <w:color w:val="000000" w:themeColor="text1"/>
        </w:rPr>
        <w:t>the University acknowledges that there may be j</w:t>
      </w:r>
      <w:r>
        <w:rPr>
          <w:rFonts w:ascii="Arial" w:hAnsi="Arial" w:cs="Arial"/>
          <w:bCs/>
          <w:iCs/>
          <w:color w:val="000000" w:themeColor="text1"/>
        </w:rPr>
        <w:t>ustifiable reason</w:t>
      </w:r>
      <w:r w:rsidR="00ED31B0">
        <w:rPr>
          <w:rFonts w:ascii="Arial" w:hAnsi="Arial" w:cs="Arial"/>
          <w:bCs/>
          <w:iCs/>
          <w:color w:val="000000" w:themeColor="text1"/>
        </w:rPr>
        <w:t>s</w:t>
      </w:r>
      <w:r>
        <w:rPr>
          <w:rFonts w:ascii="Arial" w:hAnsi="Arial" w:cs="Arial"/>
          <w:bCs/>
          <w:iCs/>
          <w:color w:val="000000" w:themeColor="text1"/>
        </w:rPr>
        <w:t xml:space="preserve"> to appoint above the bottom of the salary scale. If the Line Manager believes this to be the case, they should </w:t>
      </w:r>
      <w:r w:rsidR="00ED31B0">
        <w:rPr>
          <w:rFonts w:ascii="Arial" w:hAnsi="Arial" w:cs="Arial"/>
          <w:bCs/>
          <w:iCs/>
          <w:color w:val="000000" w:themeColor="text1"/>
        </w:rPr>
        <w:t xml:space="preserve">provide a </w:t>
      </w:r>
      <w:r w:rsidR="00CB7A72">
        <w:rPr>
          <w:rFonts w:ascii="Arial" w:hAnsi="Arial" w:cs="Arial"/>
          <w:bCs/>
          <w:iCs/>
          <w:color w:val="000000" w:themeColor="text1"/>
        </w:rPr>
        <w:t xml:space="preserve">written </w:t>
      </w:r>
      <w:r w:rsidR="00ED31B0">
        <w:rPr>
          <w:rFonts w:ascii="Arial" w:hAnsi="Arial" w:cs="Arial"/>
          <w:bCs/>
          <w:iCs/>
          <w:color w:val="000000" w:themeColor="text1"/>
        </w:rPr>
        <w:t>justification to HR</w:t>
      </w:r>
      <w:r w:rsidR="007A22B7">
        <w:rPr>
          <w:rFonts w:ascii="Arial" w:hAnsi="Arial" w:cs="Arial"/>
          <w:bCs/>
          <w:iCs/>
          <w:color w:val="000000" w:themeColor="text1"/>
        </w:rPr>
        <w:t>&amp;D</w:t>
      </w:r>
      <w:r w:rsidR="00ED31B0">
        <w:rPr>
          <w:rFonts w:ascii="Arial" w:hAnsi="Arial" w:cs="Arial"/>
          <w:bCs/>
          <w:iCs/>
          <w:color w:val="000000" w:themeColor="text1"/>
        </w:rPr>
        <w:t xml:space="preserve"> </w:t>
      </w:r>
      <w:r w:rsidR="007A22B7">
        <w:rPr>
          <w:rFonts w:ascii="Arial" w:hAnsi="Arial" w:cs="Arial"/>
          <w:bCs/>
          <w:iCs/>
          <w:color w:val="000000" w:themeColor="text1"/>
        </w:rPr>
        <w:t xml:space="preserve">(Human Resources and Development) </w:t>
      </w:r>
      <w:r w:rsidR="00ED31B0">
        <w:rPr>
          <w:rFonts w:ascii="Arial" w:hAnsi="Arial" w:cs="Arial"/>
          <w:bCs/>
          <w:iCs/>
          <w:color w:val="000000" w:themeColor="text1"/>
        </w:rPr>
        <w:t xml:space="preserve">and have this approved </w:t>
      </w:r>
      <w:r w:rsidR="00F50972" w:rsidRPr="00F50972">
        <w:rPr>
          <w:rFonts w:ascii="Arial" w:hAnsi="Arial" w:cs="Arial"/>
          <w:bCs/>
          <w:iCs/>
          <w:color w:val="000000" w:themeColor="text1"/>
        </w:rPr>
        <w:t xml:space="preserve">prior to discussing </w:t>
      </w:r>
      <w:r>
        <w:rPr>
          <w:rFonts w:ascii="Arial" w:hAnsi="Arial" w:cs="Arial"/>
          <w:bCs/>
          <w:iCs/>
          <w:color w:val="000000" w:themeColor="text1"/>
        </w:rPr>
        <w:t xml:space="preserve">the </w:t>
      </w:r>
      <w:r w:rsidR="00F50972" w:rsidRPr="00F50972">
        <w:rPr>
          <w:rFonts w:ascii="Arial" w:hAnsi="Arial" w:cs="Arial"/>
          <w:bCs/>
          <w:iCs/>
          <w:color w:val="000000" w:themeColor="text1"/>
        </w:rPr>
        <w:t xml:space="preserve">salary </w:t>
      </w:r>
      <w:r>
        <w:rPr>
          <w:rFonts w:ascii="Arial" w:hAnsi="Arial" w:cs="Arial"/>
          <w:bCs/>
          <w:iCs/>
          <w:color w:val="000000" w:themeColor="text1"/>
        </w:rPr>
        <w:t xml:space="preserve">offer </w:t>
      </w:r>
      <w:r w:rsidR="00F50972" w:rsidRPr="00F50972">
        <w:rPr>
          <w:rFonts w:ascii="Arial" w:hAnsi="Arial" w:cs="Arial"/>
          <w:bCs/>
          <w:iCs/>
          <w:color w:val="000000" w:themeColor="text1"/>
        </w:rPr>
        <w:t xml:space="preserve">with the applicant. </w:t>
      </w:r>
      <w:r w:rsidR="00ED31B0">
        <w:rPr>
          <w:rFonts w:ascii="Arial" w:hAnsi="Arial" w:cs="Arial"/>
          <w:bCs/>
          <w:iCs/>
          <w:color w:val="000000" w:themeColor="text1"/>
        </w:rPr>
        <w:t xml:space="preserve">A line manager’s justification should be in line with the factors highlighted above and must be approved by </w:t>
      </w:r>
      <w:r w:rsidR="00CB7A72">
        <w:rPr>
          <w:rFonts w:ascii="Arial" w:hAnsi="Arial" w:cs="Arial"/>
          <w:bCs/>
          <w:iCs/>
          <w:color w:val="000000" w:themeColor="text1"/>
        </w:rPr>
        <w:t xml:space="preserve">the </w:t>
      </w:r>
      <w:r w:rsidR="00ED31B0">
        <w:rPr>
          <w:rFonts w:ascii="Arial" w:hAnsi="Arial" w:cs="Arial"/>
          <w:bCs/>
          <w:iCs/>
          <w:color w:val="000000" w:themeColor="text1"/>
        </w:rPr>
        <w:t>HR</w:t>
      </w:r>
      <w:r w:rsidR="00CB7A72">
        <w:rPr>
          <w:rFonts w:ascii="Arial" w:hAnsi="Arial" w:cs="Arial"/>
          <w:bCs/>
          <w:iCs/>
          <w:color w:val="000000" w:themeColor="text1"/>
        </w:rPr>
        <w:t xml:space="preserve"> Operations Team</w:t>
      </w:r>
      <w:r w:rsidR="00ED31B0">
        <w:rPr>
          <w:rFonts w:ascii="Arial" w:hAnsi="Arial" w:cs="Arial"/>
          <w:bCs/>
          <w:iCs/>
          <w:color w:val="000000" w:themeColor="text1"/>
        </w:rPr>
        <w:t xml:space="preserve"> to ensure consistency.</w:t>
      </w:r>
    </w:p>
    <w:p w14:paraId="6C69EE72" w14:textId="73B43D1E" w:rsidR="00800D4A" w:rsidRPr="00F50972" w:rsidRDefault="00800D4A" w:rsidP="00800D4A">
      <w:pPr>
        <w:rPr>
          <w:rFonts w:ascii="Arial" w:hAnsi="Arial" w:cs="Arial"/>
          <w:bCs/>
          <w:iCs/>
          <w:color w:val="000000" w:themeColor="text1"/>
        </w:rPr>
      </w:pPr>
    </w:p>
    <w:p w14:paraId="77C68AF1" w14:textId="3AC8CA24"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The agreed starting salary point will be noted by the </w:t>
      </w:r>
      <w:r w:rsidR="00CB7A72">
        <w:rPr>
          <w:rFonts w:ascii="Arial" w:hAnsi="Arial" w:cs="Arial"/>
          <w:bCs/>
          <w:iCs/>
          <w:color w:val="000000" w:themeColor="text1"/>
        </w:rPr>
        <w:t xml:space="preserve">line </w:t>
      </w:r>
      <w:r w:rsidRPr="00F50972">
        <w:rPr>
          <w:rFonts w:ascii="Arial" w:hAnsi="Arial" w:cs="Arial"/>
          <w:bCs/>
          <w:iCs/>
          <w:color w:val="000000" w:themeColor="text1"/>
        </w:rPr>
        <w:t xml:space="preserve">manager on the </w:t>
      </w:r>
      <w:hyperlink r:id="rId11" w:history="1">
        <w:r w:rsidRPr="00ED31B0">
          <w:rPr>
            <w:rStyle w:val="Hyperlink"/>
            <w:rFonts w:ascii="Arial" w:hAnsi="Arial" w:cs="Arial"/>
            <w:bCs/>
            <w:iCs/>
          </w:rPr>
          <w:t>Appointment Form</w:t>
        </w:r>
      </w:hyperlink>
      <w:r w:rsidR="00800D4A">
        <w:rPr>
          <w:rFonts w:ascii="Arial" w:hAnsi="Arial" w:cs="Arial"/>
          <w:bCs/>
          <w:iCs/>
          <w:color w:val="000000" w:themeColor="text1"/>
        </w:rPr>
        <w:t xml:space="preserve"> along with their </w:t>
      </w:r>
      <w:r w:rsidR="00ED31B0">
        <w:rPr>
          <w:rFonts w:ascii="Arial" w:hAnsi="Arial" w:cs="Arial"/>
          <w:bCs/>
          <w:iCs/>
          <w:color w:val="000000" w:themeColor="text1"/>
        </w:rPr>
        <w:t xml:space="preserve">approved </w:t>
      </w:r>
      <w:r w:rsidR="00800D4A">
        <w:rPr>
          <w:rFonts w:ascii="Arial" w:hAnsi="Arial" w:cs="Arial"/>
          <w:bCs/>
          <w:iCs/>
          <w:color w:val="000000" w:themeColor="text1"/>
        </w:rPr>
        <w:t>justification</w:t>
      </w:r>
      <w:r w:rsidRPr="00F50972">
        <w:rPr>
          <w:rFonts w:ascii="Arial" w:hAnsi="Arial" w:cs="Arial"/>
          <w:bCs/>
          <w:iCs/>
          <w:color w:val="000000" w:themeColor="text1"/>
        </w:rPr>
        <w:t xml:space="preserve">.  The starting salary will be confirmed to the candidate by </w:t>
      </w:r>
      <w:r w:rsidR="00ED31B0">
        <w:rPr>
          <w:rFonts w:ascii="Arial" w:hAnsi="Arial" w:cs="Arial"/>
          <w:bCs/>
          <w:iCs/>
          <w:color w:val="000000" w:themeColor="text1"/>
        </w:rPr>
        <w:t>HR</w:t>
      </w:r>
      <w:r w:rsidR="007A22B7">
        <w:rPr>
          <w:rFonts w:ascii="Arial" w:hAnsi="Arial" w:cs="Arial"/>
          <w:bCs/>
          <w:iCs/>
          <w:color w:val="000000" w:themeColor="text1"/>
        </w:rPr>
        <w:t>&amp;D</w:t>
      </w:r>
      <w:r w:rsidR="00ED31B0">
        <w:rPr>
          <w:rFonts w:ascii="Arial" w:hAnsi="Arial" w:cs="Arial"/>
          <w:bCs/>
          <w:iCs/>
          <w:color w:val="000000" w:themeColor="text1"/>
        </w:rPr>
        <w:t xml:space="preserve"> </w:t>
      </w:r>
      <w:r w:rsidRPr="00F50972">
        <w:rPr>
          <w:rFonts w:ascii="Arial" w:hAnsi="Arial" w:cs="Arial"/>
          <w:bCs/>
          <w:iCs/>
          <w:color w:val="000000" w:themeColor="text1"/>
        </w:rPr>
        <w:t>in their contract of employment.</w:t>
      </w:r>
    </w:p>
    <w:p w14:paraId="16CD3784" w14:textId="77777777" w:rsidR="00F50972" w:rsidRPr="00F50972" w:rsidRDefault="00F50972" w:rsidP="00F50972">
      <w:pPr>
        <w:rPr>
          <w:rFonts w:ascii="Arial" w:hAnsi="Arial" w:cs="Arial"/>
          <w:bCs/>
          <w:iCs/>
          <w:color w:val="000000" w:themeColor="text1"/>
        </w:rPr>
      </w:pPr>
    </w:p>
    <w:p w14:paraId="59D76F16" w14:textId="77777777"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Where a candidate is seeking a higher than advertised salary or wishes to be appointed on a higher point than the first point of the evaluated grade, no agreement will be given to this or the possibility of this, during the course of the interview process.</w:t>
      </w:r>
    </w:p>
    <w:p w14:paraId="38CD784F" w14:textId="77777777" w:rsidR="00F50972" w:rsidRPr="00F50972" w:rsidRDefault="00F50972" w:rsidP="00F50972">
      <w:pPr>
        <w:rPr>
          <w:rFonts w:ascii="Arial" w:hAnsi="Arial" w:cs="Arial"/>
          <w:bCs/>
          <w:iCs/>
          <w:color w:val="000000" w:themeColor="text1"/>
        </w:rPr>
      </w:pPr>
    </w:p>
    <w:p w14:paraId="7B9E8179" w14:textId="2719F4B4" w:rsidR="00ED31B0" w:rsidRPr="00946867" w:rsidRDefault="00ED31B0" w:rsidP="00946867">
      <w:pPr>
        <w:pStyle w:val="ListParagraph"/>
        <w:numPr>
          <w:ilvl w:val="0"/>
          <w:numId w:val="12"/>
        </w:numPr>
        <w:rPr>
          <w:rFonts w:ascii="Arial" w:hAnsi="Arial" w:cs="Arial"/>
          <w:b/>
          <w:bCs/>
          <w:iCs/>
          <w:color w:val="000000" w:themeColor="text1"/>
        </w:rPr>
      </w:pPr>
      <w:r w:rsidRPr="00946867">
        <w:rPr>
          <w:rFonts w:ascii="Arial" w:hAnsi="Arial" w:cs="Arial"/>
          <w:b/>
          <w:bCs/>
          <w:iCs/>
          <w:color w:val="000000" w:themeColor="text1"/>
        </w:rPr>
        <w:t xml:space="preserve">Attraction and </w:t>
      </w:r>
      <w:r w:rsidRPr="00ED31B0">
        <w:rPr>
          <w:rFonts w:ascii="Arial" w:hAnsi="Arial" w:cs="Arial"/>
          <w:b/>
          <w:bCs/>
          <w:iCs/>
          <w:color w:val="000000" w:themeColor="text1"/>
        </w:rPr>
        <w:t>Retention</w:t>
      </w:r>
      <w:r w:rsidRPr="00946867">
        <w:rPr>
          <w:rFonts w:ascii="Arial" w:hAnsi="Arial" w:cs="Arial"/>
          <w:b/>
          <w:bCs/>
          <w:iCs/>
          <w:color w:val="000000" w:themeColor="text1"/>
        </w:rPr>
        <w:t xml:space="preserve"> Premia </w:t>
      </w:r>
    </w:p>
    <w:p w14:paraId="0AD9EF0E" w14:textId="77777777" w:rsidR="00ED31B0" w:rsidRPr="00946867" w:rsidRDefault="00ED31B0" w:rsidP="00F50972">
      <w:pPr>
        <w:rPr>
          <w:rFonts w:ascii="Arial" w:hAnsi="Arial" w:cs="Arial"/>
          <w:b/>
          <w:bCs/>
          <w:iCs/>
          <w:color w:val="000000" w:themeColor="text1"/>
        </w:rPr>
      </w:pPr>
    </w:p>
    <w:p w14:paraId="3D8D35F5" w14:textId="77777777"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Attraction and Retention Premia may be applicable in exceptional circumstances, however, it is important to consider that:</w:t>
      </w:r>
    </w:p>
    <w:p w14:paraId="6D5BC7E0" w14:textId="77777777" w:rsidR="00F50972" w:rsidRPr="00F50972" w:rsidRDefault="00F50972" w:rsidP="00F50972">
      <w:pPr>
        <w:rPr>
          <w:rFonts w:ascii="Arial" w:hAnsi="Arial" w:cs="Arial"/>
          <w:bCs/>
          <w:iCs/>
          <w:color w:val="000000" w:themeColor="text1"/>
        </w:rPr>
      </w:pPr>
    </w:p>
    <w:p w14:paraId="750FCE57" w14:textId="77777777" w:rsidR="00F50972" w:rsidRPr="00F50972" w:rsidRDefault="00F50972" w:rsidP="00F50972">
      <w:pPr>
        <w:pStyle w:val="ListParagraph"/>
        <w:numPr>
          <w:ilvl w:val="0"/>
          <w:numId w:val="11"/>
        </w:numPr>
        <w:rPr>
          <w:rFonts w:ascii="Arial" w:hAnsi="Arial" w:cs="Arial"/>
          <w:bCs/>
          <w:iCs/>
          <w:color w:val="000000" w:themeColor="text1"/>
        </w:rPr>
      </w:pPr>
      <w:r w:rsidRPr="00F50972">
        <w:rPr>
          <w:rFonts w:ascii="Arial" w:hAnsi="Arial" w:cs="Arial"/>
          <w:bCs/>
          <w:iCs/>
          <w:color w:val="000000" w:themeColor="text1"/>
        </w:rPr>
        <w:t xml:space="preserve">the University must be able to provide objective evidence of the need to offer different rates of pay to staff whose work is of equal value. </w:t>
      </w:r>
    </w:p>
    <w:p w14:paraId="7A6BC415" w14:textId="77777777" w:rsidR="00F50972" w:rsidRPr="00F50972" w:rsidRDefault="00F50972" w:rsidP="00F50972">
      <w:pPr>
        <w:rPr>
          <w:rFonts w:ascii="Arial" w:hAnsi="Arial" w:cs="Arial"/>
          <w:bCs/>
          <w:iCs/>
          <w:color w:val="000000" w:themeColor="text1"/>
        </w:rPr>
      </w:pPr>
    </w:p>
    <w:p w14:paraId="134E49CD" w14:textId="77777777" w:rsidR="00F50972" w:rsidRPr="00F50972" w:rsidRDefault="00F50972" w:rsidP="00F50972">
      <w:pPr>
        <w:pStyle w:val="ListParagraph"/>
        <w:numPr>
          <w:ilvl w:val="0"/>
          <w:numId w:val="11"/>
        </w:numPr>
        <w:rPr>
          <w:rFonts w:ascii="Arial" w:hAnsi="Arial" w:cs="Arial"/>
          <w:bCs/>
          <w:iCs/>
          <w:color w:val="000000" w:themeColor="text1"/>
        </w:rPr>
      </w:pPr>
      <w:r w:rsidRPr="00F50972">
        <w:rPr>
          <w:rFonts w:ascii="Arial" w:hAnsi="Arial" w:cs="Arial"/>
          <w:bCs/>
          <w:iCs/>
          <w:color w:val="000000" w:themeColor="text1"/>
        </w:rPr>
        <w:t xml:space="preserve">for equal pay purposes where an Attraction and Retention Premium has been agreed it must be applied not only to a joining member of staff but to all existing staff with the same role as defined by a detailed role description.  </w:t>
      </w:r>
    </w:p>
    <w:p w14:paraId="3D71EDCD" w14:textId="77777777" w:rsidR="00F50972" w:rsidRPr="00F50972" w:rsidRDefault="00F50972" w:rsidP="00F50972">
      <w:pPr>
        <w:rPr>
          <w:rFonts w:ascii="Arial" w:hAnsi="Arial" w:cs="Arial"/>
          <w:bCs/>
          <w:iCs/>
          <w:color w:val="000000" w:themeColor="text1"/>
        </w:rPr>
      </w:pPr>
    </w:p>
    <w:p w14:paraId="56BCB161" w14:textId="47B4E3EB" w:rsid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The </w:t>
      </w:r>
      <w:hyperlink r:id="rId12" w:history="1">
        <w:r w:rsidRPr="00800D4A">
          <w:rPr>
            <w:rStyle w:val="Hyperlink"/>
            <w:rFonts w:ascii="Arial" w:hAnsi="Arial" w:cs="Arial"/>
            <w:bCs/>
            <w:iCs/>
          </w:rPr>
          <w:t>Attraction and Retention Premia Policy</w:t>
        </w:r>
      </w:hyperlink>
      <w:r w:rsidRPr="00F50972">
        <w:rPr>
          <w:rFonts w:ascii="Arial" w:hAnsi="Arial" w:cs="Arial"/>
          <w:bCs/>
          <w:iCs/>
          <w:color w:val="000000" w:themeColor="text1"/>
        </w:rPr>
        <w:t xml:space="preserve"> is available on the HR</w:t>
      </w:r>
      <w:r w:rsidR="007A22B7">
        <w:rPr>
          <w:rFonts w:ascii="Arial" w:hAnsi="Arial" w:cs="Arial"/>
          <w:bCs/>
          <w:iCs/>
          <w:color w:val="000000" w:themeColor="text1"/>
        </w:rPr>
        <w:t>&amp;D</w:t>
      </w:r>
      <w:r w:rsidRPr="00F50972">
        <w:rPr>
          <w:rFonts w:ascii="Arial" w:hAnsi="Arial" w:cs="Arial"/>
          <w:bCs/>
          <w:iCs/>
          <w:color w:val="000000" w:themeColor="text1"/>
        </w:rPr>
        <w:t xml:space="preserve"> intranet</w:t>
      </w:r>
      <w:r w:rsidR="007A22B7">
        <w:rPr>
          <w:rFonts w:ascii="Arial" w:hAnsi="Arial" w:cs="Arial"/>
          <w:bCs/>
          <w:iCs/>
          <w:color w:val="000000" w:themeColor="text1"/>
        </w:rPr>
        <w:t xml:space="preserve"> pages</w:t>
      </w:r>
      <w:r w:rsidRPr="00F50972">
        <w:rPr>
          <w:rFonts w:ascii="Arial" w:hAnsi="Arial" w:cs="Arial"/>
          <w:bCs/>
          <w:iCs/>
          <w:color w:val="000000" w:themeColor="text1"/>
        </w:rPr>
        <w:t xml:space="preserve">. </w:t>
      </w:r>
    </w:p>
    <w:p w14:paraId="1FEDC343" w14:textId="77777777" w:rsidR="00F50972" w:rsidRPr="00F50972" w:rsidRDefault="00F50972" w:rsidP="00F50972">
      <w:pPr>
        <w:rPr>
          <w:rFonts w:ascii="Arial" w:hAnsi="Arial" w:cs="Arial"/>
          <w:bCs/>
          <w:iCs/>
          <w:color w:val="000000" w:themeColor="text1"/>
        </w:rPr>
      </w:pPr>
    </w:p>
    <w:p w14:paraId="7F689FD4" w14:textId="77777777" w:rsidR="00F50972" w:rsidRPr="00600AB9" w:rsidRDefault="00F50972" w:rsidP="00600AB9">
      <w:pPr>
        <w:pStyle w:val="ListParagraph"/>
        <w:numPr>
          <w:ilvl w:val="0"/>
          <w:numId w:val="12"/>
        </w:numPr>
        <w:rPr>
          <w:rFonts w:ascii="Arial" w:hAnsi="Arial" w:cs="Arial"/>
          <w:b/>
          <w:bCs/>
          <w:iCs/>
          <w:color w:val="000000" w:themeColor="text1"/>
        </w:rPr>
      </w:pPr>
      <w:r w:rsidRPr="00600AB9">
        <w:rPr>
          <w:rFonts w:ascii="Arial" w:hAnsi="Arial" w:cs="Arial"/>
          <w:b/>
          <w:bCs/>
          <w:iCs/>
          <w:color w:val="000000" w:themeColor="text1"/>
        </w:rPr>
        <w:t>Starting Salaries for Internal Appointments</w:t>
      </w:r>
    </w:p>
    <w:p w14:paraId="6BC87496" w14:textId="77777777" w:rsidR="00F50972" w:rsidRDefault="00F50972" w:rsidP="00F50972">
      <w:pPr>
        <w:rPr>
          <w:rFonts w:ascii="Arial" w:hAnsi="Arial" w:cs="Arial"/>
          <w:bCs/>
          <w:iCs/>
          <w:color w:val="000000" w:themeColor="text1"/>
        </w:rPr>
      </w:pPr>
    </w:p>
    <w:p w14:paraId="042D7FFA" w14:textId="63756ED6"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An individual who is appointed to a role at a higher grade as a result of an internal recruitment process will be placed on the minimum point of the grade with effect from their date of commencement in that role</w:t>
      </w:r>
      <w:r w:rsidR="008A078B">
        <w:rPr>
          <w:rFonts w:ascii="Arial" w:hAnsi="Arial" w:cs="Arial"/>
          <w:bCs/>
          <w:iCs/>
          <w:color w:val="000000" w:themeColor="text1"/>
        </w:rPr>
        <w:t>, unless a justifiable reason is provided by the line manager and approved by HR</w:t>
      </w:r>
      <w:r w:rsidR="007A22B7">
        <w:rPr>
          <w:rFonts w:ascii="Arial" w:hAnsi="Arial" w:cs="Arial"/>
          <w:bCs/>
          <w:iCs/>
          <w:color w:val="000000" w:themeColor="text1"/>
        </w:rPr>
        <w:t>&amp;D</w:t>
      </w:r>
      <w:r w:rsidR="008A078B">
        <w:rPr>
          <w:rFonts w:ascii="Arial" w:hAnsi="Arial" w:cs="Arial"/>
          <w:bCs/>
          <w:iCs/>
          <w:color w:val="000000" w:themeColor="text1"/>
        </w:rPr>
        <w:t xml:space="preserve"> for a higher placing</w:t>
      </w:r>
      <w:r w:rsidRPr="00F50972">
        <w:rPr>
          <w:rFonts w:ascii="Arial" w:hAnsi="Arial" w:cs="Arial"/>
          <w:bCs/>
          <w:iCs/>
          <w:color w:val="000000" w:themeColor="text1"/>
        </w:rPr>
        <w:t xml:space="preserve">. </w:t>
      </w:r>
    </w:p>
    <w:p w14:paraId="6093596F" w14:textId="77777777" w:rsidR="00F50972" w:rsidRDefault="00F50972" w:rsidP="00F50972">
      <w:pPr>
        <w:rPr>
          <w:rFonts w:ascii="Arial" w:hAnsi="Arial" w:cs="Arial"/>
          <w:bCs/>
          <w:iCs/>
          <w:color w:val="000000" w:themeColor="text1"/>
        </w:rPr>
      </w:pPr>
    </w:p>
    <w:p w14:paraId="0FDAD955" w14:textId="77777777" w:rsid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An individual who is appointed to a role graded at the same grade as the individual’s current role, as a result of an internal recruitment process (includes multiple roles at the University), will be placed on an appropriate point of the grade after consideration of the factors detailed in section 2 and the incremental date would be the start date in the new role. For an individual changing to a similar role it could be </w:t>
      </w:r>
      <w:r w:rsidRPr="00F50972">
        <w:rPr>
          <w:rFonts w:ascii="Arial" w:hAnsi="Arial" w:cs="Arial"/>
          <w:bCs/>
          <w:iCs/>
          <w:color w:val="000000" w:themeColor="text1"/>
        </w:rPr>
        <w:lastRenderedPageBreak/>
        <w:t xml:space="preserve">considered reasonable to match them to the same point with the same incremental date to ensure no financial detriment.  </w:t>
      </w:r>
    </w:p>
    <w:p w14:paraId="59D05BD5" w14:textId="77777777" w:rsidR="00F50972" w:rsidRPr="00F50972" w:rsidRDefault="00F50972" w:rsidP="00F50972">
      <w:pPr>
        <w:rPr>
          <w:rFonts w:ascii="Arial" w:hAnsi="Arial" w:cs="Arial"/>
          <w:bCs/>
          <w:iCs/>
          <w:color w:val="000000" w:themeColor="text1"/>
        </w:rPr>
      </w:pPr>
    </w:p>
    <w:p w14:paraId="295FDEEF" w14:textId="77777777" w:rsidR="00F50972" w:rsidRPr="00600AB9" w:rsidRDefault="00F50972" w:rsidP="00600AB9">
      <w:pPr>
        <w:pStyle w:val="ListParagraph"/>
        <w:numPr>
          <w:ilvl w:val="0"/>
          <w:numId w:val="12"/>
        </w:numPr>
        <w:rPr>
          <w:rFonts w:ascii="Arial" w:hAnsi="Arial" w:cs="Arial"/>
          <w:b/>
          <w:bCs/>
          <w:iCs/>
          <w:color w:val="000000" w:themeColor="text1"/>
        </w:rPr>
      </w:pPr>
      <w:r w:rsidRPr="00600AB9">
        <w:rPr>
          <w:rFonts w:ascii="Arial" w:hAnsi="Arial" w:cs="Arial"/>
          <w:b/>
          <w:bCs/>
          <w:iCs/>
          <w:color w:val="000000" w:themeColor="text1"/>
        </w:rPr>
        <w:t>Starting Salaries for employees who have been ‘Acting-up’ and then successfully secure the role on a permanent basis</w:t>
      </w:r>
    </w:p>
    <w:p w14:paraId="5DF84785" w14:textId="77777777" w:rsidR="00F50972" w:rsidRPr="00575E60" w:rsidRDefault="00F50972" w:rsidP="00F50972">
      <w:pPr>
        <w:rPr>
          <w:rFonts w:ascii="Arial" w:hAnsi="Arial" w:cs="Arial"/>
          <w:b/>
          <w:bCs/>
          <w:iCs/>
          <w:color w:val="000000" w:themeColor="text1"/>
        </w:rPr>
      </w:pPr>
    </w:p>
    <w:p w14:paraId="18DCAB36" w14:textId="3DAF1AF5"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Where an individual has been acting-up, i.e. undertaking the full duties and responsibilities of a higher graded role and ha</w:t>
      </w:r>
      <w:r w:rsidR="00575E60">
        <w:rPr>
          <w:rFonts w:ascii="Arial" w:hAnsi="Arial" w:cs="Arial"/>
          <w:bCs/>
          <w:iCs/>
          <w:color w:val="000000" w:themeColor="text1"/>
        </w:rPr>
        <w:t>ve</w:t>
      </w:r>
      <w:r w:rsidRPr="00F50972">
        <w:rPr>
          <w:rFonts w:ascii="Arial" w:hAnsi="Arial" w:cs="Arial"/>
          <w:bCs/>
          <w:iCs/>
          <w:color w:val="000000" w:themeColor="text1"/>
        </w:rPr>
        <w:t xml:space="preserve"> been receiving an acting-up allowance, which is based on the bottom point of the evaluated grade for the role for less than a year, the starting salary should remain the bottom point of the evaluated grade. However, the incremental date, should be the date in which the acting-up allowance commenced.</w:t>
      </w:r>
    </w:p>
    <w:p w14:paraId="64A0EDB0" w14:textId="77777777" w:rsidR="00F50972" w:rsidRPr="00F50972" w:rsidRDefault="00F50972" w:rsidP="00F50972">
      <w:pPr>
        <w:rPr>
          <w:rFonts w:ascii="Arial" w:hAnsi="Arial" w:cs="Arial"/>
          <w:bCs/>
          <w:iCs/>
          <w:color w:val="000000" w:themeColor="text1"/>
        </w:rPr>
      </w:pPr>
    </w:p>
    <w:p w14:paraId="0CCB6630" w14:textId="7324BFAA"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Where an individual has been acting-up for more than a year, which should only occur in exceptional circumstances as the </w:t>
      </w:r>
      <w:hyperlink r:id="rId13" w:history="1">
        <w:r w:rsidRPr="00575E60">
          <w:rPr>
            <w:rStyle w:val="Hyperlink"/>
            <w:rFonts w:ascii="Arial" w:hAnsi="Arial" w:cs="Arial"/>
            <w:bCs/>
            <w:iCs/>
          </w:rPr>
          <w:t>Acting-up and Responsibility Allowance Policy</w:t>
        </w:r>
      </w:hyperlink>
      <w:r w:rsidRPr="00F50972">
        <w:rPr>
          <w:rFonts w:ascii="Arial" w:hAnsi="Arial" w:cs="Arial"/>
          <w:bCs/>
          <w:iCs/>
          <w:color w:val="000000" w:themeColor="text1"/>
        </w:rPr>
        <w:t xml:space="preserve"> states that the maximum period is six months, consideration should be given to the appropriate starting salary and incremental date, in discussion with</w:t>
      </w:r>
      <w:r w:rsidR="00575E60">
        <w:rPr>
          <w:rFonts w:ascii="Arial" w:hAnsi="Arial" w:cs="Arial"/>
          <w:bCs/>
          <w:iCs/>
          <w:color w:val="000000" w:themeColor="text1"/>
        </w:rPr>
        <w:t xml:space="preserve"> HR</w:t>
      </w:r>
      <w:r w:rsidR="007A22B7">
        <w:rPr>
          <w:rFonts w:ascii="Arial" w:hAnsi="Arial" w:cs="Arial"/>
          <w:bCs/>
          <w:iCs/>
          <w:color w:val="000000" w:themeColor="text1"/>
        </w:rPr>
        <w:t xml:space="preserve"> &amp;D</w:t>
      </w:r>
      <w:r w:rsidRPr="00F50972">
        <w:rPr>
          <w:rFonts w:ascii="Arial" w:hAnsi="Arial" w:cs="Arial"/>
          <w:bCs/>
          <w:iCs/>
          <w:color w:val="000000" w:themeColor="text1"/>
        </w:rPr>
        <w:t>.</w:t>
      </w:r>
    </w:p>
    <w:p w14:paraId="721BEC77" w14:textId="77777777" w:rsidR="00F50972" w:rsidRPr="00F50972" w:rsidRDefault="00F50972" w:rsidP="00F50972">
      <w:pPr>
        <w:rPr>
          <w:rFonts w:ascii="Arial" w:hAnsi="Arial" w:cs="Arial"/>
          <w:bCs/>
          <w:iCs/>
          <w:color w:val="000000" w:themeColor="text1"/>
        </w:rPr>
      </w:pPr>
    </w:p>
    <w:p w14:paraId="344B97CD" w14:textId="7B82F6EC" w:rsidR="00F50972" w:rsidRPr="00600AB9" w:rsidRDefault="00F50972" w:rsidP="00600AB9">
      <w:pPr>
        <w:pStyle w:val="ListParagraph"/>
        <w:numPr>
          <w:ilvl w:val="0"/>
          <w:numId w:val="12"/>
        </w:numPr>
        <w:rPr>
          <w:rFonts w:ascii="Arial" w:hAnsi="Arial" w:cs="Arial"/>
          <w:b/>
          <w:bCs/>
          <w:iCs/>
          <w:color w:val="000000" w:themeColor="text1"/>
        </w:rPr>
      </w:pPr>
      <w:r w:rsidRPr="00600AB9">
        <w:rPr>
          <w:rFonts w:ascii="Arial" w:hAnsi="Arial" w:cs="Arial"/>
          <w:b/>
          <w:bCs/>
          <w:iCs/>
          <w:color w:val="000000" w:themeColor="text1"/>
        </w:rPr>
        <w:t>Progression within the Grade</w:t>
      </w:r>
      <w:r w:rsidR="00ED31B0">
        <w:rPr>
          <w:rFonts w:ascii="Arial" w:hAnsi="Arial" w:cs="Arial"/>
          <w:b/>
          <w:bCs/>
          <w:iCs/>
          <w:color w:val="000000" w:themeColor="text1"/>
        </w:rPr>
        <w:t xml:space="preserve"> </w:t>
      </w:r>
      <w:r w:rsidRPr="00600AB9">
        <w:rPr>
          <w:rFonts w:ascii="Arial" w:hAnsi="Arial" w:cs="Arial"/>
          <w:b/>
          <w:bCs/>
          <w:iCs/>
          <w:color w:val="000000" w:themeColor="text1"/>
        </w:rPr>
        <w:t>/</w:t>
      </w:r>
      <w:r w:rsidR="00ED31B0">
        <w:rPr>
          <w:rFonts w:ascii="Arial" w:hAnsi="Arial" w:cs="Arial"/>
          <w:b/>
          <w:bCs/>
          <w:iCs/>
          <w:color w:val="000000" w:themeColor="text1"/>
        </w:rPr>
        <w:t xml:space="preserve"> </w:t>
      </w:r>
      <w:r w:rsidRPr="00600AB9">
        <w:rPr>
          <w:rFonts w:ascii="Arial" w:hAnsi="Arial" w:cs="Arial"/>
          <w:b/>
          <w:bCs/>
          <w:iCs/>
          <w:color w:val="000000" w:themeColor="text1"/>
        </w:rPr>
        <w:t>Incremental Dates</w:t>
      </w:r>
    </w:p>
    <w:p w14:paraId="530B7601" w14:textId="77777777" w:rsidR="00F50972" w:rsidRDefault="00F50972" w:rsidP="00F50972">
      <w:pPr>
        <w:rPr>
          <w:rFonts w:ascii="Arial" w:hAnsi="Arial" w:cs="Arial"/>
          <w:bCs/>
          <w:iCs/>
          <w:color w:val="000000" w:themeColor="text1"/>
        </w:rPr>
      </w:pPr>
    </w:p>
    <w:p w14:paraId="79BAD8BB" w14:textId="2488EEFE"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All staff</w:t>
      </w:r>
      <w:r w:rsidR="003C5E4B">
        <w:rPr>
          <w:rFonts w:ascii="Arial" w:hAnsi="Arial" w:cs="Arial"/>
          <w:bCs/>
          <w:iCs/>
          <w:color w:val="000000" w:themeColor="text1"/>
        </w:rPr>
        <w:t xml:space="preserve"> grades 2-7</w:t>
      </w:r>
      <w:r w:rsidRPr="00F50972">
        <w:rPr>
          <w:rFonts w:ascii="Arial" w:hAnsi="Arial" w:cs="Arial"/>
          <w:bCs/>
          <w:iCs/>
          <w:color w:val="000000" w:themeColor="text1"/>
        </w:rPr>
        <w:t xml:space="preserve"> (except staff on pay protection) will have access to incremental progression within the grade, up to the top point of the relevant grade.  </w:t>
      </w:r>
    </w:p>
    <w:p w14:paraId="10196C02" w14:textId="77777777" w:rsidR="00F50972" w:rsidRPr="00F50972" w:rsidRDefault="00F50972" w:rsidP="00F50972">
      <w:pPr>
        <w:rPr>
          <w:rFonts w:ascii="Arial" w:hAnsi="Arial" w:cs="Arial"/>
          <w:bCs/>
          <w:iCs/>
          <w:color w:val="000000" w:themeColor="text1"/>
        </w:rPr>
      </w:pPr>
    </w:p>
    <w:p w14:paraId="3A5135C2" w14:textId="77777777"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All staff will receive increments on the anniversary of their start date in the new role. </w:t>
      </w:r>
    </w:p>
    <w:p w14:paraId="588833AF" w14:textId="77777777"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ab/>
      </w:r>
    </w:p>
    <w:p w14:paraId="7C33A31A" w14:textId="77777777" w:rsid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Existing staff applying for a second, or multiple role within the University will have increments applied in this role, on the anniversary of their start date in the new role.   This will not alter incremental dates for other roles held. </w:t>
      </w:r>
    </w:p>
    <w:p w14:paraId="6405172D" w14:textId="77777777" w:rsidR="00575E60" w:rsidRDefault="00575E60" w:rsidP="00F50972">
      <w:pPr>
        <w:rPr>
          <w:rFonts w:ascii="Arial" w:hAnsi="Arial" w:cs="Arial"/>
          <w:bCs/>
          <w:iCs/>
          <w:color w:val="000000" w:themeColor="text1"/>
        </w:rPr>
      </w:pPr>
    </w:p>
    <w:p w14:paraId="32570791" w14:textId="6798CC97" w:rsidR="00575E60" w:rsidRPr="00F50972" w:rsidRDefault="00575E60" w:rsidP="00F50972">
      <w:pPr>
        <w:rPr>
          <w:rFonts w:ascii="Arial" w:hAnsi="Arial" w:cs="Arial"/>
          <w:bCs/>
          <w:iCs/>
          <w:color w:val="000000" w:themeColor="text1"/>
        </w:rPr>
      </w:pPr>
      <w:r>
        <w:rPr>
          <w:rFonts w:ascii="Arial" w:hAnsi="Arial" w:cs="Arial"/>
          <w:bCs/>
          <w:iCs/>
          <w:color w:val="000000" w:themeColor="text1"/>
        </w:rPr>
        <w:t xml:space="preserve">Senior Management roles </w:t>
      </w:r>
      <w:r w:rsidR="00F958DE">
        <w:rPr>
          <w:rFonts w:ascii="Arial" w:hAnsi="Arial" w:cs="Arial"/>
          <w:bCs/>
          <w:iCs/>
          <w:color w:val="000000" w:themeColor="text1"/>
        </w:rPr>
        <w:t>(gra</w:t>
      </w:r>
      <w:r w:rsidR="003C5E4B">
        <w:rPr>
          <w:rFonts w:ascii="Arial" w:hAnsi="Arial" w:cs="Arial"/>
          <w:bCs/>
          <w:iCs/>
          <w:color w:val="000000" w:themeColor="text1"/>
        </w:rPr>
        <w:t>de 8-</w:t>
      </w:r>
      <w:r w:rsidR="00F958DE">
        <w:rPr>
          <w:rFonts w:ascii="Arial" w:hAnsi="Arial" w:cs="Arial"/>
          <w:bCs/>
          <w:iCs/>
          <w:color w:val="000000" w:themeColor="text1"/>
        </w:rPr>
        <w:t xml:space="preserve">10) </w:t>
      </w:r>
      <w:r>
        <w:rPr>
          <w:rFonts w:ascii="Arial" w:hAnsi="Arial" w:cs="Arial"/>
          <w:bCs/>
          <w:iCs/>
          <w:color w:val="000000" w:themeColor="text1"/>
        </w:rPr>
        <w:t xml:space="preserve">do not automatically increment, they are required to participate in the annual </w:t>
      </w:r>
      <w:hyperlink r:id="rId14" w:history="1">
        <w:r w:rsidR="00F958DE">
          <w:rPr>
            <w:rStyle w:val="Hyperlink"/>
            <w:rFonts w:ascii="Arial" w:hAnsi="Arial" w:cs="Arial"/>
            <w:bCs/>
            <w:iCs/>
          </w:rPr>
          <w:t>Senior M</w:t>
        </w:r>
        <w:r w:rsidRPr="00575E60">
          <w:rPr>
            <w:rStyle w:val="Hyperlink"/>
            <w:rFonts w:ascii="Arial" w:hAnsi="Arial" w:cs="Arial"/>
            <w:bCs/>
            <w:iCs/>
          </w:rPr>
          <w:t xml:space="preserve">anagement </w:t>
        </w:r>
        <w:r w:rsidR="00F958DE">
          <w:rPr>
            <w:rStyle w:val="Hyperlink"/>
            <w:rFonts w:ascii="Arial" w:hAnsi="Arial" w:cs="Arial"/>
            <w:bCs/>
            <w:iCs/>
          </w:rPr>
          <w:t>Pay Progression P</w:t>
        </w:r>
        <w:r w:rsidRPr="00575E60">
          <w:rPr>
            <w:rStyle w:val="Hyperlink"/>
            <w:rFonts w:ascii="Arial" w:hAnsi="Arial" w:cs="Arial"/>
            <w:bCs/>
            <w:iCs/>
          </w:rPr>
          <w:t>rocedure</w:t>
        </w:r>
      </w:hyperlink>
      <w:r>
        <w:rPr>
          <w:rFonts w:ascii="Arial" w:hAnsi="Arial" w:cs="Arial"/>
          <w:bCs/>
          <w:iCs/>
          <w:color w:val="000000" w:themeColor="text1"/>
        </w:rPr>
        <w:t xml:space="preserve"> in order to progress through the grade. </w:t>
      </w:r>
    </w:p>
    <w:p w14:paraId="4FCA26EF" w14:textId="77777777" w:rsidR="00F50972" w:rsidRPr="00F50972" w:rsidRDefault="00F50972" w:rsidP="00F50972">
      <w:pPr>
        <w:rPr>
          <w:rFonts w:ascii="Arial" w:hAnsi="Arial" w:cs="Arial"/>
          <w:bCs/>
          <w:iCs/>
          <w:color w:val="000000" w:themeColor="text1"/>
        </w:rPr>
      </w:pPr>
    </w:p>
    <w:p w14:paraId="19446FD3" w14:textId="77777777" w:rsidR="00F50972" w:rsidRPr="00600AB9" w:rsidRDefault="00F50972" w:rsidP="00600AB9">
      <w:pPr>
        <w:pStyle w:val="ListParagraph"/>
        <w:numPr>
          <w:ilvl w:val="0"/>
          <w:numId w:val="12"/>
        </w:numPr>
        <w:rPr>
          <w:rFonts w:ascii="Arial" w:hAnsi="Arial" w:cs="Arial"/>
          <w:b/>
          <w:bCs/>
          <w:iCs/>
          <w:color w:val="000000" w:themeColor="text1"/>
        </w:rPr>
      </w:pPr>
      <w:r w:rsidRPr="00600AB9">
        <w:rPr>
          <w:rFonts w:ascii="Arial" w:hAnsi="Arial" w:cs="Arial"/>
          <w:b/>
          <w:bCs/>
          <w:iCs/>
          <w:color w:val="000000" w:themeColor="text1"/>
        </w:rPr>
        <w:t>Annual Review of Salary Bands</w:t>
      </w:r>
    </w:p>
    <w:p w14:paraId="7182B2B0" w14:textId="77777777" w:rsidR="00F50972" w:rsidRPr="00F50972" w:rsidRDefault="00F50972" w:rsidP="00F50972">
      <w:pPr>
        <w:rPr>
          <w:rFonts w:ascii="Arial" w:hAnsi="Arial" w:cs="Arial"/>
          <w:bCs/>
          <w:iCs/>
          <w:color w:val="000000" w:themeColor="text1"/>
        </w:rPr>
      </w:pPr>
    </w:p>
    <w:p w14:paraId="3E0DFD41" w14:textId="04E45A05"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The salary scale will be reviewed annually. The University will also review the grade bands in line with market pay data within the Higher Education sector and externally. These will be monitored by </w:t>
      </w:r>
      <w:r w:rsidR="00ED31B0">
        <w:rPr>
          <w:rFonts w:ascii="Arial" w:hAnsi="Arial" w:cs="Arial"/>
          <w:bCs/>
          <w:iCs/>
          <w:color w:val="000000" w:themeColor="text1"/>
        </w:rPr>
        <w:t>HR</w:t>
      </w:r>
      <w:r w:rsidR="007A22B7">
        <w:rPr>
          <w:rFonts w:ascii="Arial" w:hAnsi="Arial" w:cs="Arial"/>
          <w:bCs/>
          <w:iCs/>
          <w:color w:val="000000" w:themeColor="text1"/>
        </w:rPr>
        <w:t>&amp;D</w:t>
      </w:r>
      <w:r w:rsidRPr="00F50972">
        <w:rPr>
          <w:rFonts w:ascii="Arial" w:hAnsi="Arial" w:cs="Arial"/>
          <w:bCs/>
          <w:iCs/>
          <w:color w:val="000000" w:themeColor="text1"/>
        </w:rPr>
        <w:t>.</w:t>
      </w:r>
    </w:p>
    <w:p w14:paraId="48FE6CFD" w14:textId="6CAFD456" w:rsidR="00F50972" w:rsidRPr="00F50972" w:rsidRDefault="00F50972" w:rsidP="00F50972">
      <w:pPr>
        <w:rPr>
          <w:rFonts w:ascii="Arial" w:hAnsi="Arial" w:cs="Arial"/>
          <w:bCs/>
          <w:iCs/>
          <w:color w:val="000000" w:themeColor="text1"/>
        </w:rPr>
      </w:pPr>
    </w:p>
    <w:p w14:paraId="63A80E82" w14:textId="77777777" w:rsidR="00F50972" w:rsidRPr="00600AB9" w:rsidRDefault="00F50972" w:rsidP="00600AB9">
      <w:pPr>
        <w:pStyle w:val="ListParagraph"/>
        <w:numPr>
          <w:ilvl w:val="0"/>
          <w:numId w:val="12"/>
        </w:numPr>
        <w:rPr>
          <w:rFonts w:ascii="Arial" w:hAnsi="Arial" w:cs="Arial"/>
          <w:b/>
          <w:bCs/>
          <w:iCs/>
          <w:color w:val="000000" w:themeColor="text1"/>
        </w:rPr>
      </w:pPr>
      <w:r w:rsidRPr="00600AB9">
        <w:rPr>
          <w:rFonts w:ascii="Arial" w:hAnsi="Arial" w:cs="Arial"/>
          <w:b/>
          <w:bCs/>
          <w:iCs/>
          <w:color w:val="000000" w:themeColor="text1"/>
        </w:rPr>
        <w:t>Monitoring</w:t>
      </w:r>
    </w:p>
    <w:p w14:paraId="414180F2" w14:textId="77777777" w:rsidR="00F50972" w:rsidRPr="00F50972" w:rsidRDefault="00F50972" w:rsidP="00F50972">
      <w:pPr>
        <w:rPr>
          <w:rFonts w:ascii="Arial" w:hAnsi="Arial" w:cs="Arial"/>
          <w:bCs/>
          <w:iCs/>
          <w:color w:val="000000" w:themeColor="text1"/>
        </w:rPr>
      </w:pPr>
    </w:p>
    <w:p w14:paraId="08FC9717" w14:textId="77777777"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An audit of starting salaries of new employees will be covered in the University’s Equal Pay Audits.</w:t>
      </w:r>
    </w:p>
    <w:p w14:paraId="5D3CF24B" w14:textId="77777777" w:rsidR="000144BD" w:rsidRDefault="000144BD" w:rsidP="000144BD">
      <w:pPr>
        <w:rPr>
          <w:rFonts w:ascii="Arial" w:hAnsi="Arial" w:cs="Arial"/>
        </w:rPr>
      </w:pPr>
    </w:p>
    <w:p w14:paraId="4AE63653" w14:textId="77777777" w:rsidR="000144BD" w:rsidRPr="00600AB9" w:rsidRDefault="000144BD" w:rsidP="00600AB9">
      <w:pPr>
        <w:pStyle w:val="ListParagraph"/>
        <w:numPr>
          <w:ilvl w:val="0"/>
          <w:numId w:val="12"/>
        </w:numPr>
        <w:rPr>
          <w:rFonts w:ascii="Arial" w:eastAsia="Calibri" w:hAnsi="Arial" w:cs="Arial"/>
          <w:b/>
          <w:lang w:eastAsia="en-US"/>
        </w:rPr>
      </w:pPr>
      <w:r w:rsidRPr="00600AB9">
        <w:rPr>
          <w:rFonts w:ascii="Arial" w:eastAsia="Calibri" w:hAnsi="Arial" w:cs="Arial"/>
          <w:b/>
          <w:lang w:eastAsia="en-US"/>
        </w:rPr>
        <w:t>Questions</w:t>
      </w:r>
    </w:p>
    <w:p w14:paraId="7CBEE06C" w14:textId="77777777" w:rsidR="000144BD" w:rsidRPr="00BA163F" w:rsidRDefault="000144BD" w:rsidP="000144BD">
      <w:pPr>
        <w:rPr>
          <w:rFonts w:ascii="Arial" w:eastAsia="Calibri" w:hAnsi="Arial" w:cs="Arial"/>
          <w:lang w:eastAsia="en-US"/>
        </w:rPr>
      </w:pPr>
    </w:p>
    <w:p w14:paraId="41B47A02" w14:textId="77777777" w:rsidR="000144BD" w:rsidRDefault="000144BD" w:rsidP="000144BD">
      <w:pPr>
        <w:rPr>
          <w:rFonts w:ascii="Arial" w:eastAsia="Calibri" w:hAnsi="Arial" w:cs="Arial"/>
          <w:lang w:eastAsia="en-US"/>
        </w:rPr>
      </w:pPr>
      <w:r w:rsidRPr="00BA163F">
        <w:rPr>
          <w:rFonts w:ascii="Arial" w:eastAsia="Calibri" w:hAnsi="Arial" w:cs="Arial"/>
          <w:lang w:eastAsia="en-US"/>
        </w:rPr>
        <w:t xml:space="preserve">If </w:t>
      </w:r>
      <w:r w:rsidR="00BA163F">
        <w:rPr>
          <w:rFonts w:ascii="Arial" w:eastAsia="Calibri" w:hAnsi="Arial" w:cs="Arial"/>
          <w:lang w:eastAsia="en-US"/>
        </w:rPr>
        <w:t xml:space="preserve">a staff member </w:t>
      </w:r>
      <w:r w:rsidRPr="00BA163F">
        <w:rPr>
          <w:rFonts w:ascii="Arial" w:eastAsia="Calibri" w:hAnsi="Arial" w:cs="Arial"/>
          <w:lang w:eastAsia="en-US"/>
        </w:rPr>
        <w:t xml:space="preserve">is unsure about any matter covered by this policy, </w:t>
      </w:r>
      <w:r w:rsidR="00BA163F">
        <w:rPr>
          <w:rFonts w:ascii="Arial" w:eastAsia="Calibri" w:hAnsi="Arial" w:cs="Arial"/>
          <w:lang w:eastAsia="en-US"/>
        </w:rPr>
        <w:t>please contact HR&amp;D</w:t>
      </w:r>
      <w:r w:rsidRPr="00BA163F">
        <w:rPr>
          <w:rFonts w:ascii="Arial" w:eastAsia="Calibri" w:hAnsi="Arial" w:cs="Arial"/>
          <w:lang w:eastAsia="en-US"/>
        </w:rPr>
        <w:t>.</w:t>
      </w:r>
    </w:p>
    <w:p w14:paraId="43B9726C" w14:textId="77777777" w:rsidR="00AD1AC5" w:rsidRDefault="00AD1AC5" w:rsidP="000144BD">
      <w:pPr>
        <w:rPr>
          <w:rFonts w:ascii="Arial" w:eastAsia="Calibri" w:hAnsi="Arial" w:cs="Arial"/>
          <w:lang w:eastAsia="en-US"/>
        </w:rPr>
      </w:pPr>
    </w:p>
    <w:p w14:paraId="3C676EF4" w14:textId="77777777" w:rsidR="00AD1AC5" w:rsidRDefault="00AD1AC5" w:rsidP="00600AB9">
      <w:pPr>
        <w:pStyle w:val="ListParagraph"/>
        <w:numPr>
          <w:ilvl w:val="0"/>
          <w:numId w:val="12"/>
        </w:numPr>
        <w:rPr>
          <w:rFonts w:ascii="Arial" w:eastAsia="Calibri" w:hAnsi="Arial" w:cs="Arial"/>
          <w:b/>
          <w:lang w:eastAsia="en-US"/>
        </w:rPr>
      </w:pPr>
      <w:r w:rsidRPr="00600AB9">
        <w:rPr>
          <w:rFonts w:ascii="Arial" w:eastAsia="Calibri" w:hAnsi="Arial" w:cs="Arial"/>
          <w:b/>
          <w:lang w:eastAsia="en-US"/>
        </w:rPr>
        <w:t xml:space="preserve">Applicable legislation </w:t>
      </w:r>
    </w:p>
    <w:p w14:paraId="671858AF" w14:textId="77777777" w:rsidR="00600AB9" w:rsidRPr="00600AB9" w:rsidRDefault="00600AB9" w:rsidP="00600AB9">
      <w:pPr>
        <w:pStyle w:val="ListParagraph"/>
        <w:rPr>
          <w:rFonts w:ascii="Arial" w:eastAsia="Calibri" w:hAnsi="Arial" w:cs="Arial"/>
          <w:b/>
          <w:lang w:eastAsia="en-US"/>
        </w:rPr>
      </w:pPr>
    </w:p>
    <w:p w14:paraId="2C0F2DCF" w14:textId="77777777" w:rsidR="00AD1AC5" w:rsidRDefault="00F50972" w:rsidP="00AD1AC5">
      <w:pPr>
        <w:pStyle w:val="ListParagraph"/>
        <w:numPr>
          <w:ilvl w:val="0"/>
          <w:numId w:val="1"/>
        </w:numPr>
        <w:rPr>
          <w:rFonts w:ascii="Arial" w:eastAsia="Calibri" w:hAnsi="Arial" w:cs="Arial"/>
          <w:lang w:eastAsia="en-US"/>
        </w:rPr>
      </w:pPr>
      <w:r>
        <w:rPr>
          <w:rFonts w:ascii="Arial" w:eastAsia="Calibri" w:hAnsi="Arial" w:cs="Arial"/>
          <w:lang w:eastAsia="en-US"/>
        </w:rPr>
        <w:t>Equality Act 2010</w:t>
      </w:r>
    </w:p>
    <w:p w14:paraId="5D5D17D1" w14:textId="77777777" w:rsidR="00E20799" w:rsidRPr="00AD1AC5" w:rsidRDefault="00E20799" w:rsidP="00AD1AC5">
      <w:pPr>
        <w:pStyle w:val="ListParagraph"/>
        <w:numPr>
          <w:ilvl w:val="0"/>
          <w:numId w:val="1"/>
        </w:numPr>
        <w:rPr>
          <w:rFonts w:ascii="Arial" w:eastAsia="Calibri" w:hAnsi="Arial" w:cs="Arial"/>
          <w:lang w:eastAsia="en-US"/>
        </w:rPr>
      </w:pPr>
      <w:r>
        <w:rPr>
          <w:rFonts w:ascii="Arial" w:eastAsia="Calibri" w:hAnsi="Arial" w:cs="Arial"/>
          <w:lang w:eastAsia="en-US"/>
        </w:rPr>
        <w:t xml:space="preserve">Equality Pay Act 1970 </w:t>
      </w:r>
    </w:p>
    <w:p w14:paraId="5767A0EA" w14:textId="77777777" w:rsidR="00AD1AC5" w:rsidRPr="00BA163F" w:rsidRDefault="00AD1AC5" w:rsidP="000144BD">
      <w:pPr>
        <w:rPr>
          <w:rFonts w:ascii="Arial" w:eastAsia="Calibri" w:hAnsi="Arial" w:cs="Arial"/>
          <w:lang w:eastAsia="en-US"/>
        </w:rPr>
      </w:pPr>
    </w:p>
    <w:p w14:paraId="3D9511BE" w14:textId="77777777" w:rsidR="000144BD" w:rsidRPr="00BA163F" w:rsidRDefault="000144BD" w:rsidP="000144BD">
      <w:pPr>
        <w:rPr>
          <w:rFonts w:ascii="Arial" w:eastAsia="Calibri" w:hAnsi="Arial" w:cs="Arial"/>
          <w:lang w:eastAsia="en-US"/>
        </w:rPr>
      </w:pPr>
    </w:p>
    <w:p w14:paraId="1AD66C9C" w14:textId="1807067A" w:rsidR="000144BD" w:rsidRDefault="00E20799" w:rsidP="000144BD">
      <w:pPr>
        <w:pStyle w:val="Heading2"/>
        <w:spacing w:before="0"/>
        <w:rPr>
          <w:rFonts w:ascii="Arial" w:hAnsi="Arial" w:cs="Arial"/>
          <w:b/>
          <w:color w:val="000000" w:themeColor="text1"/>
          <w:sz w:val="24"/>
          <w:szCs w:val="24"/>
        </w:rPr>
      </w:pPr>
      <w:r>
        <w:rPr>
          <w:rFonts w:ascii="Arial" w:hAnsi="Arial" w:cs="Arial"/>
          <w:b/>
          <w:color w:val="000000" w:themeColor="text1"/>
          <w:sz w:val="24"/>
          <w:szCs w:val="24"/>
        </w:rPr>
        <w:t>P</w:t>
      </w:r>
      <w:r w:rsidR="00806CB1">
        <w:rPr>
          <w:rFonts w:ascii="Arial" w:hAnsi="Arial" w:cs="Arial"/>
          <w:b/>
          <w:color w:val="000000" w:themeColor="text1"/>
          <w:sz w:val="24"/>
          <w:szCs w:val="24"/>
        </w:rPr>
        <w:t>olicy Version and Revision I</w:t>
      </w:r>
      <w:r w:rsidR="000144BD" w:rsidRPr="00BA163F">
        <w:rPr>
          <w:rFonts w:ascii="Arial" w:hAnsi="Arial" w:cs="Arial"/>
          <w:b/>
          <w:color w:val="000000" w:themeColor="text1"/>
          <w:sz w:val="24"/>
          <w:szCs w:val="24"/>
        </w:rPr>
        <w:t>nformation</w:t>
      </w:r>
    </w:p>
    <w:p w14:paraId="2F115432" w14:textId="77777777" w:rsidR="00600AB9" w:rsidRPr="00600AB9" w:rsidRDefault="00600AB9" w:rsidP="00600AB9"/>
    <w:tbl>
      <w:tblPr>
        <w:tblW w:w="9085" w:type="dxa"/>
        <w:tblInd w:w="-23" w:type="dxa"/>
        <w:tblCellMar>
          <w:left w:w="0" w:type="dxa"/>
          <w:right w:w="0" w:type="dxa"/>
        </w:tblCellMar>
        <w:tblLook w:val="04A0" w:firstRow="1" w:lastRow="0" w:firstColumn="1" w:lastColumn="0" w:noHBand="0" w:noVBand="1"/>
      </w:tblPr>
      <w:tblGrid>
        <w:gridCol w:w="2281"/>
        <w:gridCol w:w="6804"/>
      </w:tblGrid>
      <w:tr w:rsidR="00BA163F" w:rsidRPr="00BA163F" w14:paraId="5FCCDECE" w14:textId="77777777" w:rsidTr="00D85AB5">
        <w:trPr>
          <w:trHeight w:val="352"/>
        </w:trPr>
        <w:tc>
          <w:tcPr>
            <w:tcW w:w="908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46D7CC7E" w14:textId="77777777" w:rsidR="00BA163F" w:rsidRPr="00D85AB5" w:rsidRDefault="00BA163F">
            <w:pPr>
              <w:rPr>
                <w:rFonts w:ascii="Arial" w:hAnsi="Arial" w:cs="Arial"/>
                <w:bCs/>
                <w:color w:val="000000"/>
              </w:rPr>
            </w:pPr>
            <w:r w:rsidRPr="00D85AB5">
              <w:rPr>
                <w:rFonts w:ascii="Arial" w:hAnsi="Arial" w:cs="Arial"/>
                <w:bCs/>
                <w:color w:val="000000"/>
              </w:rPr>
              <w:t>Document Control Information</w:t>
            </w:r>
          </w:p>
        </w:tc>
      </w:tr>
      <w:tr w:rsidR="00BA163F" w:rsidRPr="00BA163F" w14:paraId="0CA52D23"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8C674A" w14:textId="77777777" w:rsidR="00BA163F" w:rsidRPr="00BA163F" w:rsidRDefault="00BA163F">
            <w:pPr>
              <w:rPr>
                <w:rFonts w:ascii="Arial" w:hAnsi="Arial" w:cs="Arial"/>
                <w:color w:val="000000"/>
              </w:rPr>
            </w:pPr>
            <w:r w:rsidRPr="00BA163F">
              <w:rPr>
                <w:rFonts w:ascii="Arial" w:hAnsi="Arial" w:cs="Arial"/>
                <w:color w:val="000000"/>
              </w:rPr>
              <w:t>Title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6375A6" w14:textId="14BD68E7" w:rsidR="00BA163F" w:rsidRPr="00BA163F" w:rsidRDefault="00BA163F">
            <w:pPr>
              <w:rPr>
                <w:rFonts w:ascii="Arial" w:hAnsi="Arial" w:cs="Arial"/>
                <w:color w:val="000000"/>
              </w:rPr>
            </w:pPr>
            <w:r w:rsidRPr="00BA163F">
              <w:rPr>
                <w:rFonts w:ascii="Arial" w:hAnsi="Arial" w:cs="Arial"/>
                <w:color w:val="000000"/>
              </w:rPr>
              <w:t> </w:t>
            </w:r>
            <w:r w:rsidR="00E20799">
              <w:rPr>
                <w:rFonts w:ascii="Arial" w:hAnsi="Arial" w:cs="Arial"/>
                <w:color w:val="000000"/>
              </w:rPr>
              <w:t xml:space="preserve">Salary </w:t>
            </w:r>
            <w:r w:rsidR="00482E3A">
              <w:rPr>
                <w:rFonts w:ascii="Arial" w:hAnsi="Arial" w:cs="Arial"/>
                <w:color w:val="000000"/>
              </w:rPr>
              <w:t xml:space="preserve">Placement </w:t>
            </w:r>
            <w:r w:rsidR="004221B0">
              <w:rPr>
                <w:rFonts w:ascii="Arial" w:hAnsi="Arial" w:cs="Arial"/>
                <w:color w:val="000000"/>
              </w:rPr>
              <w:t>Policy</w:t>
            </w:r>
          </w:p>
        </w:tc>
      </w:tr>
      <w:tr w:rsidR="00BA163F" w:rsidRPr="00BA163F" w14:paraId="3E5CB568"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C1444C" w14:textId="77777777" w:rsidR="00BA163F" w:rsidRPr="00BA163F" w:rsidRDefault="00BA163F">
            <w:pPr>
              <w:rPr>
                <w:rFonts w:ascii="Arial" w:hAnsi="Arial" w:cs="Arial"/>
                <w:color w:val="000000"/>
              </w:rPr>
            </w:pPr>
            <w:r w:rsidRPr="00BA163F">
              <w:rPr>
                <w:rFonts w:ascii="Arial" w:hAnsi="Arial" w:cs="Arial"/>
                <w:color w:val="000000"/>
              </w:rPr>
              <w:t>Version</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65F460" w14:textId="77777777" w:rsidR="00BA163F" w:rsidRPr="00BA163F" w:rsidRDefault="00BA163F">
            <w:pPr>
              <w:rPr>
                <w:rFonts w:ascii="Arial" w:hAnsi="Arial" w:cs="Arial"/>
                <w:color w:val="000000"/>
              </w:rPr>
            </w:pPr>
            <w:r w:rsidRPr="00BA163F">
              <w:rPr>
                <w:rFonts w:ascii="Arial" w:hAnsi="Arial" w:cs="Arial"/>
                <w:color w:val="000000"/>
              </w:rPr>
              <w:t>V1.0</w:t>
            </w:r>
          </w:p>
        </w:tc>
      </w:tr>
      <w:tr w:rsidR="00BA163F" w:rsidRPr="00BA163F" w14:paraId="761481F9"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A828E8" w14:textId="77777777" w:rsidR="00BA163F" w:rsidRPr="00BA163F" w:rsidRDefault="00BA163F">
            <w:pPr>
              <w:rPr>
                <w:rFonts w:ascii="Arial" w:hAnsi="Arial" w:cs="Arial"/>
                <w:color w:val="000000"/>
              </w:rPr>
            </w:pPr>
            <w:r w:rsidRPr="00BA163F">
              <w:rPr>
                <w:rFonts w:ascii="Arial" w:hAnsi="Arial" w:cs="Arial"/>
                <w:color w:val="000000"/>
              </w:rPr>
              <w:t>Author</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3602C2" w14:textId="77777777" w:rsidR="00BA163F" w:rsidRPr="00BA163F" w:rsidRDefault="005F02FA">
            <w:pPr>
              <w:rPr>
                <w:rFonts w:ascii="Arial" w:hAnsi="Arial" w:cs="Arial"/>
                <w:color w:val="000000"/>
              </w:rPr>
            </w:pPr>
            <w:r>
              <w:rPr>
                <w:rFonts w:ascii="Arial" w:hAnsi="Arial" w:cs="Arial"/>
                <w:color w:val="000000"/>
              </w:rPr>
              <w:t>Human Resources and Development</w:t>
            </w:r>
          </w:p>
        </w:tc>
      </w:tr>
      <w:tr w:rsidR="00BA163F" w:rsidRPr="00BA163F" w14:paraId="67B5B0B6"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CB21D3" w14:textId="77777777" w:rsidR="00BA163F" w:rsidRPr="00BA163F" w:rsidRDefault="00BA163F">
            <w:pPr>
              <w:rPr>
                <w:rFonts w:ascii="Arial" w:hAnsi="Arial" w:cs="Arial"/>
                <w:color w:val="000000"/>
              </w:rPr>
            </w:pPr>
            <w:r w:rsidRPr="00BA163F">
              <w:rPr>
                <w:rFonts w:ascii="Arial" w:hAnsi="Arial" w:cs="Arial"/>
                <w:color w:val="000000"/>
              </w:rPr>
              <w:t>Date First Approved</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DD5294" w14:textId="77777777" w:rsidR="00BA163F" w:rsidRPr="00BA163F" w:rsidRDefault="00BA163F">
            <w:pPr>
              <w:rPr>
                <w:rFonts w:ascii="Arial" w:hAnsi="Arial" w:cs="Arial"/>
                <w:color w:val="000000"/>
              </w:rPr>
            </w:pPr>
            <w:r w:rsidRPr="00BA163F">
              <w:rPr>
                <w:rFonts w:ascii="Arial" w:hAnsi="Arial" w:cs="Arial"/>
                <w:color w:val="000000"/>
              </w:rPr>
              <w:t> </w:t>
            </w:r>
          </w:p>
        </w:tc>
      </w:tr>
      <w:tr w:rsidR="00BA163F" w:rsidRPr="00BA163F" w14:paraId="475EE29D"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4911C1" w14:textId="77777777" w:rsidR="00BA163F" w:rsidRPr="00BA163F" w:rsidRDefault="00BA163F">
            <w:pPr>
              <w:rPr>
                <w:rFonts w:ascii="Arial" w:hAnsi="Arial" w:cs="Arial"/>
                <w:color w:val="000000"/>
              </w:rPr>
            </w:pPr>
            <w:r w:rsidRPr="00BA163F">
              <w:rPr>
                <w:rFonts w:ascii="Arial" w:hAnsi="Arial" w:cs="Arial"/>
                <w:color w:val="000000"/>
              </w:rPr>
              <w:t xml:space="preserve">Last Review Date </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3AF892" w14:textId="77777777" w:rsidR="00BA163F" w:rsidRPr="00BA163F" w:rsidRDefault="00BA163F">
            <w:pPr>
              <w:rPr>
                <w:rFonts w:ascii="Arial" w:hAnsi="Arial" w:cs="Arial"/>
                <w:color w:val="000000"/>
              </w:rPr>
            </w:pPr>
            <w:r w:rsidRPr="00BA163F">
              <w:rPr>
                <w:rFonts w:ascii="Arial" w:hAnsi="Arial" w:cs="Arial"/>
                <w:color w:val="000000"/>
              </w:rPr>
              <w:t> </w:t>
            </w:r>
          </w:p>
        </w:tc>
      </w:tr>
      <w:tr w:rsidR="00BA163F" w:rsidRPr="00BA163F" w14:paraId="5FD3EC93"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287841" w14:textId="77777777" w:rsidR="00BA163F" w:rsidRPr="00BA163F" w:rsidRDefault="00BA163F">
            <w:pPr>
              <w:rPr>
                <w:rFonts w:ascii="Arial" w:hAnsi="Arial" w:cs="Arial"/>
                <w:color w:val="000000"/>
              </w:rPr>
            </w:pPr>
            <w:r w:rsidRPr="00BA163F">
              <w:rPr>
                <w:rFonts w:ascii="Arial" w:hAnsi="Arial" w:cs="Arial"/>
                <w:color w:val="000000"/>
              </w:rPr>
              <w:t>Review Frequency</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9A1994" w14:textId="77777777" w:rsidR="00BA163F" w:rsidRPr="00BA163F" w:rsidRDefault="00247E56" w:rsidP="00247E56">
            <w:pPr>
              <w:rPr>
                <w:rFonts w:ascii="Arial" w:hAnsi="Arial" w:cs="Arial"/>
                <w:color w:val="000000"/>
              </w:rPr>
            </w:pPr>
            <w:r>
              <w:rPr>
                <w:rFonts w:ascii="Arial" w:hAnsi="Arial" w:cs="Arial"/>
                <w:color w:val="000000"/>
              </w:rPr>
              <w:t>Two years</w:t>
            </w:r>
          </w:p>
        </w:tc>
      </w:tr>
      <w:tr w:rsidR="00BA163F" w:rsidRPr="00BA163F" w14:paraId="015710A9"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27AAE0" w14:textId="77777777" w:rsidR="00BA163F" w:rsidRPr="00BA163F" w:rsidRDefault="00BA163F">
            <w:pPr>
              <w:rPr>
                <w:rFonts w:ascii="Arial" w:hAnsi="Arial" w:cs="Arial"/>
                <w:color w:val="000000"/>
              </w:rPr>
            </w:pPr>
            <w:r w:rsidRPr="00BA163F">
              <w:rPr>
                <w:rFonts w:ascii="Arial" w:hAnsi="Arial" w:cs="Arial"/>
                <w:color w:val="000000"/>
              </w:rPr>
              <w:t>Scope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D34DA8" w14:textId="77777777" w:rsidR="00BA163F" w:rsidRPr="00BA163F" w:rsidRDefault="00BA163F">
            <w:pPr>
              <w:rPr>
                <w:rFonts w:ascii="Arial" w:hAnsi="Arial" w:cs="Arial"/>
                <w:color w:val="000000"/>
              </w:rPr>
            </w:pPr>
            <w:r w:rsidRPr="00BA163F">
              <w:rPr>
                <w:rFonts w:ascii="Arial" w:hAnsi="Arial" w:cs="Arial"/>
                <w:color w:val="000000"/>
              </w:rPr>
              <w:t>All University employees</w:t>
            </w:r>
          </w:p>
        </w:tc>
      </w:tr>
    </w:tbl>
    <w:p w14:paraId="0426C2CB" w14:textId="77777777" w:rsidR="000144BD" w:rsidRPr="00BA163F" w:rsidRDefault="000144BD" w:rsidP="000144BD">
      <w:pPr>
        <w:rPr>
          <w:rFonts w:ascii="Arial" w:hAnsi="Arial" w:cs="Arial"/>
          <w:b/>
        </w:rPr>
      </w:pPr>
    </w:p>
    <w:p w14:paraId="5E0B9D58" w14:textId="77777777" w:rsidR="000144BD" w:rsidRPr="00BA163F" w:rsidRDefault="000144BD" w:rsidP="000144BD">
      <w:pPr>
        <w:pStyle w:val="Heading2"/>
        <w:spacing w:before="0"/>
        <w:rPr>
          <w:rFonts w:ascii="Arial" w:hAnsi="Arial" w:cs="Arial"/>
          <w:sz w:val="24"/>
          <w:szCs w:val="24"/>
        </w:rPr>
      </w:pPr>
    </w:p>
    <w:p w14:paraId="7EA015C2" w14:textId="77777777" w:rsidR="000144BD" w:rsidRPr="00D85AB5" w:rsidRDefault="00D85AB5" w:rsidP="00D85AB5">
      <w:pPr>
        <w:pStyle w:val="Heading2"/>
        <w:spacing w:before="0"/>
        <w:rPr>
          <w:rFonts w:ascii="Arial" w:hAnsi="Arial" w:cs="Arial"/>
          <w:b/>
          <w:color w:val="000000" w:themeColor="text1"/>
          <w:sz w:val="24"/>
          <w:szCs w:val="24"/>
        </w:rPr>
      </w:pPr>
      <w:r w:rsidRPr="00D85AB5">
        <w:rPr>
          <w:rFonts w:ascii="Arial" w:hAnsi="Arial" w:cs="Arial"/>
          <w:b/>
          <w:color w:val="000000" w:themeColor="text1"/>
          <w:sz w:val="24"/>
          <w:szCs w:val="24"/>
        </w:rPr>
        <w:t>Change Record</w:t>
      </w:r>
    </w:p>
    <w:tbl>
      <w:tblPr>
        <w:tblW w:w="9067" w:type="dxa"/>
        <w:tblCellMar>
          <w:left w:w="0" w:type="dxa"/>
          <w:right w:w="0" w:type="dxa"/>
        </w:tblCellMar>
        <w:tblLook w:val="04A0" w:firstRow="1" w:lastRow="0" w:firstColumn="1" w:lastColumn="0" w:noHBand="0" w:noVBand="1"/>
      </w:tblPr>
      <w:tblGrid>
        <w:gridCol w:w="1316"/>
        <w:gridCol w:w="1432"/>
        <w:gridCol w:w="1316"/>
        <w:gridCol w:w="5003"/>
      </w:tblGrid>
      <w:tr w:rsidR="00D85AB5" w:rsidRPr="00D85AB5" w14:paraId="4D00F4B7" w14:textId="77777777" w:rsidTr="00D85AB5">
        <w:trPr>
          <w:trHeight w:val="384"/>
        </w:trPr>
        <w:tc>
          <w:tcPr>
            <w:tcW w:w="1148" w:type="dxa"/>
            <w:tcBorders>
              <w:top w:val="single" w:sz="4" w:space="0" w:color="auto"/>
              <w:left w:val="single" w:sz="4" w:space="0" w:color="auto"/>
              <w:bottom w:val="single" w:sz="4" w:space="0" w:color="auto"/>
              <w:right w:val="nil"/>
            </w:tcBorders>
            <w:shd w:val="clear" w:color="auto" w:fill="E6E6E6"/>
            <w:tcMar>
              <w:top w:w="0" w:type="dxa"/>
              <w:left w:w="57" w:type="dxa"/>
              <w:bottom w:w="0" w:type="dxa"/>
              <w:right w:w="57" w:type="dxa"/>
            </w:tcMar>
            <w:hideMark/>
          </w:tcPr>
          <w:p w14:paraId="5E6FBDCB"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Date</w:t>
            </w:r>
          </w:p>
        </w:tc>
        <w:tc>
          <w:tcPr>
            <w:tcW w:w="1453"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14:paraId="7FD0FA92"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Author</w:t>
            </w:r>
          </w:p>
        </w:tc>
        <w:tc>
          <w:tcPr>
            <w:tcW w:w="1329"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14:paraId="0F29AD7A"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Version</w:t>
            </w:r>
          </w:p>
        </w:tc>
        <w:tc>
          <w:tcPr>
            <w:tcW w:w="5137" w:type="dxa"/>
            <w:tcBorders>
              <w:top w:val="single" w:sz="4" w:space="0" w:color="auto"/>
              <w:left w:val="nil"/>
              <w:bottom w:val="single" w:sz="4" w:space="0" w:color="auto"/>
              <w:right w:val="single" w:sz="4" w:space="0" w:color="auto"/>
            </w:tcBorders>
            <w:shd w:val="clear" w:color="auto" w:fill="E6E6E6"/>
            <w:tcMar>
              <w:top w:w="0" w:type="dxa"/>
              <w:left w:w="57" w:type="dxa"/>
              <w:bottom w:w="0" w:type="dxa"/>
              <w:right w:w="57" w:type="dxa"/>
            </w:tcMar>
            <w:hideMark/>
          </w:tcPr>
          <w:p w14:paraId="4CF0CD4E"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Change reference</w:t>
            </w:r>
          </w:p>
        </w:tc>
      </w:tr>
      <w:tr w:rsidR="00D85AB5" w:rsidRPr="00D85AB5" w14:paraId="661E80B8" w14:textId="77777777" w:rsidTr="00D85AB5">
        <w:trPr>
          <w:trHeight w:val="384"/>
        </w:trPr>
        <w:tc>
          <w:tcPr>
            <w:tcW w:w="1148" w:type="dxa"/>
            <w:tcBorders>
              <w:top w:val="single" w:sz="4" w:space="0" w:color="auto"/>
              <w:left w:val="single" w:sz="4" w:space="0" w:color="auto"/>
              <w:bottom w:val="single" w:sz="8" w:space="0" w:color="999999"/>
              <w:right w:val="nil"/>
            </w:tcBorders>
            <w:tcMar>
              <w:top w:w="0" w:type="dxa"/>
              <w:left w:w="57" w:type="dxa"/>
              <w:bottom w:w="0" w:type="dxa"/>
              <w:right w:w="57" w:type="dxa"/>
            </w:tcMar>
          </w:tcPr>
          <w:p w14:paraId="38B8DFFB" w14:textId="77777777" w:rsidR="00D85AB5" w:rsidRPr="00D85AB5" w:rsidRDefault="00E20799">
            <w:pPr>
              <w:pStyle w:val="TableNormal1"/>
              <w:rPr>
                <w:rFonts w:ascii="Arial" w:hAnsi="Arial" w:cs="Arial"/>
                <w:sz w:val="24"/>
                <w:szCs w:val="24"/>
              </w:rPr>
            </w:pPr>
            <w:r>
              <w:rPr>
                <w:rFonts w:ascii="Arial" w:hAnsi="Arial" w:cs="Arial"/>
                <w:sz w:val="24"/>
                <w:szCs w:val="24"/>
              </w:rPr>
              <w:t>28/08/15</w:t>
            </w:r>
          </w:p>
        </w:tc>
        <w:tc>
          <w:tcPr>
            <w:tcW w:w="1453" w:type="dxa"/>
            <w:tcBorders>
              <w:top w:val="single" w:sz="4" w:space="0" w:color="auto"/>
              <w:left w:val="nil"/>
              <w:bottom w:val="single" w:sz="8" w:space="0" w:color="999999"/>
              <w:right w:val="nil"/>
            </w:tcBorders>
            <w:tcMar>
              <w:top w:w="0" w:type="dxa"/>
              <w:left w:w="57" w:type="dxa"/>
              <w:bottom w:w="0" w:type="dxa"/>
              <w:right w:w="57" w:type="dxa"/>
            </w:tcMar>
          </w:tcPr>
          <w:p w14:paraId="27756F4F" w14:textId="77777777" w:rsidR="00D85AB5" w:rsidRPr="00D85AB5" w:rsidRDefault="00E20799">
            <w:pPr>
              <w:pStyle w:val="TableNormal1"/>
              <w:rPr>
                <w:rFonts w:ascii="Arial" w:hAnsi="Arial" w:cs="Arial"/>
                <w:sz w:val="24"/>
                <w:szCs w:val="24"/>
              </w:rPr>
            </w:pPr>
            <w:r>
              <w:rPr>
                <w:rFonts w:ascii="Arial" w:hAnsi="Arial" w:cs="Arial"/>
                <w:sz w:val="24"/>
                <w:szCs w:val="24"/>
              </w:rPr>
              <w:t>TG</w:t>
            </w:r>
          </w:p>
        </w:tc>
        <w:tc>
          <w:tcPr>
            <w:tcW w:w="1329" w:type="dxa"/>
            <w:tcBorders>
              <w:top w:val="single" w:sz="4" w:space="0" w:color="auto"/>
              <w:left w:val="nil"/>
              <w:bottom w:val="single" w:sz="8" w:space="0" w:color="999999"/>
              <w:right w:val="nil"/>
            </w:tcBorders>
            <w:tcMar>
              <w:top w:w="0" w:type="dxa"/>
              <w:left w:w="57" w:type="dxa"/>
              <w:bottom w:w="0" w:type="dxa"/>
              <w:right w:w="57" w:type="dxa"/>
            </w:tcMar>
            <w:hideMark/>
          </w:tcPr>
          <w:p w14:paraId="5F3BFC58"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1.0</w:t>
            </w:r>
          </w:p>
        </w:tc>
        <w:tc>
          <w:tcPr>
            <w:tcW w:w="5137" w:type="dxa"/>
            <w:tcBorders>
              <w:top w:val="single" w:sz="4" w:space="0" w:color="auto"/>
              <w:left w:val="nil"/>
              <w:bottom w:val="single" w:sz="8" w:space="0" w:color="999999"/>
              <w:right w:val="single" w:sz="4" w:space="0" w:color="auto"/>
            </w:tcBorders>
            <w:tcMar>
              <w:top w:w="0" w:type="dxa"/>
              <w:left w:w="57" w:type="dxa"/>
              <w:bottom w:w="0" w:type="dxa"/>
              <w:right w:w="57" w:type="dxa"/>
            </w:tcMar>
            <w:hideMark/>
          </w:tcPr>
          <w:p w14:paraId="1B4CA339" w14:textId="77777777" w:rsidR="00D85AB5" w:rsidRPr="00D85AB5" w:rsidRDefault="00E20799">
            <w:pPr>
              <w:pStyle w:val="TableNormal1"/>
              <w:rPr>
                <w:rFonts w:ascii="Arial" w:hAnsi="Arial" w:cs="Arial"/>
                <w:sz w:val="24"/>
                <w:szCs w:val="24"/>
              </w:rPr>
            </w:pPr>
            <w:r>
              <w:rPr>
                <w:rFonts w:ascii="Arial" w:hAnsi="Arial" w:cs="Arial"/>
                <w:sz w:val="24"/>
                <w:szCs w:val="24"/>
              </w:rPr>
              <w:t xml:space="preserve">Updated into new template </w:t>
            </w:r>
          </w:p>
        </w:tc>
      </w:tr>
      <w:tr w:rsidR="00D85AB5" w:rsidRPr="00D85AB5" w14:paraId="6813351B" w14:textId="77777777" w:rsidTr="00D85AB5">
        <w:trPr>
          <w:trHeight w:val="395"/>
        </w:trPr>
        <w:tc>
          <w:tcPr>
            <w:tcW w:w="1148" w:type="dxa"/>
            <w:tcBorders>
              <w:left w:val="single" w:sz="4" w:space="0" w:color="auto"/>
            </w:tcBorders>
            <w:tcMar>
              <w:top w:w="0" w:type="dxa"/>
              <w:left w:w="57" w:type="dxa"/>
              <w:bottom w:w="0" w:type="dxa"/>
              <w:right w:w="57" w:type="dxa"/>
            </w:tcMar>
          </w:tcPr>
          <w:p w14:paraId="3B3D09D5" w14:textId="28A7223A" w:rsidR="00D85AB5" w:rsidRPr="00D85AB5" w:rsidRDefault="004B0912">
            <w:pPr>
              <w:pStyle w:val="TableNormal1"/>
              <w:rPr>
                <w:rFonts w:ascii="Arial" w:hAnsi="Arial" w:cs="Arial"/>
                <w:sz w:val="24"/>
                <w:szCs w:val="24"/>
              </w:rPr>
            </w:pPr>
            <w:r>
              <w:rPr>
                <w:rFonts w:ascii="Arial" w:hAnsi="Arial" w:cs="Arial"/>
                <w:sz w:val="24"/>
                <w:szCs w:val="24"/>
              </w:rPr>
              <w:t>01/10/2015</w:t>
            </w:r>
          </w:p>
        </w:tc>
        <w:tc>
          <w:tcPr>
            <w:tcW w:w="1453" w:type="dxa"/>
            <w:tcMar>
              <w:top w:w="0" w:type="dxa"/>
              <w:left w:w="57" w:type="dxa"/>
              <w:bottom w:w="0" w:type="dxa"/>
              <w:right w:w="57" w:type="dxa"/>
            </w:tcMar>
          </w:tcPr>
          <w:p w14:paraId="2FAEF4F1" w14:textId="2ED8CF7B" w:rsidR="00D85AB5" w:rsidRPr="00D85AB5" w:rsidRDefault="004B0912">
            <w:pPr>
              <w:pStyle w:val="TableNormal1"/>
              <w:rPr>
                <w:rFonts w:ascii="Arial" w:hAnsi="Arial" w:cs="Arial"/>
                <w:sz w:val="24"/>
                <w:szCs w:val="24"/>
              </w:rPr>
            </w:pPr>
            <w:r>
              <w:rPr>
                <w:rFonts w:ascii="Arial" w:hAnsi="Arial" w:cs="Arial"/>
                <w:sz w:val="24"/>
                <w:szCs w:val="24"/>
              </w:rPr>
              <w:t>TG</w:t>
            </w:r>
          </w:p>
        </w:tc>
        <w:tc>
          <w:tcPr>
            <w:tcW w:w="1329" w:type="dxa"/>
            <w:tcMar>
              <w:top w:w="0" w:type="dxa"/>
              <w:left w:w="57" w:type="dxa"/>
              <w:bottom w:w="0" w:type="dxa"/>
              <w:right w:w="57" w:type="dxa"/>
            </w:tcMar>
          </w:tcPr>
          <w:p w14:paraId="65F77CBE" w14:textId="4E9C754E" w:rsidR="00D85AB5" w:rsidRPr="00D85AB5" w:rsidRDefault="004B0912">
            <w:pPr>
              <w:pStyle w:val="TableNormal1"/>
              <w:rPr>
                <w:rFonts w:ascii="Arial" w:hAnsi="Arial" w:cs="Arial"/>
                <w:sz w:val="24"/>
                <w:szCs w:val="24"/>
              </w:rPr>
            </w:pPr>
            <w:r>
              <w:rPr>
                <w:rFonts w:ascii="Arial" w:hAnsi="Arial" w:cs="Arial"/>
                <w:sz w:val="24"/>
                <w:szCs w:val="24"/>
              </w:rPr>
              <w:t>2.0</w:t>
            </w:r>
          </w:p>
        </w:tc>
        <w:tc>
          <w:tcPr>
            <w:tcW w:w="5137" w:type="dxa"/>
            <w:tcBorders>
              <w:right w:val="single" w:sz="4" w:space="0" w:color="auto"/>
            </w:tcBorders>
            <w:tcMar>
              <w:top w:w="0" w:type="dxa"/>
              <w:left w:w="57" w:type="dxa"/>
              <w:bottom w:w="0" w:type="dxa"/>
              <w:right w:w="57" w:type="dxa"/>
            </w:tcMar>
          </w:tcPr>
          <w:p w14:paraId="627971E4" w14:textId="634D0015" w:rsidR="00D85AB5" w:rsidRPr="00D85AB5" w:rsidRDefault="004B0912">
            <w:pPr>
              <w:pStyle w:val="TableNormal1"/>
              <w:rPr>
                <w:rFonts w:ascii="Arial" w:hAnsi="Arial" w:cs="Arial"/>
                <w:sz w:val="24"/>
                <w:szCs w:val="24"/>
              </w:rPr>
            </w:pPr>
            <w:r>
              <w:rPr>
                <w:rFonts w:ascii="Arial" w:hAnsi="Arial" w:cs="Arial"/>
                <w:sz w:val="24"/>
                <w:szCs w:val="24"/>
              </w:rPr>
              <w:t xml:space="preserve">Approved </w:t>
            </w:r>
          </w:p>
        </w:tc>
      </w:tr>
      <w:tr w:rsidR="00D85AB5" w:rsidRPr="00D85AB5" w14:paraId="6A28830F" w14:textId="77777777" w:rsidTr="00D85AB5">
        <w:trPr>
          <w:trHeight w:val="477"/>
        </w:trPr>
        <w:tc>
          <w:tcPr>
            <w:tcW w:w="1148" w:type="dxa"/>
            <w:tcBorders>
              <w:top w:val="single" w:sz="8" w:space="0" w:color="999999"/>
              <w:left w:val="single" w:sz="4" w:space="0" w:color="auto"/>
              <w:bottom w:val="single" w:sz="8" w:space="0" w:color="999999"/>
              <w:right w:val="nil"/>
            </w:tcBorders>
            <w:tcMar>
              <w:top w:w="0" w:type="dxa"/>
              <w:left w:w="57" w:type="dxa"/>
              <w:bottom w:w="0" w:type="dxa"/>
              <w:right w:w="57" w:type="dxa"/>
            </w:tcMar>
          </w:tcPr>
          <w:p w14:paraId="43E9419F" w14:textId="77777777" w:rsidR="00D85AB5" w:rsidRPr="00D85AB5" w:rsidRDefault="00D85AB5">
            <w:pPr>
              <w:pStyle w:val="TableNormal1"/>
              <w:rPr>
                <w:rFonts w:ascii="Arial" w:hAnsi="Arial" w:cs="Arial"/>
                <w:sz w:val="24"/>
                <w:szCs w:val="24"/>
              </w:rPr>
            </w:pPr>
          </w:p>
        </w:tc>
        <w:tc>
          <w:tcPr>
            <w:tcW w:w="1453" w:type="dxa"/>
            <w:tcBorders>
              <w:top w:val="single" w:sz="8" w:space="0" w:color="999999"/>
              <w:left w:val="nil"/>
              <w:bottom w:val="single" w:sz="8" w:space="0" w:color="999999"/>
              <w:right w:val="nil"/>
            </w:tcBorders>
            <w:tcMar>
              <w:top w:w="0" w:type="dxa"/>
              <w:left w:w="57" w:type="dxa"/>
              <w:bottom w:w="0" w:type="dxa"/>
              <w:right w:w="57" w:type="dxa"/>
            </w:tcMar>
          </w:tcPr>
          <w:p w14:paraId="6687516B" w14:textId="77777777" w:rsidR="00D85AB5" w:rsidRPr="00D85AB5" w:rsidRDefault="00D85AB5">
            <w:pPr>
              <w:pStyle w:val="TableNormal1"/>
              <w:rPr>
                <w:rFonts w:ascii="Arial" w:hAnsi="Arial" w:cs="Arial"/>
                <w:sz w:val="24"/>
                <w:szCs w:val="24"/>
              </w:rPr>
            </w:pPr>
          </w:p>
        </w:tc>
        <w:tc>
          <w:tcPr>
            <w:tcW w:w="1329" w:type="dxa"/>
            <w:tcBorders>
              <w:top w:val="single" w:sz="8" w:space="0" w:color="999999"/>
              <w:left w:val="nil"/>
              <w:bottom w:val="single" w:sz="8" w:space="0" w:color="999999"/>
              <w:right w:val="nil"/>
            </w:tcBorders>
            <w:tcMar>
              <w:top w:w="0" w:type="dxa"/>
              <w:left w:w="57" w:type="dxa"/>
              <w:bottom w:w="0" w:type="dxa"/>
              <w:right w:w="57" w:type="dxa"/>
            </w:tcMar>
          </w:tcPr>
          <w:p w14:paraId="704B5BD9" w14:textId="77777777" w:rsidR="00D85AB5" w:rsidRPr="00D85AB5" w:rsidRDefault="00D85AB5">
            <w:pPr>
              <w:pStyle w:val="TableNormal1"/>
              <w:rPr>
                <w:rFonts w:ascii="Arial" w:hAnsi="Arial" w:cs="Arial"/>
                <w:sz w:val="24"/>
                <w:szCs w:val="24"/>
              </w:rPr>
            </w:pPr>
          </w:p>
        </w:tc>
        <w:tc>
          <w:tcPr>
            <w:tcW w:w="5137" w:type="dxa"/>
            <w:tcBorders>
              <w:top w:val="single" w:sz="8" w:space="0" w:color="999999"/>
              <w:left w:val="nil"/>
              <w:bottom w:val="single" w:sz="8" w:space="0" w:color="999999"/>
              <w:right w:val="single" w:sz="4" w:space="0" w:color="auto"/>
            </w:tcBorders>
            <w:tcMar>
              <w:top w:w="0" w:type="dxa"/>
              <w:left w:w="57" w:type="dxa"/>
              <w:bottom w:w="0" w:type="dxa"/>
              <w:right w:w="57" w:type="dxa"/>
            </w:tcMar>
          </w:tcPr>
          <w:p w14:paraId="160F75D7" w14:textId="77777777" w:rsidR="00D85AB5" w:rsidRPr="00D85AB5" w:rsidRDefault="00D85AB5">
            <w:pPr>
              <w:spacing w:line="276" w:lineRule="auto"/>
              <w:rPr>
                <w:rFonts w:ascii="Arial" w:hAnsi="Arial" w:cs="Arial"/>
              </w:rPr>
            </w:pPr>
          </w:p>
        </w:tc>
      </w:tr>
      <w:tr w:rsidR="00D85AB5" w:rsidRPr="00D85AB5" w14:paraId="4EA24EE1" w14:textId="77777777" w:rsidTr="00D85AB5">
        <w:trPr>
          <w:trHeight w:val="717"/>
        </w:trPr>
        <w:tc>
          <w:tcPr>
            <w:tcW w:w="1148" w:type="dxa"/>
            <w:tcBorders>
              <w:top w:val="nil"/>
              <w:left w:val="single" w:sz="4" w:space="0" w:color="auto"/>
              <w:bottom w:val="single" w:sz="4" w:space="0" w:color="auto"/>
              <w:right w:val="nil"/>
            </w:tcBorders>
            <w:tcMar>
              <w:top w:w="0" w:type="dxa"/>
              <w:left w:w="57" w:type="dxa"/>
              <w:bottom w:w="0" w:type="dxa"/>
              <w:right w:w="57" w:type="dxa"/>
            </w:tcMar>
          </w:tcPr>
          <w:p w14:paraId="2F38BB01" w14:textId="77777777" w:rsidR="00D85AB5" w:rsidRPr="00D85AB5" w:rsidRDefault="00D85AB5">
            <w:pPr>
              <w:pStyle w:val="TableNormal1"/>
              <w:rPr>
                <w:rFonts w:ascii="Arial" w:hAnsi="Arial" w:cs="Arial"/>
                <w:sz w:val="24"/>
                <w:szCs w:val="24"/>
              </w:rPr>
            </w:pPr>
          </w:p>
        </w:tc>
        <w:tc>
          <w:tcPr>
            <w:tcW w:w="1453" w:type="dxa"/>
            <w:tcBorders>
              <w:top w:val="nil"/>
              <w:left w:val="nil"/>
              <w:bottom w:val="single" w:sz="4" w:space="0" w:color="auto"/>
              <w:right w:val="nil"/>
            </w:tcBorders>
            <w:tcMar>
              <w:top w:w="0" w:type="dxa"/>
              <w:left w:w="57" w:type="dxa"/>
              <w:bottom w:w="0" w:type="dxa"/>
              <w:right w:w="57" w:type="dxa"/>
            </w:tcMar>
          </w:tcPr>
          <w:p w14:paraId="2E6AE610" w14:textId="77777777" w:rsidR="00D85AB5" w:rsidRPr="00D85AB5" w:rsidRDefault="00D85AB5">
            <w:pPr>
              <w:pStyle w:val="TableNormal1"/>
              <w:rPr>
                <w:rFonts w:ascii="Arial" w:hAnsi="Arial" w:cs="Arial"/>
                <w:sz w:val="24"/>
                <w:szCs w:val="24"/>
              </w:rPr>
            </w:pPr>
          </w:p>
        </w:tc>
        <w:tc>
          <w:tcPr>
            <w:tcW w:w="1329" w:type="dxa"/>
            <w:tcBorders>
              <w:top w:val="nil"/>
              <w:left w:val="nil"/>
              <w:bottom w:val="single" w:sz="4" w:space="0" w:color="auto"/>
              <w:right w:val="nil"/>
            </w:tcBorders>
            <w:tcMar>
              <w:top w:w="0" w:type="dxa"/>
              <w:left w:w="57" w:type="dxa"/>
              <w:bottom w:w="0" w:type="dxa"/>
              <w:right w:w="57" w:type="dxa"/>
            </w:tcMar>
          </w:tcPr>
          <w:p w14:paraId="5608BF57" w14:textId="77777777" w:rsidR="00D85AB5" w:rsidRPr="00D85AB5" w:rsidRDefault="00D85AB5">
            <w:pPr>
              <w:pStyle w:val="TableNormal1"/>
              <w:rPr>
                <w:rFonts w:ascii="Arial" w:hAnsi="Arial" w:cs="Arial"/>
                <w:sz w:val="24"/>
                <w:szCs w:val="24"/>
              </w:rPr>
            </w:pPr>
          </w:p>
        </w:tc>
        <w:tc>
          <w:tcPr>
            <w:tcW w:w="5137" w:type="dxa"/>
            <w:tcBorders>
              <w:top w:val="nil"/>
              <w:left w:val="nil"/>
              <w:bottom w:val="single" w:sz="4" w:space="0" w:color="auto"/>
              <w:right w:val="single" w:sz="4" w:space="0" w:color="auto"/>
            </w:tcBorders>
            <w:tcMar>
              <w:top w:w="0" w:type="dxa"/>
              <w:left w:w="57" w:type="dxa"/>
              <w:bottom w:w="0" w:type="dxa"/>
              <w:right w:w="57" w:type="dxa"/>
            </w:tcMar>
          </w:tcPr>
          <w:p w14:paraId="28A14A0B" w14:textId="77777777" w:rsidR="00D85AB5" w:rsidRPr="00D85AB5" w:rsidRDefault="00D85AB5">
            <w:pPr>
              <w:spacing w:line="276" w:lineRule="auto"/>
              <w:rPr>
                <w:rFonts w:ascii="Arial" w:hAnsi="Arial" w:cs="Arial"/>
              </w:rPr>
            </w:pPr>
          </w:p>
        </w:tc>
      </w:tr>
    </w:tbl>
    <w:p w14:paraId="43B8E122" w14:textId="77777777" w:rsidR="000144BD" w:rsidRPr="000144BD" w:rsidRDefault="000144BD">
      <w:pPr>
        <w:rPr>
          <w:rFonts w:ascii="Arial" w:hAnsi="Arial" w:cs="Arial"/>
          <w:sz w:val="22"/>
          <w:szCs w:val="22"/>
        </w:rPr>
      </w:pPr>
    </w:p>
    <w:sectPr w:rsidR="000144BD" w:rsidRPr="000144BD" w:rsidSect="000236CA">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7A574" w14:textId="77777777" w:rsidR="00B4607B" w:rsidRDefault="00B4607B" w:rsidP="000144BD">
      <w:r>
        <w:separator/>
      </w:r>
    </w:p>
  </w:endnote>
  <w:endnote w:type="continuationSeparator" w:id="0">
    <w:p w14:paraId="2C3513B9" w14:textId="77777777" w:rsidR="00B4607B" w:rsidRDefault="00B4607B" w:rsidP="0001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00000"/>
        <w:sz w:val="20"/>
        <w:szCs w:val="20"/>
      </w:rPr>
      <w:id w:val="428944300"/>
      <w:docPartObj>
        <w:docPartGallery w:val="Page Numbers (Bottom of Page)"/>
        <w:docPartUnique/>
      </w:docPartObj>
    </w:sdtPr>
    <w:sdtEndPr>
      <w:rPr>
        <w:noProof/>
        <w:color w:val="92D050"/>
      </w:rPr>
    </w:sdtEndPr>
    <w:sdtContent>
      <w:p w14:paraId="080216E0" w14:textId="77777777" w:rsidR="000144BD" w:rsidRPr="00D85AB5" w:rsidRDefault="000144BD" w:rsidP="000144BD">
        <w:pPr>
          <w:pStyle w:val="Footer"/>
          <w:pBdr>
            <w:top w:val="single" w:sz="4" w:space="1" w:color="auto"/>
          </w:pBdr>
          <w:rPr>
            <w:rFonts w:ascii="Arial" w:hAnsi="Arial" w:cs="Arial"/>
            <w:b/>
            <w:color w:val="92D050"/>
            <w:sz w:val="20"/>
            <w:szCs w:val="20"/>
          </w:rPr>
        </w:pPr>
        <w:r w:rsidRPr="000144BD">
          <w:rPr>
            <w:rFonts w:ascii="Arial" w:hAnsi="Arial" w:cs="Arial"/>
            <w:sz w:val="20"/>
            <w:szCs w:val="20"/>
          </w:rPr>
          <w:t>Human Resources and Development</w:t>
        </w:r>
        <w:r w:rsidRPr="000144BD">
          <w:rPr>
            <w:rFonts w:ascii="Arial" w:hAnsi="Arial" w:cs="Arial"/>
            <w:sz w:val="20"/>
            <w:szCs w:val="20"/>
          </w:rPr>
          <w:tab/>
        </w:r>
        <w:r w:rsidRPr="000144BD">
          <w:rPr>
            <w:rFonts w:ascii="Arial" w:hAnsi="Arial" w:cs="Arial"/>
            <w:sz w:val="20"/>
            <w:szCs w:val="20"/>
          </w:rPr>
          <w:tab/>
        </w:r>
        <w:r w:rsidRPr="00D85AB5">
          <w:rPr>
            <w:rFonts w:ascii="Arial" w:hAnsi="Arial" w:cs="Arial"/>
            <w:b/>
            <w:color w:val="92D050"/>
            <w:sz w:val="20"/>
            <w:szCs w:val="20"/>
          </w:rPr>
          <w:fldChar w:fldCharType="begin"/>
        </w:r>
        <w:r w:rsidRPr="00D85AB5">
          <w:rPr>
            <w:rFonts w:ascii="Arial" w:hAnsi="Arial" w:cs="Arial"/>
            <w:b/>
            <w:color w:val="92D050"/>
            <w:sz w:val="20"/>
            <w:szCs w:val="20"/>
          </w:rPr>
          <w:instrText xml:space="preserve"> PAGE   \* MERGEFORMAT </w:instrText>
        </w:r>
        <w:r w:rsidRPr="00D85AB5">
          <w:rPr>
            <w:rFonts w:ascii="Arial" w:hAnsi="Arial" w:cs="Arial"/>
            <w:b/>
            <w:color w:val="92D050"/>
            <w:sz w:val="20"/>
            <w:szCs w:val="20"/>
          </w:rPr>
          <w:fldChar w:fldCharType="separate"/>
        </w:r>
        <w:r w:rsidR="001C1638">
          <w:rPr>
            <w:rFonts w:ascii="Arial" w:hAnsi="Arial" w:cs="Arial"/>
            <w:b/>
            <w:noProof/>
            <w:color w:val="92D050"/>
            <w:sz w:val="20"/>
            <w:szCs w:val="20"/>
          </w:rPr>
          <w:t>4</w:t>
        </w:r>
        <w:r w:rsidRPr="00D85AB5">
          <w:rPr>
            <w:rFonts w:ascii="Arial" w:hAnsi="Arial" w:cs="Arial"/>
            <w:b/>
            <w:noProof/>
            <w:color w:val="92D050"/>
            <w:sz w:val="20"/>
            <w:szCs w:val="20"/>
          </w:rPr>
          <w:fldChar w:fldCharType="end"/>
        </w:r>
      </w:p>
    </w:sdtContent>
  </w:sdt>
  <w:p w14:paraId="533440E7" w14:textId="77777777" w:rsidR="000144BD" w:rsidRDefault="000144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752AC" w14:textId="77777777" w:rsidR="00B4607B" w:rsidRDefault="00B4607B" w:rsidP="000144BD">
      <w:r>
        <w:separator/>
      </w:r>
    </w:p>
  </w:footnote>
  <w:footnote w:type="continuationSeparator" w:id="0">
    <w:p w14:paraId="393B1698" w14:textId="77777777" w:rsidR="00B4607B" w:rsidRDefault="00B4607B" w:rsidP="00014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348"/>
    <w:multiLevelType w:val="hybridMultilevel"/>
    <w:tmpl w:val="39AE145C"/>
    <w:lvl w:ilvl="0" w:tplc="6A888130">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DE6EBD"/>
    <w:multiLevelType w:val="multilevel"/>
    <w:tmpl w:val="2828DA5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9375FD"/>
    <w:multiLevelType w:val="multilevel"/>
    <w:tmpl w:val="3DF088F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FD06E2"/>
    <w:multiLevelType w:val="multilevel"/>
    <w:tmpl w:val="E1C24958"/>
    <w:lvl w:ilvl="0">
      <w:start w:val="1"/>
      <w:numFmt w:val="decimal"/>
      <w:lvlText w:val="%1."/>
      <w:lvlJc w:val="left"/>
      <w:pPr>
        <w:ind w:left="862" w:hanging="720"/>
      </w:pPr>
      <w:rPr>
        <w:rFonts w:hint="default"/>
      </w:rPr>
    </w:lvl>
    <w:lvl w:ilvl="1">
      <w:start w:val="1"/>
      <w:numFmt w:val="decimal"/>
      <w:isLgl/>
      <w:lvlText w:val="%1.%2"/>
      <w:lvlJc w:val="left"/>
      <w:pPr>
        <w:ind w:left="107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392D3B81"/>
    <w:multiLevelType w:val="hybridMultilevel"/>
    <w:tmpl w:val="26CA80E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3B3E7205"/>
    <w:multiLevelType w:val="multilevel"/>
    <w:tmpl w:val="6B42367E"/>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3CDB61E5"/>
    <w:multiLevelType w:val="hybridMultilevel"/>
    <w:tmpl w:val="D96820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656108"/>
    <w:multiLevelType w:val="hybridMultilevel"/>
    <w:tmpl w:val="85E65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B4743"/>
    <w:multiLevelType w:val="hybridMultilevel"/>
    <w:tmpl w:val="1620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C2591"/>
    <w:multiLevelType w:val="hybridMultilevel"/>
    <w:tmpl w:val="C89C986C"/>
    <w:lvl w:ilvl="0" w:tplc="E9C857DA">
      <w:start w:val="3"/>
      <w:numFmt w:val="decimal"/>
      <w:lvlText w:val="%1."/>
      <w:lvlJc w:val="left"/>
      <w:pPr>
        <w:tabs>
          <w:tab w:val="num" w:pos="1440"/>
        </w:tabs>
        <w:ind w:left="1440" w:hanging="720"/>
      </w:pPr>
      <w:rPr>
        <w:rFonts w:hint="default"/>
        <w:i w:val="0"/>
      </w:rPr>
    </w:lvl>
    <w:lvl w:ilvl="1" w:tplc="BD3060B6">
      <w:numFmt w:val="none"/>
      <w:lvlText w:val=""/>
      <w:lvlJc w:val="left"/>
      <w:pPr>
        <w:tabs>
          <w:tab w:val="num" w:pos="360"/>
        </w:tabs>
      </w:pPr>
    </w:lvl>
    <w:lvl w:ilvl="2" w:tplc="7B84E630">
      <w:numFmt w:val="none"/>
      <w:lvlText w:val=""/>
      <w:lvlJc w:val="left"/>
      <w:pPr>
        <w:tabs>
          <w:tab w:val="num" w:pos="360"/>
        </w:tabs>
      </w:pPr>
    </w:lvl>
    <w:lvl w:ilvl="3" w:tplc="71740E76">
      <w:numFmt w:val="none"/>
      <w:lvlText w:val=""/>
      <w:lvlJc w:val="left"/>
      <w:pPr>
        <w:tabs>
          <w:tab w:val="num" w:pos="360"/>
        </w:tabs>
      </w:pPr>
    </w:lvl>
    <w:lvl w:ilvl="4" w:tplc="29B42FDA">
      <w:numFmt w:val="none"/>
      <w:lvlText w:val=""/>
      <w:lvlJc w:val="left"/>
      <w:pPr>
        <w:tabs>
          <w:tab w:val="num" w:pos="360"/>
        </w:tabs>
      </w:pPr>
    </w:lvl>
    <w:lvl w:ilvl="5" w:tplc="050E240C">
      <w:numFmt w:val="none"/>
      <w:lvlText w:val=""/>
      <w:lvlJc w:val="left"/>
      <w:pPr>
        <w:tabs>
          <w:tab w:val="num" w:pos="360"/>
        </w:tabs>
      </w:pPr>
    </w:lvl>
    <w:lvl w:ilvl="6" w:tplc="21483516">
      <w:numFmt w:val="none"/>
      <w:lvlText w:val=""/>
      <w:lvlJc w:val="left"/>
      <w:pPr>
        <w:tabs>
          <w:tab w:val="num" w:pos="360"/>
        </w:tabs>
      </w:pPr>
    </w:lvl>
    <w:lvl w:ilvl="7" w:tplc="EEB05C2C">
      <w:numFmt w:val="none"/>
      <w:lvlText w:val=""/>
      <w:lvlJc w:val="left"/>
      <w:pPr>
        <w:tabs>
          <w:tab w:val="num" w:pos="360"/>
        </w:tabs>
      </w:pPr>
    </w:lvl>
    <w:lvl w:ilvl="8" w:tplc="9A76267A">
      <w:numFmt w:val="none"/>
      <w:lvlText w:val=""/>
      <w:lvlJc w:val="left"/>
      <w:pPr>
        <w:tabs>
          <w:tab w:val="num" w:pos="360"/>
        </w:tabs>
      </w:pPr>
    </w:lvl>
  </w:abstractNum>
  <w:abstractNum w:abstractNumId="10" w15:restartNumberingAfterBreak="0">
    <w:nsid w:val="590A178F"/>
    <w:multiLevelType w:val="hybridMultilevel"/>
    <w:tmpl w:val="1DC6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D572D"/>
    <w:multiLevelType w:val="hybridMultilevel"/>
    <w:tmpl w:val="F75069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2"/>
  </w:num>
  <w:num w:numId="6">
    <w:abstractNumId w:val="1"/>
  </w:num>
  <w:num w:numId="7">
    <w:abstractNumId w:val="3"/>
  </w:num>
  <w:num w:numId="8">
    <w:abstractNumId w:val="4"/>
  </w:num>
  <w:num w:numId="9">
    <w:abstractNumId w:val="11"/>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CA"/>
    <w:rsid w:val="000144BD"/>
    <w:rsid w:val="000236CA"/>
    <w:rsid w:val="00025A53"/>
    <w:rsid w:val="00093891"/>
    <w:rsid w:val="00125979"/>
    <w:rsid w:val="0013716B"/>
    <w:rsid w:val="00153931"/>
    <w:rsid w:val="0019077C"/>
    <w:rsid w:val="001C1638"/>
    <w:rsid w:val="00247E56"/>
    <w:rsid w:val="002C2898"/>
    <w:rsid w:val="00335CFE"/>
    <w:rsid w:val="003C5E4B"/>
    <w:rsid w:val="00414C9A"/>
    <w:rsid w:val="004221B0"/>
    <w:rsid w:val="00482E3A"/>
    <w:rsid w:val="004B0912"/>
    <w:rsid w:val="00520FED"/>
    <w:rsid w:val="00575E60"/>
    <w:rsid w:val="005F02FA"/>
    <w:rsid w:val="00600AB9"/>
    <w:rsid w:val="00615246"/>
    <w:rsid w:val="00656D0F"/>
    <w:rsid w:val="007A22B7"/>
    <w:rsid w:val="00800D4A"/>
    <w:rsid w:val="00806CB1"/>
    <w:rsid w:val="00845D3F"/>
    <w:rsid w:val="008A078B"/>
    <w:rsid w:val="00946867"/>
    <w:rsid w:val="0095404B"/>
    <w:rsid w:val="009B1731"/>
    <w:rsid w:val="009D6035"/>
    <w:rsid w:val="009E1E23"/>
    <w:rsid w:val="009F4A3E"/>
    <w:rsid w:val="00A17FE6"/>
    <w:rsid w:val="00AA32F6"/>
    <w:rsid w:val="00AB3EDF"/>
    <w:rsid w:val="00AC4199"/>
    <w:rsid w:val="00AD1AC5"/>
    <w:rsid w:val="00B3169C"/>
    <w:rsid w:val="00B45EB5"/>
    <w:rsid w:val="00B4607B"/>
    <w:rsid w:val="00B66C85"/>
    <w:rsid w:val="00BA163F"/>
    <w:rsid w:val="00BC739C"/>
    <w:rsid w:val="00C00BE4"/>
    <w:rsid w:val="00C155F0"/>
    <w:rsid w:val="00C50A6D"/>
    <w:rsid w:val="00CB7A72"/>
    <w:rsid w:val="00D2623F"/>
    <w:rsid w:val="00D85AB5"/>
    <w:rsid w:val="00DF70BA"/>
    <w:rsid w:val="00E12001"/>
    <w:rsid w:val="00E20799"/>
    <w:rsid w:val="00EA1CA0"/>
    <w:rsid w:val="00ED31B0"/>
    <w:rsid w:val="00EE5AE2"/>
    <w:rsid w:val="00F50972"/>
    <w:rsid w:val="00F63369"/>
    <w:rsid w:val="00F958DE"/>
    <w:rsid w:val="00FF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2542"/>
  <w15:chartTrackingRefBased/>
  <w15:docId w15:val="{EDB3A708-F6D1-4953-A055-B96D9F31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4B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0144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44BD"/>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44B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0144BD"/>
    <w:rPr>
      <w:rFonts w:asciiTheme="majorHAnsi" w:eastAsiaTheme="majorEastAsia" w:hAnsiTheme="majorHAnsi" w:cstheme="majorBidi"/>
      <w:color w:val="2E74B5" w:themeColor="accent1" w:themeShade="BF"/>
      <w:sz w:val="26"/>
      <w:szCs w:val="26"/>
      <w:lang w:eastAsia="en-GB"/>
    </w:rPr>
  </w:style>
  <w:style w:type="paragraph" w:styleId="BodyText">
    <w:name w:val="Body Text"/>
    <w:basedOn w:val="Normal"/>
    <w:link w:val="BodyTextChar"/>
    <w:uiPriority w:val="99"/>
    <w:rsid w:val="000144BD"/>
    <w:pPr>
      <w:spacing w:after="120"/>
    </w:pPr>
    <w:rPr>
      <w:rFonts w:eastAsia="Batang"/>
      <w:lang w:eastAsia="en-AU"/>
    </w:rPr>
  </w:style>
  <w:style w:type="character" w:customStyle="1" w:styleId="BodyTextChar">
    <w:name w:val="Body Text Char"/>
    <w:basedOn w:val="DefaultParagraphFont"/>
    <w:link w:val="BodyText"/>
    <w:uiPriority w:val="99"/>
    <w:rsid w:val="000144BD"/>
    <w:rPr>
      <w:rFonts w:ascii="Times New Roman" w:eastAsia="Batang" w:hAnsi="Times New Roman" w:cs="Times New Roman"/>
      <w:sz w:val="24"/>
      <w:szCs w:val="24"/>
      <w:lang w:eastAsia="en-AU"/>
    </w:rPr>
  </w:style>
  <w:style w:type="paragraph" w:styleId="ListParagraph">
    <w:name w:val="List Paragraph"/>
    <w:basedOn w:val="Normal"/>
    <w:uiPriority w:val="34"/>
    <w:qFormat/>
    <w:rsid w:val="000144BD"/>
    <w:pPr>
      <w:ind w:left="720"/>
      <w:contextualSpacing/>
    </w:pPr>
  </w:style>
  <w:style w:type="table" w:styleId="TableGrid">
    <w:name w:val="Table Grid"/>
    <w:basedOn w:val="TableNormal"/>
    <w:uiPriority w:val="59"/>
    <w:rsid w:val="000144BD"/>
    <w:pPr>
      <w:spacing w:after="0" w:line="240" w:lineRule="auto"/>
    </w:pPr>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144BD"/>
    <w:pPr>
      <w:tabs>
        <w:tab w:val="center" w:pos="4513"/>
        <w:tab w:val="right" w:pos="9026"/>
      </w:tabs>
    </w:pPr>
  </w:style>
  <w:style w:type="character" w:customStyle="1" w:styleId="HeaderChar">
    <w:name w:val="Header Char"/>
    <w:basedOn w:val="DefaultParagraphFont"/>
    <w:link w:val="Header"/>
    <w:uiPriority w:val="99"/>
    <w:rsid w:val="000144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44BD"/>
    <w:pPr>
      <w:tabs>
        <w:tab w:val="center" w:pos="4513"/>
        <w:tab w:val="right" w:pos="9026"/>
      </w:tabs>
    </w:pPr>
  </w:style>
  <w:style w:type="character" w:customStyle="1" w:styleId="FooterChar">
    <w:name w:val="Footer Char"/>
    <w:basedOn w:val="DefaultParagraphFont"/>
    <w:link w:val="Footer"/>
    <w:uiPriority w:val="99"/>
    <w:rsid w:val="000144BD"/>
    <w:rPr>
      <w:rFonts w:ascii="Times New Roman" w:eastAsia="Times New Roman" w:hAnsi="Times New Roman" w:cs="Times New Roman"/>
      <w:sz w:val="24"/>
      <w:szCs w:val="24"/>
      <w:lang w:eastAsia="en-GB"/>
    </w:rPr>
  </w:style>
  <w:style w:type="paragraph" w:customStyle="1" w:styleId="TableNormal1">
    <w:name w:val="Table Normal1"/>
    <w:basedOn w:val="Normal"/>
    <w:rsid w:val="00D85AB5"/>
    <w:pPr>
      <w:spacing w:before="60" w:after="60" w:line="264" w:lineRule="auto"/>
    </w:pPr>
    <w:rPr>
      <w:rFonts w:ascii="Arial Narrow" w:eastAsia="MS PGothic" w:hAnsi="Arial Narrow" w:cs="MS PGothic"/>
      <w:sz w:val="18"/>
      <w:szCs w:val="18"/>
      <w:lang w:eastAsia="ja-JP"/>
    </w:rPr>
  </w:style>
  <w:style w:type="paragraph" w:styleId="BalloonText">
    <w:name w:val="Balloon Text"/>
    <w:basedOn w:val="Normal"/>
    <w:link w:val="BalloonTextChar"/>
    <w:uiPriority w:val="99"/>
    <w:semiHidden/>
    <w:unhideWhenUsed/>
    <w:rsid w:val="009F4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3E"/>
    <w:rPr>
      <w:rFonts w:ascii="Segoe UI" w:eastAsia="Times New Roman" w:hAnsi="Segoe UI" w:cs="Segoe UI"/>
      <w:sz w:val="18"/>
      <w:szCs w:val="18"/>
      <w:lang w:eastAsia="en-GB"/>
    </w:rPr>
  </w:style>
  <w:style w:type="character" w:styleId="Emphasis">
    <w:name w:val="Emphasis"/>
    <w:qFormat/>
    <w:rsid w:val="00F50972"/>
    <w:rPr>
      <w:i/>
      <w:iCs/>
    </w:rPr>
  </w:style>
  <w:style w:type="paragraph" w:styleId="NormalWeb">
    <w:name w:val="Normal (Web)"/>
    <w:basedOn w:val="Normal"/>
    <w:rsid w:val="00F50972"/>
    <w:pPr>
      <w:shd w:val="clear" w:color="auto" w:fill="FFFFFF"/>
      <w:spacing w:before="100" w:beforeAutospacing="1" w:after="100" w:afterAutospacing="1"/>
    </w:pPr>
    <w:rPr>
      <w:rFonts w:ascii="Arial" w:hAnsi="Arial" w:cs="Arial"/>
      <w:sz w:val="20"/>
      <w:szCs w:val="20"/>
    </w:rPr>
  </w:style>
  <w:style w:type="paragraph" w:customStyle="1" w:styleId="Default">
    <w:name w:val="Default"/>
    <w:rsid w:val="00F5097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F50972"/>
    <w:rPr>
      <w:color w:val="0000FF"/>
      <w:u w:val="single"/>
    </w:rPr>
  </w:style>
  <w:style w:type="character" w:styleId="FollowedHyperlink">
    <w:name w:val="FollowedHyperlink"/>
    <w:basedOn w:val="DefaultParagraphFont"/>
    <w:uiPriority w:val="99"/>
    <w:semiHidden/>
    <w:unhideWhenUsed/>
    <w:rsid w:val="00575E60"/>
    <w:rPr>
      <w:color w:val="954F72" w:themeColor="followedHyperlink"/>
      <w:u w:val="single"/>
    </w:rPr>
  </w:style>
  <w:style w:type="character" w:styleId="CommentReference">
    <w:name w:val="annotation reference"/>
    <w:basedOn w:val="DefaultParagraphFont"/>
    <w:uiPriority w:val="99"/>
    <w:semiHidden/>
    <w:unhideWhenUsed/>
    <w:rsid w:val="00335CFE"/>
    <w:rPr>
      <w:sz w:val="16"/>
      <w:szCs w:val="16"/>
    </w:rPr>
  </w:style>
  <w:style w:type="paragraph" w:styleId="CommentText">
    <w:name w:val="annotation text"/>
    <w:basedOn w:val="Normal"/>
    <w:link w:val="CommentTextChar"/>
    <w:uiPriority w:val="99"/>
    <w:semiHidden/>
    <w:unhideWhenUsed/>
    <w:rsid w:val="00335CFE"/>
    <w:rPr>
      <w:sz w:val="20"/>
      <w:szCs w:val="20"/>
    </w:rPr>
  </w:style>
  <w:style w:type="character" w:customStyle="1" w:styleId="CommentTextChar">
    <w:name w:val="Comment Text Char"/>
    <w:basedOn w:val="DefaultParagraphFont"/>
    <w:link w:val="CommentText"/>
    <w:uiPriority w:val="99"/>
    <w:semiHidden/>
    <w:rsid w:val="00335CF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5CFE"/>
    <w:rPr>
      <w:b/>
      <w:bCs/>
    </w:rPr>
  </w:style>
  <w:style w:type="character" w:customStyle="1" w:styleId="CommentSubjectChar">
    <w:name w:val="Comment Subject Char"/>
    <w:basedOn w:val="CommentTextChar"/>
    <w:link w:val="CommentSubject"/>
    <w:uiPriority w:val="99"/>
    <w:semiHidden/>
    <w:rsid w:val="00335CF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78285">
      <w:bodyDiv w:val="1"/>
      <w:marLeft w:val="0"/>
      <w:marRight w:val="0"/>
      <w:marTop w:val="0"/>
      <w:marBottom w:val="0"/>
      <w:divBdr>
        <w:top w:val="none" w:sz="0" w:space="0" w:color="auto"/>
        <w:left w:val="none" w:sz="0" w:space="0" w:color="auto"/>
        <w:bottom w:val="none" w:sz="0" w:space="0" w:color="auto"/>
        <w:right w:val="none" w:sz="0" w:space="0" w:color="auto"/>
      </w:divBdr>
    </w:div>
    <w:div w:id="619577990">
      <w:bodyDiv w:val="1"/>
      <w:marLeft w:val="0"/>
      <w:marRight w:val="0"/>
      <w:marTop w:val="0"/>
      <w:marBottom w:val="0"/>
      <w:divBdr>
        <w:top w:val="none" w:sz="0" w:space="0" w:color="auto"/>
        <w:left w:val="none" w:sz="0" w:space="0" w:color="auto"/>
        <w:bottom w:val="none" w:sz="0" w:space="0" w:color="auto"/>
        <w:right w:val="none" w:sz="0" w:space="0" w:color="auto"/>
      </w:divBdr>
    </w:div>
    <w:div w:id="1195579436">
      <w:bodyDiv w:val="1"/>
      <w:marLeft w:val="0"/>
      <w:marRight w:val="0"/>
      <w:marTop w:val="0"/>
      <w:marBottom w:val="0"/>
      <w:divBdr>
        <w:top w:val="none" w:sz="0" w:space="0" w:color="auto"/>
        <w:left w:val="none" w:sz="0" w:space="0" w:color="auto"/>
        <w:bottom w:val="none" w:sz="0" w:space="0" w:color="auto"/>
        <w:right w:val="none" w:sz="0" w:space="0" w:color="auto"/>
      </w:divBdr>
      <w:divsChild>
        <w:div w:id="1621841034">
          <w:marLeft w:val="0"/>
          <w:marRight w:val="0"/>
          <w:marTop w:val="0"/>
          <w:marBottom w:val="0"/>
          <w:divBdr>
            <w:top w:val="none" w:sz="0" w:space="0" w:color="auto"/>
            <w:left w:val="none" w:sz="0" w:space="0" w:color="auto"/>
            <w:bottom w:val="none" w:sz="0" w:space="0" w:color="auto"/>
            <w:right w:val="none" w:sz="0" w:space="0" w:color="auto"/>
          </w:divBdr>
          <w:divsChild>
            <w:div w:id="2138714004">
              <w:marLeft w:val="0"/>
              <w:marRight w:val="0"/>
              <w:marTop w:val="0"/>
              <w:marBottom w:val="0"/>
              <w:divBdr>
                <w:top w:val="none" w:sz="0" w:space="0" w:color="auto"/>
                <w:left w:val="none" w:sz="0" w:space="0" w:color="auto"/>
                <w:bottom w:val="none" w:sz="0" w:space="0" w:color="auto"/>
                <w:right w:val="none" w:sz="0" w:space="0" w:color="auto"/>
              </w:divBdr>
              <w:divsChild>
                <w:div w:id="2118791158">
                  <w:marLeft w:val="0"/>
                  <w:marRight w:val="0"/>
                  <w:marTop w:val="480"/>
                  <w:marBottom w:val="0"/>
                  <w:divBdr>
                    <w:top w:val="none" w:sz="0" w:space="0" w:color="auto"/>
                    <w:left w:val="none" w:sz="0" w:space="0" w:color="auto"/>
                    <w:bottom w:val="none" w:sz="0" w:space="0" w:color="auto"/>
                    <w:right w:val="none" w:sz="0" w:space="0" w:color="auto"/>
                  </w:divBdr>
                  <w:divsChild>
                    <w:div w:id="244338557">
                      <w:marLeft w:val="0"/>
                      <w:marRight w:val="0"/>
                      <w:marTop w:val="0"/>
                      <w:marBottom w:val="0"/>
                      <w:divBdr>
                        <w:top w:val="none" w:sz="0" w:space="0" w:color="auto"/>
                        <w:left w:val="none" w:sz="0" w:space="0" w:color="auto"/>
                        <w:bottom w:val="none" w:sz="0" w:space="0" w:color="auto"/>
                        <w:right w:val="none" w:sz="0" w:space="0" w:color="auto"/>
                      </w:divBdr>
                      <w:divsChild>
                        <w:div w:id="369305920">
                          <w:marLeft w:val="0"/>
                          <w:marRight w:val="0"/>
                          <w:marTop w:val="0"/>
                          <w:marBottom w:val="480"/>
                          <w:divBdr>
                            <w:top w:val="none" w:sz="0" w:space="0" w:color="auto"/>
                            <w:left w:val="none" w:sz="0" w:space="0" w:color="auto"/>
                            <w:bottom w:val="none" w:sz="0" w:space="0" w:color="auto"/>
                            <w:right w:val="none" w:sz="0" w:space="0" w:color="auto"/>
                          </w:divBdr>
                          <w:divsChild>
                            <w:div w:id="5619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ff.napier.ac.uk/services/hr/Documents/Policies/ActingupandAdditionalResponsibiltyAllowancePolicy%20-%20August%202015.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aff.napier.ac.uk/services/hr/Documents/Policies/AttractionandRetentionPremiaPolicy%20August%202015.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ff.napier.ac.uk/services/hr/Documents/HR%20Forms/AppointmentForm.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ff.napier.ac.uk/services/hr/Documents/SeniorManagementincrementalProgressionProcedur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7775FD2CE344198B7A6D8B2A7502E" ma:contentTypeVersion="65" ma:contentTypeDescription="Create a new document." ma:contentTypeScope="" ma:versionID="dcf484ddf89ef0b5facf39db9c665584">
  <xsd:schema xmlns:xsd="http://www.w3.org/2001/XMLSchema" xmlns:xs="http://www.w3.org/2001/XMLSchema" xmlns:p="http://schemas.microsoft.com/office/2006/metadata/properties" xmlns:ns1="http://schemas.microsoft.com/sharepoint/v3" targetNamespace="http://schemas.microsoft.com/office/2006/metadata/properties" ma:root="true" ma:fieldsID="7826087d7815a9902541b039da76a0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B95CE-2169-48A2-8520-F1735819C245}"/>
</file>

<file path=customXml/itemProps2.xml><?xml version="1.0" encoding="utf-8"?>
<ds:datastoreItem xmlns:ds="http://schemas.openxmlformats.org/officeDocument/2006/customXml" ds:itemID="{BE7AFCAC-1291-4D1B-B04C-6E0F45791CA6}"/>
</file>

<file path=customXml/itemProps3.xml><?xml version="1.0" encoding="utf-8"?>
<ds:datastoreItem xmlns:ds="http://schemas.openxmlformats.org/officeDocument/2006/customXml" ds:itemID="{AA1488C2-51E8-46AE-B134-0DF45625A5B9}"/>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Salary Placement Policy</vt:lpstr>
    </vt:vector>
  </TitlesOfParts>
  <Company>Edinburgh Napier University</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Placement Policy</dc:title>
  <dc:subject/>
  <dc:creator>Cameron, Bridget</dc:creator>
  <cp:keywords/>
  <dc:description/>
  <cp:lastModifiedBy>Lismore, Emma</cp:lastModifiedBy>
  <cp:revision>2</cp:revision>
  <cp:lastPrinted>2015-08-20T07:22:00Z</cp:lastPrinted>
  <dcterms:created xsi:type="dcterms:W3CDTF">2020-07-09T15:29:00Z</dcterms:created>
  <dcterms:modified xsi:type="dcterms:W3CDTF">2020-07-09T15:29:00Z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0x010100E347775FD2CE344198B7A6D8B2A7502E</vt:lpwstr>
  </property>
  <property fmtid="{D5CDD505-2E9C-101B-9397-08002B2CF9AE}" pid="3" name="Document Description">
    <vt:lpwstr/>
  </property>
  <property fmtid="{D5CDD505-2E9C-101B-9397-08002B2CF9AE}" pid="4" name="Document Keywords">
    <vt:lpwstr/>
  </property>
</Properties>
</file>