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442A" w14:textId="2483DC1D" w:rsidR="00485A83" w:rsidRPr="00A863CC" w:rsidRDefault="00485A83" w:rsidP="00485A83">
      <w:pPr>
        <w:jc w:val="center"/>
        <w:rPr>
          <w:rFonts w:ascii="Titillium" w:hAnsi="Titillium"/>
          <w:b/>
          <w:color w:val="579FBB"/>
          <w:sz w:val="36"/>
          <w:szCs w:val="36"/>
        </w:rPr>
      </w:pPr>
      <w:bookmarkStart w:id="0" w:name="_GoBack"/>
      <w:bookmarkEnd w:id="0"/>
      <w:r>
        <w:rPr>
          <w:rFonts w:ascii="Titillium" w:hAnsi="Titillium"/>
          <w:b/>
          <w:color w:val="579FBB"/>
          <w:sz w:val="36"/>
          <w:szCs w:val="36"/>
        </w:rPr>
        <w:t>Roles and Responsibilities when appointing a Tier 2 Visa holder</w:t>
      </w:r>
    </w:p>
    <w:p w14:paraId="721273B6" w14:textId="5B4D7C3D" w:rsidR="00485A83" w:rsidRPr="008437B8" w:rsidRDefault="00485A83" w:rsidP="00485A83">
      <w:pPr>
        <w:jc w:val="both"/>
        <w:rPr>
          <w:rFonts w:ascii="Titillium" w:hAnsi="Titillium"/>
        </w:rPr>
      </w:pPr>
      <w:r w:rsidRPr="008437B8">
        <w:rPr>
          <w:rFonts w:ascii="Titillium" w:hAnsi="Titillium"/>
        </w:rPr>
        <w:t>This document provides information on the roles and responsibilities</w:t>
      </w:r>
      <w:r>
        <w:rPr>
          <w:rFonts w:ascii="Titillium" w:hAnsi="Titillium"/>
        </w:rPr>
        <w:t xml:space="preserve"> of line managers, Human Resources and Tier 2 visa holders when appointing a Tier 2 visa holder. </w:t>
      </w:r>
    </w:p>
    <w:p w14:paraId="48EDFD0F" w14:textId="2E64DFDD" w:rsidR="00485A83" w:rsidRPr="008437B8" w:rsidRDefault="00485A83" w:rsidP="00485A83">
      <w:pPr>
        <w:jc w:val="both"/>
        <w:rPr>
          <w:rFonts w:ascii="Titillium" w:hAnsi="Titillium"/>
        </w:rPr>
      </w:pPr>
      <w:r w:rsidRPr="008437B8">
        <w:rPr>
          <w:rFonts w:ascii="Titillium" w:hAnsi="Titillium"/>
        </w:rPr>
        <w:t xml:space="preserve">Please note that should the University fail to comply with the below requirements, </w:t>
      </w:r>
      <w:r>
        <w:rPr>
          <w:rFonts w:ascii="Titillium" w:hAnsi="Titillium"/>
        </w:rPr>
        <w:t xml:space="preserve">there is a risk that this could impact on the University’s category A ranking to employ sponsored workers. </w:t>
      </w:r>
      <w:r w:rsidRPr="008437B8">
        <w:rPr>
          <w:rFonts w:ascii="Titillium" w:hAnsi="Titillium"/>
        </w:rPr>
        <w:t xml:space="preserve">The HR </w:t>
      </w:r>
      <w:r>
        <w:rPr>
          <w:rFonts w:ascii="Titillium" w:hAnsi="Titillium"/>
        </w:rPr>
        <w:t xml:space="preserve">Services </w:t>
      </w:r>
      <w:r w:rsidRPr="008437B8">
        <w:rPr>
          <w:rFonts w:ascii="Titillium" w:hAnsi="Titillium"/>
        </w:rPr>
        <w:t>Team will be able to answer any queries you may have regarding this process</w:t>
      </w:r>
      <w:r>
        <w:rPr>
          <w:rFonts w:ascii="Titillium" w:hAnsi="Titillium"/>
        </w:rPr>
        <w:t xml:space="preserve"> on </w:t>
      </w:r>
      <w:r w:rsidR="00815C30">
        <w:rPr>
          <w:rFonts w:ascii="Titillium" w:hAnsi="Titillium"/>
        </w:rPr>
        <w:t xml:space="preserve">0131 455 </w:t>
      </w:r>
      <w:r>
        <w:rPr>
          <w:rFonts w:ascii="Titillium" w:hAnsi="Titillium"/>
        </w:rPr>
        <w:t xml:space="preserve">3344 or </w:t>
      </w:r>
      <w:hyperlink r:id="rId7" w:history="1">
        <w:r w:rsidRPr="00077EFD">
          <w:rPr>
            <w:rStyle w:val="Hyperlink"/>
            <w:rFonts w:ascii="Titillium" w:hAnsi="Titillium"/>
          </w:rPr>
          <w:t>humanresources@napier.ac.uk</w:t>
        </w:r>
      </w:hyperlink>
      <w:r>
        <w:rPr>
          <w:rFonts w:ascii="Titillium" w:hAnsi="Titillium"/>
        </w:rPr>
        <w:t>.</w:t>
      </w:r>
    </w:p>
    <w:p w14:paraId="2937F5EC" w14:textId="77777777" w:rsidR="008437B8" w:rsidRPr="00485A83" w:rsidRDefault="008437B8">
      <w:pPr>
        <w:rPr>
          <w:rFonts w:ascii="Titillium" w:hAnsi="Titillium"/>
          <w:b/>
          <w:u w:val="single"/>
        </w:rPr>
      </w:pPr>
      <w:r w:rsidRPr="00485A83">
        <w:rPr>
          <w:rFonts w:ascii="Titillium" w:hAnsi="Titillium"/>
          <w:b/>
          <w:u w:val="single"/>
        </w:rPr>
        <w:t>Line Manager’s Responsibility</w:t>
      </w:r>
    </w:p>
    <w:p w14:paraId="40189FF3" w14:textId="5A7E5721" w:rsidR="00F06AC0" w:rsidRPr="00F06AC0" w:rsidRDefault="00F06AC0" w:rsidP="00F06AC0">
      <w:pPr>
        <w:numPr>
          <w:ilvl w:val="0"/>
          <w:numId w:val="3"/>
        </w:numPr>
        <w:jc w:val="both"/>
        <w:rPr>
          <w:rFonts w:ascii="Titillium" w:hAnsi="Titillium"/>
        </w:rPr>
      </w:pPr>
      <w:r>
        <w:rPr>
          <w:rFonts w:ascii="Titillium" w:hAnsi="Titillium"/>
        </w:rPr>
        <w:t xml:space="preserve">Line managers are required to ensure that Tier 2 visa </w:t>
      </w:r>
      <w:r w:rsidR="0065386F">
        <w:rPr>
          <w:rFonts w:ascii="Titillium" w:hAnsi="Titillium"/>
        </w:rPr>
        <w:t>holder’s</w:t>
      </w:r>
      <w:r>
        <w:rPr>
          <w:rFonts w:ascii="Titillium" w:hAnsi="Titillium"/>
        </w:rPr>
        <w:t xml:space="preserve"> absence</w:t>
      </w:r>
      <w:r w:rsidR="0065386F">
        <w:rPr>
          <w:rFonts w:ascii="Titillium" w:hAnsi="Titillium"/>
        </w:rPr>
        <w:t>s</w:t>
      </w:r>
      <w:r>
        <w:rPr>
          <w:rFonts w:ascii="Titillium" w:hAnsi="Titillium"/>
        </w:rPr>
        <w:t xml:space="preserve"> such as annual leave and sickness absence </w:t>
      </w:r>
      <w:r w:rsidR="0065386F">
        <w:rPr>
          <w:rFonts w:ascii="Titillium" w:hAnsi="Titillium"/>
        </w:rPr>
        <w:t>are</w:t>
      </w:r>
      <w:r>
        <w:rPr>
          <w:rFonts w:ascii="Titillium" w:hAnsi="Titillium"/>
        </w:rPr>
        <w:t xml:space="preserve"> recorded in line with University processes on HR Connect. </w:t>
      </w:r>
    </w:p>
    <w:p w14:paraId="405C83A2" w14:textId="64C2464C" w:rsidR="00F06AC0" w:rsidRPr="0065386F" w:rsidRDefault="00F06AC0" w:rsidP="0065386F">
      <w:pPr>
        <w:numPr>
          <w:ilvl w:val="0"/>
          <w:numId w:val="3"/>
        </w:numPr>
        <w:jc w:val="both"/>
        <w:rPr>
          <w:rFonts w:ascii="Titillium" w:hAnsi="Titillium"/>
        </w:rPr>
      </w:pPr>
      <w:r>
        <w:rPr>
          <w:rFonts w:ascii="Titillium" w:hAnsi="Titillium"/>
        </w:rPr>
        <w:t xml:space="preserve">Line managers are required to </w:t>
      </w:r>
      <w:r w:rsidRPr="00F06AC0">
        <w:rPr>
          <w:rFonts w:ascii="Titillium" w:hAnsi="Titillium"/>
        </w:rPr>
        <w:t xml:space="preserve">report any unauthorised absence to HR immediately if they are unable to </w:t>
      </w:r>
      <w:r w:rsidR="0065386F">
        <w:rPr>
          <w:rFonts w:ascii="Titillium" w:hAnsi="Titillium"/>
        </w:rPr>
        <w:t>make contact with the Tier 2 visa holder.</w:t>
      </w:r>
      <w:r w:rsidRPr="00F06AC0">
        <w:rPr>
          <w:rFonts w:ascii="Titillium" w:hAnsi="Titillium"/>
        </w:rPr>
        <w:t xml:space="preserve">  </w:t>
      </w:r>
    </w:p>
    <w:p w14:paraId="5BB34607" w14:textId="77777777" w:rsidR="00D5782D" w:rsidRPr="00D5782D" w:rsidRDefault="00D5782D" w:rsidP="00D5782D">
      <w:pPr>
        <w:rPr>
          <w:rFonts w:ascii="Titillium" w:hAnsi="Titillium"/>
          <w:u w:val="single"/>
        </w:rPr>
      </w:pPr>
      <w:r w:rsidRPr="00D5782D">
        <w:rPr>
          <w:rFonts w:ascii="Titillium" w:hAnsi="Titillium"/>
          <w:b/>
          <w:u w:val="single"/>
        </w:rPr>
        <w:t>Human Resources Responsibility</w:t>
      </w:r>
    </w:p>
    <w:p w14:paraId="6466FB73" w14:textId="28CE3C8D" w:rsidR="00485A83" w:rsidRPr="00D5782D" w:rsidRDefault="00485A83" w:rsidP="00485A83">
      <w:pPr>
        <w:numPr>
          <w:ilvl w:val="0"/>
          <w:numId w:val="3"/>
        </w:numPr>
        <w:jc w:val="both"/>
        <w:rPr>
          <w:rFonts w:ascii="Titillium" w:hAnsi="Titillium"/>
        </w:rPr>
      </w:pPr>
      <w:r w:rsidRPr="00D5782D">
        <w:rPr>
          <w:rFonts w:ascii="Titillium" w:hAnsi="Titillium"/>
        </w:rPr>
        <w:t>Human Resource</w:t>
      </w:r>
      <w:r w:rsidR="00F06AC0">
        <w:rPr>
          <w:rFonts w:ascii="Titillium" w:hAnsi="Titillium"/>
        </w:rPr>
        <w:t>s</w:t>
      </w:r>
      <w:r w:rsidRPr="00D5782D">
        <w:rPr>
          <w:rFonts w:ascii="Titillium" w:hAnsi="Titillium"/>
        </w:rPr>
        <w:t xml:space="preserve"> will </w:t>
      </w:r>
      <w:r>
        <w:rPr>
          <w:rFonts w:ascii="Titillium" w:hAnsi="Titillium"/>
        </w:rPr>
        <w:t>securely maintain</w:t>
      </w:r>
      <w:r w:rsidRPr="00D5782D">
        <w:rPr>
          <w:rFonts w:ascii="Titillium" w:hAnsi="Titillium"/>
        </w:rPr>
        <w:t xml:space="preserve"> </w:t>
      </w:r>
      <w:r>
        <w:rPr>
          <w:rFonts w:ascii="Titillium" w:hAnsi="Titillium"/>
        </w:rPr>
        <w:t>Tier 2 visa holder</w:t>
      </w:r>
      <w:r w:rsidR="002F2D1D">
        <w:rPr>
          <w:rFonts w:ascii="Titillium" w:hAnsi="Titillium"/>
        </w:rPr>
        <w:t>’s</w:t>
      </w:r>
      <w:r>
        <w:rPr>
          <w:rFonts w:ascii="Titillium" w:hAnsi="Titillium"/>
        </w:rPr>
        <w:t xml:space="preserve"> </w:t>
      </w:r>
      <w:r w:rsidR="002F2D1D">
        <w:rPr>
          <w:rFonts w:ascii="Titillium" w:hAnsi="Titillium"/>
        </w:rPr>
        <w:t>right to work documentation</w:t>
      </w:r>
      <w:r>
        <w:rPr>
          <w:rFonts w:ascii="Titillium" w:hAnsi="Titillium"/>
        </w:rPr>
        <w:t xml:space="preserve"> and appointment paperwork.</w:t>
      </w:r>
    </w:p>
    <w:p w14:paraId="07926372" w14:textId="699E7F80" w:rsidR="00D5782D" w:rsidRPr="00D5782D" w:rsidRDefault="00D5782D" w:rsidP="00485A83">
      <w:pPr>
        <w:numPr>
          <w:ilvl w:val="0"/>
          <w:numId w:val="3"/>
        </w:numPr>
        <w:jc w:val="both"/>
        <w:rPr>
          <w:rFonts w:ascii="Titillium" w:hAnsi="Titillium"/>
        </w:rPr>
      </w:pPr>
      <w:r w:rsidRPr="00D5782D">
        <w:rPr>
          <w:rFonts w:ascii="Titillium" w:hAnsi="Titillium"/>
        </w:rPr>
        <w:t>Human Resource</w:t>
      </w:r>
      <w:r w:rsidR="00485A83">
        <w:rPr>
          <w:rFonts w:ascii="Titillium" w:hAnsi="Titillium"/>
        </w:rPr>
        <w:t>s</w:t>
      </w:r>
      <w:r w:rsidRPr="00D5782D">
        <w:rPr>
          <w:rFonts w:ascii="Titillium" w:hAnsi="Titillium"/>
        </w:rPr>
        <w:t xml:space="preserve"> </w:t>
      </w:r>
      <w:r w:rsidR="00485A83">
        <w:rPr>
          <w:rFonts w:ascii="Titillium" w:hAnsi="Titillium"/>
        </w:rPr>
        <w:t>will inform UK Visa &amp; Immigration of any changes to a Tier 2 visa holders circumstances.</w:t>
      </w:r>
    </w:p>
    <w:p w14:paraId="568C9021" w14:textId="1827F0D0" w:rsidR="00F06AC0" w:rsidRPr="00D5782D" w:rsidRDefault="00F06AC0" w:rsidP="00F06AC0">
      <w:pPr>
        <w:numPr>
          <w:ilvl w:val="0"/>
          <w:numId w:val="3"/>
        </w:numPr>
        <w:jc w:val="both"/>
        <w:rPr>
          <w:rFonts w:ascii="Titillium" w:hAnsi="Titillium"/>
        </w:rPr>
      </w:pPr>
      <w:r w:rsidRPr="00D5782D">
        <w:rPr>
          <w:rFonts w:ascii="Titillium" w:hAnsi="Titillium"/>
        </w:rPr>
        <w:t xml:space="preserve">Human Resources will contact the Tier </w:t>
      </w:r>
      <w:r>
        <w:rPr>
          <w:rFonts w:ascii="Titillium" w:hAnsi="Titillium"/>
        </w:rPr>
        <w:t>2</w:t>
      </w:r>
      <w:r w:rsidRPr="00D5782D">
        <w:rPr>
          <w:rFonts w:ascii="Titillium" w:hAnsi="Titillium"/>
        </w:rPr>
        <w:t xml:space="preserve"> </w:t>
      </w:r>
      <w:r>
        <w:rPr>
          <w:rFonts w:ascii="Titillium" w:hAnsi="Titillium"/>
        </w:rPr>
        <w:t xml:space="preserve">visa holder’s </w:t>
      </w:r>
      <w:r w:rsidRPr="00D5782D">
        <w:rPr>
          <w:rFonts w:ascii="Titillium" w:hAnsi="Titillium"/>
        </w:rPr>
        <w:t>line manage</w:t>
      </w:r>
      <w:r>
        <w:rPr>
          <w:rFonts w:ascii="Titillium" w:hAnsi="Titillium"/>
        </w:rPr>
        <w:t>r when their sponsorship is due to end.</w:t>
      </w:r>
    </w:p>
    <w:p w14:paraId="7A623B05" w14:textId="526D32B6" w:rsidR="00F06AC0" w:rsidRDefault="00485A83" w:rsidP="00D5782D">
      <w:pPr>
        <w:numPr>
          <w:ilvl w:val="0"/>
          <w:numId w:val="3"/>
        </w:numPr>
        <w:jc w:val="both"/>
        <w:rPr>
          <w:rFonts w:ascii="Titillium" w:hAnsi="Titillium"/>
        </w:rPr>
      </w:pPr>
      <w:r>
        <w:rPr>
          <w:rFonts w:ascii="Titillium" w:hAnsi="Titillium"/>
        </w:rPr>
        <w:t xml:space="preserve">Human Resources will meet with all Tier </w:t>
      </w:r>
      <w:r w:rsidR="0065386F">
        <w:rPr>
          <w:rFonts w:ascii="Titillium" w:hAnsi="Titillium"/>
        </w:rPr>
        <w:t>2</w:t>
      </w:r>
      <w:r>
        <w:rPr>
          <w:rFonts w:ascii="Titillium" w:hAnsi="Titillium"/>
        </w:rPr>
        <w:t xml:space="preserve"> visa holders on an annual basis to ensure that they continue to understand their responsibilities, adhere to the conditions of their stay and to check that their contact details are up to date.</w:t>
      </w:r>
    </w:p>
    <w:p w14:paraId="6AB293EC" w14:textId="010D3C52" w:rsidR="00D5782D" w:rsidRDefault="00D5782D" w:rsidP="00D5782D">
      <w:pPr>
        <w:rPr>
          <w:rFonts w:ascii="Titillium" w:hAnsi="Titillium"/>
          <w:b/>
          <w:u w:val="single"/>
        </w:rPr>
      </w:pPr>
      <w:r w:rsidRPr="00D5782D">
        <w:rPr>
          <w:rFonts w:ascii="Titillium" w:hAnsi="Titillium"/>
          <w:b/>
          <w:u w:val="single"/>
        </w:rPr>
        <w:t xml:space="preserve">Tier </w:t>
      </w:r>
      <w:r w:rsidR="009B29DE">
        <w:rPr>
          <w:rFonts w:ascii="Titillium" w:hAnsi="Titillium"/>
          <w:b/>
          <w:u w:val="single"/>
        </w:rPr>
        <w:t>2</w:t>
      </w:r>
      <w:r w:rsidRPr="00D5782D">
        <w:rPr>
          <w:rFonts w:ascii="Titillium" w:hAnsi="Titillium"/>
          <w:b/>
          <w:u w:val="single"/>
        </w:rPr>
        <w:t xml:space="preserve"> </w:t>
      </w:r>
      <w:r w:rsidR="00485A83">
        <w:rPr>
          <w:rFonts w:ascii="Titillium" w:hAnsi="Titillium"/>
          <w:b/>
          <w:u w:val="single"/>
        </w:rPr>
        <w:t>Visa Holder’s R</w:t>
      </w:r>
      <w:r w:rsidRPr="00D5782D">
        <w:rPr>
          <w:rFonts w:ascii="Titillium" w:hAnsi="Titillium"/>
          <w:b/>
          <w:u w:val="single"/>
        </w:rPr>
        <w:t xml:space="preserve">esponsibility </w:t>
      </w:r>
    </w:p>
    <w:p w14:paraId="1E326F1D" w14:textId="69799DA7" w:rsidR="00D034BF" w:rsidRPr="00D034BF" w:rsidRDefault="00D034BF" w:rsidP="00D5782D">
      <w:pPr>
        <w:numPr>
          <w:ilvl w:val="0"/>
          <w:numId w:val="3"/>
        </w:numPr>
        <w:jc w:val="both"/>
        <w:rPr>
          <w:rFonts w:ascii="Titillium" w:hAnsi="Titillium"/>
          <w:u w:val="single"/>
        </w:rPr>
      </w:pPr>
      <w:r w:rsidRPr="00D5782D">
        <w:rPr>
          <w:rFonts w:ascii="Titillium" w:hAnsi="Titillium"/>
        </w:rPr>
        <w:t xml:space="preserve">Tier </w:t>
      </w:r>
      <w:r>
        <w:rPr>
          <w:rFonts w:ascii="Titillium" w:hAnsi="Titillium"/>
        </w:rPr>
        <w:t>2</w:t>
      </w:r>
      <w:r w:rsidRPr="00D5782D">
        <w:rPr>
          <w:rFonts w:ascii="Titillium" w:hAnsi="Titillium"/>
        </w:rPr>
        <w:t xml:space="preserve"> </w:t>
      </w:r>
      <w:r>
        <w:rPr>
          <w:rFonts w:ascii="Titillium" w:hAnsi="Titillium"/>
        </w:rPr>
        <w:t>visa holders</w:t>
      </w:r>
      <w:r w:rsidRPr="00D5782D">
        <w:rPr>
          <w:rFonts w:ascii="Titillium" w:hAnsi="Titillium"/>
        </w:rPr>
        <w:t xml:space="preserve"> must ensure that they familiarise themselves with conditions of their stay </w:t>
      </w:r>
      <w:r>
        <w:rPr>
          <w:rFonts w:ascii="Titillium" w:hAnsi="Titillium"/>
        </w:rPr>
        <w:t xml:space="preserve">in line with </w:t>
      </w:r>
      <w:hyperlink r:id="rId8" w:history="1">
        <w:r w:rsidRPr="00D034BF">
          <w:rPr>
            <w:rStyle w:val="Hyperlink"/>
            <w:rFonts w:ascii="Titillium" w:hAnsi="Titillium"/>
          </w:rPr>
          <w:t>Home Office Guidance</w:t>
        </w:r>
      </w:hyperlink>
      <w:r w:rsidRPr="00D034BF">
        <w:rPr>
          <w:rFonts w:ascii="Titillium" w:hAnsi="Titillium"/>
        </w:rPr>
        <w:t>.</w:t>
      </w:r>
    </w:p>
    <w:p w14:paraId="0A538774" w14:textId="60C4B2D8" w:rsidR="00020C1F" w:rsidRPr="00D034BF" w:rsidRDefault="007F4E08" w:rsidP="00D034BF">
      <w:pPr>
        <w:numPr>
          <w:ilvl w:val="0"/>
          <w:numId w:val="3"/>
        </w:numPr>
        <w:rPr>
          <w:rFonts w:ascii="Titillium" w:hAnsi="Titillium"/>
        </w:rPr>
      </w:pPr>
      <w:r>
        <w:rPr>
          <w:rFonts w:ascii="Titillium" w:hAnsi="Titillium"/>
        </w:rPr>
        <w:t>Tier 2</w:t>
      </w:r>
      <w:r w:rsidR="00D5782D" w:rsidRPr="00D5782D">
        <w:rPr>
          <w:rFonts w:ascii="Titillium" w:hAnsi="Titillium"/>
        </w:rPr>
        <w:t xml:space="preserve"> </w:t>
      </w:r>
      <w:r w:rsidR="00485A83">
        <w:rPr>
          <w:rFonts w:ascii="Titillium" w:hAnsi="Titillium"/>
        </w:rPr>
        <w:t>visa holder</w:t>
      </w:r>
      <w:r w:rsidR="00D034BF">
        <w:rPr>
          <w:rFonts w:ascii="Titillium" w:hAnsi="Titillium"/>
        </w:rPr>
        <w:t>s</w:t>
      </w:r>
      <w:r w:rsidR="00D5782D" w:rsidRPr="00D5782D">
        <w:rPr>
          <w:rFonts w:ascii="Titillium" w:hAnsi="Titillium"/>
        </w:rPr>
        <w:t xml:space="preserve"> should inform Human Resources if their circumstances change, e.g. if they take up another role, stop working, or if there are any changes to their visa. If their contact details (address, telephone, email) change, they should also inform Human Resources as soon as possible on</w:t>
      </w:r>
      <w:r w:rsidR="00D5782D" w:rsidRPr="00D5782D">
        <w:rPr>
          <w:rFonts w:ascii="Titillium" w:hAnsi="Titillium"/>
          <w:u w:val="single"/>
        </w:rPr>
        <w:t xml:space="preserve"> </w:t>
      </w:r>
      <w:hyperlink r:id="rId9" w:history="1">
        <w:r w:rsidR="00D5782D" w:rsidRPr="00D5782D">
          <w:rPr>
            <w:rStyle w:val="Hyperlink"/>
            <w:rFonts w:ascii="Titillium" w:hAnsi="Titillium"/>
          </w:rPr>
          <w:t>humanresources@napier.ac.uk</w:t>
        </w:r>
      </w:hyperlink>
      <w:r w:rsidR="00D5782D" w:rsidRPr="00D5782D">
        <w:rPr>
          <w:rFonts w:ascii="Titillium" w:hAnsi="Titillium"/>
          <w:u w:val="single"/>
        </w:rPr>
        <w:t xml:space="preserve"> </w:t>
      </w:r>
      <w:r w:rsidR="00D5782D" w:rsidRPr="00D5782D">
        <w:rPr>
          <w:rFonts w:ascii="Titillium" w:hAnsi="Titillium"/>
        </w:rPr>
        <w:t>or 0131 455 3344.</w:t>
      </w:r>
    </w:p>
    <w:sectPr w:rsidR="00020C1F" w:rsidRPr="00D034B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1D09D" w14:textId="77777777" w:rsidR="00A32FAC" w:rsidRDefault="00A32FAC" w:rsidP="00A32FAC">
      <w:pPr>
        <w:spacing w:after="0" w:line="240" w:lineRule="auto"/>
      </w:pPr>
      <w:r>
        <w:separator/>
      </w:r>
    </w:p>
  </w:endnote>
  <w:endnote w:type="continuationSeparator" w:id="0">
    <w:p w14:paraId="2D99298B" w14:textId="77777777" w:rsidR="00A32FAC" w:rsidRDefault="00A32FAC" w:rsidP="00A3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69EC7" w14:textId="77777777" w:rsidR="00A32FAC" w:rsidRDefault="00A32FAC" w:rsidP="00A32FAC">
      <w:pPr>
        <w:spacing w:after="0" w:line="240" w:lineRule="auto"/>
      </w:pPr>
      <w:r>
        <w:separator/>
      </w:r>
    </w:p>
  </w:footnote>
  <w:footnote w:type="continuationSeparator" w:id="0">
    <w:p w14:paraId="28F46EA3" w14:textId="77777777" w:rsidR="00A32FAC" w:rsidRDefault="00A32FAC" w:rsidP="00A32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2892B" w14:textId="41A2DA5F" w:rsidR="00A32FAC" w:rsidRDefault="00A32FAC">
    <w:pPr>
      <w:pStyle w:val="Header"/>
    </w:pPr>
    <w:r w:rsidRPr="00640328">
      <w:rPr>
        <w:rFonts w:ascii="Titillium" w:hAnsi="Titillium"/>
        <w:noProof/>
        <w:color w:val="FFFFFF" w:themeColor="background1"/>
        <w:sz w:val="40"/>
        <w:szCs w:val="40"/>
        <w:lang w:eastAsia="en-GB"/>
      </w:rPr>
      <w:drawing>
        <wp:anchor distT="0" distB="0" distL="114300" distR="114300" simplePos="0" relativeHeight="251659264" behindDoc="1" locked="1" layoutInCell="1" allowOverlap="1" wp14:anchorId="1FA034DF" wp14:editId="0394FC13">
          <wp:simplePos x="0" y="0"/>
          <wp:positionH relativeFrom="page">
            <wp:align>left</wp:align>
          </wp:positionH>
          <wp:positionV relativeFrom="page">
            <wp:align>top</wp:align>
          </wp:positionV>
          <wp:extent cx="7559675" cy="194818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p w14:paraId="7C8013E0" w14:textId="156F0778" w:rsidR="00A32FAC" w:rsidRDefault="00592DE8" w:rsidP="00592DE8">
    <w:pPr>
      <w:pStyle w:val="Header"/>
      <w:tabs>
        <w:tab w:val="clear" w:pos="4513"/>
        <w:tab w:val="clear" w:pos="9026"/>
        <w:tab w:val="left" w:pos="3630"/>
      </w:tabs>
    </w:pPr>
    <w:r>
      <w:tab/>
    </w:r>
  </w:p>
  <w:p w14:paraId="5D273A2C" w14:textId="44EF8240" w:rsidR="00A32FAC" w:rsidRDefault="00A32FAC">
    <w:pPr>
      <w:pStyle w:val="Header"/>
    </w:pPr>
  </w:p>
  <w:p w14:paraId="3364AA0B" w14:textId="37DC24D7" w:rsidR="00A32FAC" w:rsidRDefault="00A32FAC">
    <w:pPr>
      <w:pStyle w:val="Header"/>
    </w:pPr>
  </w:p>
  <w:p w14:paraId="137E1277" w14:textId="66972835" w:rsidR="00A32FAC" w:rsidRDefault="00A32FAC">
    <w:pPr>
      <w:pStyle w:val="Header"/>
    </w:pPr>
  </w:p>
  <w:p w14:paraId="4FEE764F" w14:textId="0A3D949C" w:rsidR="00A32FAC" w:rsidRDefault="00A32FAC">
    <w:pPr>
      <w:pStyle w:val="Header"/>
    </w:pPr>
  </w:p>
  <w:p w14:paraId="777AEB54" w14:textId="77777777" w:rsidR="00A32FAC" w:rsidRDefault="00A32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725"/>
    <w:multiLevelType w:val="multilevel"/>
    <w:tmpl w:val="9C9A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B5F33"/>
    <w:multiLevelType w:val="hybridMultilevel"/>
    <w:tmpl w:val="28C46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256C63"/>
    <w:multiLevelType w:val="hybridMultilevel"/>
    <w:tmpl w:val="10E6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2A199A"/>
    <w:multiLevelType w:val="multilevel"/>
    <w:tmpl w:val="4210AE7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
        </w:tabs>
        <w:ind w:left="153" w:hanging="153"/>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5C"/>
    <w:rsid w:val="00014ECE"/>
    <w:rsid w:val="00020C1F"/>
    <w:rsid w:val="000E71F9"/>
    <w:rsid w:val="00115CC1"/>
    <w:rsid w:val="001F7739"/>
    <w:rsid w:val="002C645C"/>
    <w:rsid w:val="002F2D1D"/>
    <w:rsid w:val="00450942"/>
    <w:rsid w:val="00485A83"/>
    <w:rsid w:val="00486C9E"/>
    <w:rsid w:val="0049700A"/>
    <w:rsid w:val="004E5D55"/>
    <w:rsid w:val="004F6338"/>
    <w:rsid w:val="00592DE8"/>
    <w:rsid w:val="0065386F"/>
    <w:rsid w:val="006F3246"/>
    <w:rsid w:val="007162D2"/>
    <w:rsid w:val="007176FA"/>
    <w:rsid w:val="007F4E08"/>
    <w:rsid w:val="00815C30"/>
    <w:rsid w:val="008437B8"/>
    <w:rsid w:val="008916FB"/>
    <w:rsid w:val="008A3776"/>
    <w:rsid w:val="009B29DE"/>
    <w:rsid w:val="00A32FAC"/>
    <w:rsid w:val="00A7740D"/>
    <w:rsid w:val="00C95DB7"/>
    <w:rsid w:val="00D034BF"/>
    <w:rsid w:val="00D5782D"/>
    <w:rsid w:val="00E1075F"/>
    <w:rsid w:val="00E61B76"/>
    <w:rsid w:val="00ED78D8"/>
    <w:rsid w:val="00F06AC0"/>
    <w:rsid w:val="00FD5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BC01D6"/>
  <w15:chartTrackingRefBased/>
  <w15:docId w15:val="{5C0675DC-3FC9-4753-82C7-4F420712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07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45C"/>
    <w:rPr>
      <w:color w:val="0563C1" w:themeColor="hyperlink"/>
      <w:u w:val="single"/>
    </w:rPr>
  </w:style>
  <w:style w:type="character" w:customStyle="1" w:styleId="Heading2Char">
    <w:name w:val="Heading 2 Char"/>
    <w:basedOn w:val="DefaultParagraphFont"/>
    <w:link w:val="Heading2"/>
    <w:uiPriority w:val="9"/>
    <w:rsid w:val="00E1075F"/>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C95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B7"/>
    <w:rPr>
      <w:rFonts w:ascii="Segoe UI" w:hAnsi="Segoe UI" w:cs="Segoe UI"/>
      <w:sz w:val="18"/>
      <w:szCs w:val="18"/>
    </w:rPr>
  </w:style>
  <w:style w:type="character" w:styleId="CommentReference">
    <w:name w:val="annotation reference"/>
    <w:basedOn w:val="DefaultParagraphFont"/>
    <w:uiPriority w:val="99"/>
    <w:semiHidden/>
    <w:unhideWhenUsed/>
    <w:rsid w:val="00020C1F"/>
    <w:rPr>
      <w:sz w:val="16"/>
      <w:szCs w:val="16"/>
    </w:rPr>
  </w:style>
  <w:style w:type="paragraph" w:styleId="CommentText">
    <w:name w:val="annotation text"/>
    <w:basedOn w:val="Normal"/>
    <w:link w:val="CommentTextChar"/>
    <w:uiPriority w:val="99"/>
    <w:semiHidden/>
    <w:unhideWhenUsed/>
    <w:rsid w:val="00020C1F"/>
    <w:pPr>
      <w:spacing w:line="240" w:lineRule="auto"/>
    </w:pPr>
    <w:rPr>
      <w:sz w:val="20"/>
      <w:szCs w:val="20"/>
    </w:rPr>
  </w:style>
  <w:style w:type="character" w:customStyle="1" w:styleId="CommentTextChar">
    <w:name w:val="Comment Text Char"/>
    <w:basedOn w:val="DefaultParagraphFont"/>
    <w:link w:val="CommentText"/>
    <w:uiPriority w:val="99"/>
    <w:semiHidden/>
    <w:rsid w:val="00020C1F"/>
    <w:rPr>
      <w:sz w:val="20"/>
      <w:szCs w:val="20"/>
    </w:rPr>
  </w:style>
  <w:style w:type="paragraph" w:styleId="CommentSubject">
    <w:name w:val="annotation subject"/>
    <w:basedOn w:val="CommentText"/>
    <w:next w:val="CommentText"/>
    <w:link w:val="CommentSubjectChar"/>
    <w:uiPriority w:val="99"/>
    <w:semiHidden/>
    <w:unhideWhenUsed/>
    <w:rsid w:val="00020C1F"/>
    <w:rPr>
      <w:b/>
      <w:bCs/>
    </w:rPr>
  </w:style>
  <w:style w:type="character" w:customStyle="1" w:styleId="CommentSubjectChar">
    <w:name w:val="Comment Subject Char"/>
    <w:basedOn w:val="CommentTextChar"/>
    <w:link w:val="CommentSubject"/>
    <w:uiPriority w:val="99"/>
    <w:semiHidden/>
    <w:rsid w:val="00020C1F"/>
    <w:rPr>
      <w:b/>
      <w:bCs/>
      <w:sz w:val="20"/>
      <w:szCs w:val="20"/>
    </w:rPr>
  </w:style>
  <w:style w:type="paragraph" w:styleId="Header">
    <w:name w:val="header"/>
    <w:basedOn w:val="Normal"/>
    <w:link w:val="HeaderChar"/>
    <w:uiPriority w:val="99"/>
    <w:unhideWhenUsed/>
    <w:rsid w:val="00A32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FAC"/>
  </w:style>
  <w:style w:type="paragraph" w:styleId="Footer">
    <w:name w:val="footer"/>
    <w:basedOn w:val="Normal"/>
    <w:link w:val="FooterChar"/>
    <w:uiPriority w:val="99"/>
    <w:unhideWhenUsed/>
    <w:rsid w:val="00A32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FAC"/>
  </w:style>
  <w:style w:type="paragraph" w:styleId="ListParagraph">
    <w:name w:val="List Paragraph"/>
    <w:basedOn w:val="Normal"/>
    <w:uiPriority w:val="34"/>
    <w:qFormat/>
    <w:rsid w:val="008437B8"/>
    <w:pPr>
      <w:ind w:left="720"/>
      <w:contextualSpacing/>
    </w:pPr>
  </w:style>
  <w:style w:type="paragraph" w:styleId="Subtitle">
    <w:name w:val="Subtitle"/>
    <w:basedOn w:val="Normal"/>
    <w:link w:val="SubtitleChar"/>
    <w:qFormat/>
    <w:rsid w:val="00F06AC0"/>
    <w:pPr>
      <w:spacing w:after="0" w:line="240" w:lineRule="auto"/>
      <w:jc w:val="both"/>
    </w:pPr>
    <w:rPr>
      <w:rFonts w:ascii="Arial" w:eastAsia="Times New Roman" w:hAnsi="Arial" w:cs="Times New Roman"/>
      <w:b/>
      <w:szCs w:val="20"/>
    </w:rPr>
  </w:style>
  <w:style w:type="character" w:customStyle="1" w:styleId="SubtitleChar">
    <w:name w:val="Subtitle Char"/>
    <w:basedOn w:val="DefaultParagraphFont"/>
    <w:link w:val="Subtitle"/>
    <w:rsid w:val="00F06AC0"/>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2402">
      <w:bodyDiv w:val="1"/>
      <w:marLeft w:val="0"/>
      <w:marRight w:val="0"/>
      <w:marTop w:val="0"/>
      <w:marBottom w:val="0"/>
      <w:divBdr>
        <w:top w:val="none" w:sz="0" w:space="0" w:color="auto"/>
        <w:left w:val="none" w:sz="0" w:space="0" w:color="auto"/>
        <w:bottom w:val="none" w:sz="0" w:space="0" w:color="auto"/>
        <w:right w:val="none" w:sz="0" w:space="0" w:color="auto"/>
      </w:divBdr>
      <w:divsChild>
        <w:div w:id="50836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53725/Tier_2_Policy_Guidance_11_2018.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humanresources@napi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manresources@napier.ac.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47775FD2CE344198B7A6D8B2A7502E" ma:contentTypeVersion="65" ma:contentTypeDescription="Create a new document." ma:contentTypeScope="" ma:versionID="dcf484ddf89ef0b5facf39db9c665584">
  <xsd:schema xmlns:xsd="http://www.w3.org/2001/XMLSchema" xmlns:xs="http://www.w3.org/2001/XMLSchema" xmlns:p="http://schemas.microsoft.com/office/2006/metadata/properties" xmlns:ns1="http://schemas.microsoft.com/sharepoint/v3" targetNamespace="http://schemas.microsoft.com/office/2006/metadata/properties" ma:root="true" ma:fieldsID="7826087d7815a9902541b039da76a0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C0E84-3831-46F9-8008-034A5A9CBCC7}"/>
</file>

<file path=customXml/itemProps2.xml><?xml version="1.0" encoding="utf-8"?>
<ds:datastoreItem xmlns:ds="http://schemas.openxmlformats.org/officeDocument/2006/customXml" ds:itemID="{AF693C21-6B48-4126-B817-7A6C5DADA5AF}"/>
</file>

<file path=customXml/itemProps3.xml><?xml version="1.0" encoding="utf-8"?>
<ds:datastoreItem xmlns:ds="http://schemas.openxmlformats.org/officeDocument/2006/customXml" ds:itemID="{EC4AE1F1-7E33-40A6-8B7C-346594716AD9}"/>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Anna</dc:creator>
  <cp:keywords/>
  <dc:description/>
  <cp:lastModifiedBy>Chinengundu, Faith</cp:lastModifiedBy>
  <cp:revision>2</cp:revision>
  <cp:lastPrinted>2019-01-14T09:29:00Z</cp:lastPrinted>
  <dcterms:created xsi:type="dcterms:W3CDTF">2019-01-15T11:11:00Z</dcterms:created>
  <dcterms:modified xsi:type="dcterms:W3CDTF">2019-01-15T11:11:00Z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0x010100E347775FD2CE344198B7A6D8B2A7502E</vt:lpwstr>
  </property>
  <property fmtid="{D5CDD505-2E9C-101B-9397-08002B2CF9AE}" pid="3" name="Document Description">
    <vt:lpwstr/>
  </property>
  <property fmtid="{D5CDD505-2E9C-101B-9397-08002B2CF9AE}" pid="4" name="Document Keywords">
    <vt:lpwstr/>
  </property>
</Properties>
</file>