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EADEB" w14:textId="036AC943" w:rsidR="005E140F" w:rsidRDefault="004153C8">
      <w:pPr>
        <w:tabs>
          <w:tab w:val="left" w:pos="6088"/>
        </w:tabs>
        <w:ind w:left="-192"/>
        <w:rPr>
          <w:rFonts w:ascii="Times New Roman"/>
          <w:sz w:val="20"/>
        </w:rPr>
      </w:pPr>
      <w:r>
        <w:rPr>
          <w:rFonts w:ascii="Times New Roman"/>
          <w:sz w:val="20"/>
        </w:rPr>
        <w:tab/>
      </w:r>
      <w:r w:rsidR="00C84745">
        <w:rPr>
          <w:rFonts w:ascii="Times New Roman"/>
          <w:noProof/>
          <w:sz w:val="20"/>
        </w:rPr>
        <w:drawing>
          <wp:inline distT="0" distB="0" distL="0" distR="0" wp14:anchorId="32B7BE3F" wp14:editId="41D273E2">
            <wp:extent cx="2538989" cy="768098"/>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8989" cy="768098"/>
                    </a:xfrm>
                    <a:prstGeom prst="rect">
                      <a:avLst/>
                    </a:prstGeom>
                  </pic:spPr>
                </pic:pic>
              </a:graphicData>
            </a:graphic>
          </wp:inline>
        </w:drawing>
      </w:r>
    </w:p>
    <w:p w14:paraId="72C2F419" w14:textId="77777777" w:rsidR="005E140F" w:rsidRDefault="005E140F">
      <w:pPr>
        <w:pStyle w:val="BodyText"/>
        <w:rPr>
          <w:rFonts w:ascii="Times New Roman"/>
          <w:sz w:val="20"/>
        </w:rPr>
      </w:pPr>
    </w:p>
    <w:p w14:paraId="3C1B5A38" w14:textId="77777777" w:rsidR="005E140F" w:rsidRDefault="005E140F">
      <w:pPr>
        <w:pStyle w:val="BodyText"/>
        <w:rPr>
          <w:rFonts w:ascii="Times New Roman"/>
          <w:sz w:val="20"/>
        </w:rPr>
      </w:pPr>
    </w:p>
    <w:p w14:paraId="0060E8FE" w14:textId="77777777" w:rsidR="005E140F" w:rsidRDefault="005E140F">
      <w:pPr>
        <w:pStyle w:val="BodyText"/>
        <w:rPr>
          <w:rFonts w:ascii="Times New Roman"/>
          <w:sz w:val="20"/>
        </w:rPr>
      </w:pPr>
    </w:p>
    <w:p w14:paraId="20D7192A" w14:textId="77777777" w:rsidR="005E140F" w:rsidRDefault="005E140F">
      <w:pPr>
        <w:pStyle w:val="BodyText"/>
        <w:rPr>
          <w:rFonts w:ascii="Times New Roman"/>
          <w:sz w:val="20"/>
        </w:rPr>
      </w:pPr>
    </w:p>
    <w:p w14:paraId="76ED1F45" w14:textId="77777777" w:rsidR="005E140F" w:rsidRDefault="005E140F">
      <w:pPr>
        <w:pStyle w:val="BodyText"/>
        <w:rPr>
          <w:rFonts w:ascii="Times New Roman"/>
          <w:sz w:val="20"/>
        </w:rPr>
      </w:pPr>
    </w:p>
    <w:p w14:paraId="01D59F71" w14:textId="77777777" w:rsidR="005E140F" w:rsidRDefault="005E140F">
      <w:pPr>
        <w:pStyle w:val="BodyText"/>
        <w:rPr>
          <w:rFonts w:ascii="Times New Roman"/>
          <w:sz w:val="20"/>
        </w:rPr>
      </w:pPr>
    </w:p>
    <w:p w14:paraId="7B5271D0" w14:textId="77777777" w:rsidR="005E140F" w:rsidRDefault="005E140F">
      <w:pPr>
        <w:pStyle w:val="BodyText"/>
        <w:rPr>
          <w:rFonts w:ascii="Times New Roman"/>
          <w:sz w:val="20"/>
        </w:rPr>
      </w:pPr>
    </w:p>
    <w:p w14:paraId="24E52882" w14:textId="77777777" w:rsidR="005E140F" w:rsidRDefault="005E140F">
      <w:pPr>
        <w:pStyle w:val="BodyText"/>
        <w:rPr>
          <w:rFonts w:ascii="Times New Roman"/>
          <w:sz w:val="20"/>
        </w:rPr>
      </w:pPr>
    </w:p>
    <w:p w14:paraId="064FDC05" w14:textId="2B895FD9" w:rsidR="005E140F" w:rsidRDefault="005E140F">
      <w:pPr>
        <w:pStyle w:val="BodyText"/>
        <w:rPr>
          <w:rFonts w:ascii="Times New Roman"/>
          <w:sz w:val="20"/>
        </w:rPr>
      </w:pPr>
    </w:p>
    <w:p w14:paraId="40B868A9" w14:textId="77777777" w:rsidR="005E140F" w:rsidRDefault="005E140F">
      <w:pPr>
        <w:pStyle w:val="BodyText"/>
        <w:spacing w:before="9"/>
        <w:rPr>
          <w:rFonts w:ascii="Times New Roman"/>
          <w:sz w:val="24"/>
        </w:rPr>
      </w:pPr>
    </w:p>
    <w:p w14:paraId="7D93E1C0" w14:textId="77777777" w:rsidR="005E140F" w:rsidRDefault="00000000">
      <w:pPr>
        <w:pStyle w:val="Title"/>
        <w:spacing w:line="302" w:lineRule="auto"/>
      </w:pPr>
      <w:r>
        <w:t>Outgoing Exchange Student Policy &amp; Procedure</w:t>
      </w:r>
    </w:p>
    <w:p w14:paraId="2D487218" w14:textId="77777777" w:rsidR="005E140F" w:rsidRDefault="005E140F">
      <w:pPr>
        <w:spacing w:line="302" w:lineRule="auto"/>
        <w:sectPr w:rsidR="005E140F">
          <w:footerReference w:type="default" r:id="rId8"/>
          <w:type w:val="continuous"/>
          <w:pgSz w:w="11910" w:h="16840"/>
          <w:pgMar w:top="1040" w:right="460" w:bottom="1600" w:left="540" w:header="0" w:footer="1408" w:gutter="0"/>
          <w:pgNumType w:start="1"/>
          <w:cols w:space="720"/>
        </w:sectPr>
      </w:pPr>
    </w:p>
    <w:p w14:paraId="4F4DD98F" w14:textId="66A25AA2" w:rsidR="005E140F" w:rsidRDefault="005E140F">
      <w:pPr>
        <w:pStyle w:val="BodyText"/>
        <w:ind w:left="-192"/>
        <w:rPr>
          <w:sz w:val="20"/>
        </w:rPr>
      </w:pPr>
    </w:p>
    <w:p w14:paraId="167911FF" w14:textId="77777777" w:rsidR="00410B24" w:rsidRDefault="00410B24">
      <w:pPr>
        <w:pStyle w:val="BodyText"/>
        <w:ind w:left="-192"/>
        <w:rPr>
          <w:sz w:val="20"/>
        </w:rPr>
      </w:pPr>
    </w:p>
    <w:p w14:paraId="78A030CA" w14:textId="77777777" w:rsidR="005E140F" w:rsidRDefault="005E140F">
      <w:pPr>
        <w:pStyle w:val="BodyText"/>
        <w:spacing w:before="11"/>
        <w:rPr>
          <w:b/>
        </w:rPr>
      </w:pPr>
    </w:p>
    <w:p w14:paraId="347CC087" w14:textId="77777777" w:rsidR="005E140F" w:rsidRDefault="00000000">
      <w:pPr>
        <w:spacing w:before="38"/>
        <w:ind w:left="864"/>
        <w:rPr>
          <w:sz w:val="31"/>
        </w:rPr>
      </w:pPr>
      <w:r>
        <w:rPr>
          <w:color w:val="365E90"/>
          <w:sz w:val="31"/>
        </w:rPr>
        <w:t>Table</w:t>
      </w:r>
      <w:r>
        <w:rPr>
          <w:color w:val="365E90"/>
          <w:spacing w:val="-2"/>
          <w:sz w:val="31"/>
        </w:rPr>
        <w:t xml:space="preserve"> </w:t>
      </w:r>
      <w:r>
        <w:rPr>
          <w:color w:val="365E90"/>
          <w:sz w:val="31"/>
        </w:rPr>
        <w:t>of</w:t>
      </w:r>
      <w:r>
        <w:rPr>
          <w:color w:val="365E90"/>
          <w:spacing w:val="1"/>
          <w:sz w:val="31"/>
        </w:rPr>
        <w:t xml:space="preserve"> </w:t>
      </w:r>
      <w:r>
        <w:rPr>
          <w:color w:val="365E90"/>
          <w:spacing w:val="-2"/>
          <w:sz w:val="31"/>
        </w:rPr>
        <w:t>Contents</w:t>
      </w:r>
    </w:p>
    <w:p w14:paraId="30F2BA5C" w14:textId="77777777" w:rsidR="005E140F" w:rsidRDefault="005E140F">
      <w:pPr>
        <w:rPr>
          <w:sz w:val="31"/>
        </w:rPr>
        <w:sectPr w:rsidR="005E140F">
          <w:footerReference w:type="default" r:id="rId9"/>
          <w:pgSz w:w="11910" w:h="16840"/>
          <w:pgMar w:top="1040" w:right="460" w:bottom="3098" w:left="540" w:header="0" w:footer="1408" w:gutter="0"/>
          <w:cols w:space="720"/>
        </w:sectPr>
      </w:pPr>
    </w:p>
    <w:sdt>
      <w:sdtPr>
        <w:id w:val="1548018120"/>
        <w:docPartObj>
          <w:docPartGallery w:val="Table of Contents"/>
          <w:docPartUnique/>
        </w:docPartObj>
      </w:sdtPr>
      <w:sdtContent>
        <w:p w14:paraId="6AE4218D" w14:textId="77777777" w:rsidR="005E140F" w:rsidRDefault="00000000">
          <w:pPr>
            <w:pStyle w:val="TOC2"/>
            <w:numPr>
              <w:ilvl w:val="0"/>
              <w:numId w:val="5"/>
            </w:numPr>
            <w:tabs>
              <w:tab w:val="left" w:pos="1291"/>
              <w:tab w:val="left" w:pos="1292"/>
              <w:tab w:val="right" w:leader="dot" w:pos="9964"/>
            </w:tabs>
            <w:spacing w:before="34"/>
            <w:ind w:hanging="429"/>
            <w:rPr>
              <w:rFonts w:ascii="Arial MT"/>
              <w:b w:val="0"/>
            </w:rPr>
          </w:pPr>
          <w:hyperlink w:anchor="_TOC_250039" w:history="1">
            <w:r>
              <w:rPr>
                <w:spacing w:val="-2"/>
              </w:rPr>
              <w:t>Background</w:t>
            </w:r>
            <w:r>
              <w:rPr>
                <w:rFonts w:ascii="Times New Roman"/>
                <w:b w:val="0"/>
              </w:rPr>
              <w:tab/>
            </w:r>
            <w:r>
              <w:rPr>
                <w:rFonts w:ascii="Arial MT"/>
                <w:b w:val="0"/>
                <w:spacing w:val="-10"/>
              </w:rPr>
              <w:t>4</w:t>
            </w:r>
          </w:hyperlink>
        </w:p>
        <w:p w14:paraId="4CE81F06" w14:textId="77777777" w:rsidR="005E140F" w:rsidRDefault="00000000">
          <w:pPr>
            <w:pStyle w:val="TOC2"/>
            <w:numPr>
              <w:ilvl w:val="0"/>
              <w:numId w:val="5"/>
            </w:numPr>
            <w:tabs>
              <w:tab w:val="left" w:pos="1291"/>
              <w:tab w:val="left" w:pos="1292"/>
              <w:tab w:val="right" w:leader="dot" w:pos="9963"/>
            </w:tabs>
            <w:ind w:hanging="429"/>
            <w:rPr>
              <w:rFonts w:ascii="Arial MT"/>
              <w:b w:val="0"/>
            </w:rPr>
          </w:pPr>
          <w:hyperlink w:anchor="_TOC_250038" w:history="1">
            <w:r>
              <w:t>Summary</w:t>
            </w:r>
            <w:r>
              <w:rPr>
                <w:spacing w:val="10"/>
              </w:rPr>
              <w:t xml:space="preserve"> </w:t>
            </w:r>
            <w:r>
              <w:t>of</w:t>
            </w:r>
            <w:r>
              <w:rPr>
                <w:spacing w:val="5"/>
              </w:rPr>
              <w:t xml:space="preserve"> </w:t>
            </w:r>
            <w:r>
              <w:rPr>
                <w:spacing w:val="-2"/>
              </w:rPr>
              <w:t>changes</w:t>
            </w:r>
            <w:r>
              <w:rPr>
                <w:rFonts w:ascii="Times New Roman"/>
                <w:b w:val="0"/>
              </w:rPr>
              <w:tab/>
            </w:r>
            <w:r>
              <w:rPr>
                <w:rFonts w:ascii="Arial MT"/>
                <w:b w:val="0"/>
                <w:spacing w:val="-10"/>
              </w:rPr>
              <w:t>4</w:t>
            </w:r>
          </w:hyperlink>
        </w:p>
        <w:p w14:paraId="7FFB0C4E" w14:textId="77777777" w:rsidR="005E140F" w:rsidRDefault="00000000">
          <w:pPr>
            <w:pStyle w:val="TOC2"/>
            <w:numPr>
              <w:ilvl w:val="0"/>
              <w:numId w:val="5"/>
            </w:numPr>
            <w:tabs>
              <w:tab w:val="left" w:pos="1291"/>
              <w:tab w:val="left" w:pos="1292"/>
              <w:tab w:val="right" w:leader="dot" w:pos="9964"/>
            </w:tabs>
            <w:spacing w:before="41"/>
            <w:ind w:hanging="429"/>
            <w:rPr>
              <w:rFonts w:ascii="Arial MT"/>
              <w:b w:val="0"/>
            </w:rPr>
          </w:pPr>
          <w:hyperlink w:anchor="_TOC_250037" w:history="1">
            <w:r>
              <w:t>Forcible</w:t>
            </w:r>
            <w:r>
              <w:rPr>
                <w:spacing w:val="6"/>
              </w:rPr>
              <w:t xml:space="preserve"> </w:t>
            </w:r>
            <w:r>
              <w:t>withdrawal</w:t>
            </w:r>
            <w:r>
              <w:rPr>
                <w:spacing w:val="10"/>
              </w:rPr>
              <w:t xml:space="preserve"> </w:t>
            </w:r>
            <w:r>
              <w:t>of</w:t>
            </w:r>
            <w:r>
              <w:rPr>
                <w:spacing w:val="8"/>
              </w:rPr>
              <w:t xml:space="preserve"> </w:t>
            </w:r>
            <w:r>
              <w:t>mobility</w:t>
            </w:r>
            <w:r>
              <w:rPr>
                <w:spacing w:val="9"/>
              </w:rPr>
              <w:t xml:space="preserve"> </w:t>
            </w:r>
            <w:r>
              <w:rPr>
                <w:spacing w:val="-2"/>
              </w:rPr>
              <w:t>periods</w:t>
            </w:r>
            <w:r>
              <w:rPr>
                <w:rFonts w:ascii="Times New Roman"/>
                <w:b w:val="0"/>
              </w:rPr>
              <w:tab/>
            </w:r>
            <w:r>
              <w:rPr>
                <w:rFonts w:ascii="Arial MT"/>
                <w:b w:val="0"/>
                <w:spacing w:val="-10"/>
              </w:rPr>
              <w:t>5</w:t>
            </w:r>
          </w:hyperlink>
        </w:p>
        <w:p w14:paraId="5D141873" w14:textId="77777777" w:rsidR="005E140F" w:rsidRDefault="00000000">
          <w:pPr>
            <w:pStyle w:val="TOC2"/>
            <w:numPr>
              <w:ilvl w:val="0"/>
              <w:numId w:val="5"/>
            </w:numPr>
            <w:tabs>
              <w:tab w:val="left" w:pos="1291"/>
              <w:tab w:val="left" w:pos="1292"/>
              <w:tab w:val="right" w:leader="dot" w:pos="9963"/>
            </w:tabs>
            <w:ind w:hanging="429"/>
            <w:rPr>
              <w:rFonts w:ascii="Arial MT"/>
              <w:b w:val="0"/>
            </w:rPr>
          </w:pPr>
          <w:hyperlink w:anchor="_TOC_250036" w:history="1">
            <w:r>
              <w:t>Funding</w:t>
            </w:r>
            <w:r>
              <w:rPr>
                <w:spacing w:val="8"/>
              </w:rPr>
              <w:t xml:space="preserve"> </w:t>
            </w:r>
            <w:r>
              <w:t>your</w:t>
            </w:r>
            <w:r>
              <w:rPr>
                <w:spacing w:val="7"/>
              </w:rPr>
              <w:t xml:space="preserve"> </w:t>
            </w:r>
            <w:r>
              <w:rPr>
                <w:spacing w:val="-2"/>
              </w:rPr>
              <w:t>exchange</w:t>
            </w:r>
            <w:r>
              <w:rPr>
                <w:rFonts w:ascii="Times New Roman"/>
                <w:b w:val="0"/>
              </w:rPr>
              <w:tab/>
            </w:r>
            <w:r>
              <w:rPr>
                <w:rFonts w:ascii="Arial MT"/>
                <w:b w:val="0"/>
                <w:spacing w:val="-10"/>
              </w:rPr>
              <w:t>6</w:t>
            </w:r>
          </w:hyperlink>
        </w:p>
        <w:p w14:paraId="66FAE764" w14:textId="77777777" w:rsidR="005E140F" w:rsidRDefault="00000000">
          <w:pPr>
            <w:pStyle w:val="TOC2"/>
            <w:numPr>
              <w:ilvl w:val="0"/>
              <w:numId w:val="5"/>
            </w:numPr>
            <w:tabs>
              <w:tab w:val="left" w:pos="1291"/>
              <w:tab w:val="left" w:pos="1292"/>
              <w:tab w:val="right" w:leader="dot" w:pos="9964"/>
            </w:tabs>
            <w:spacing w:before="44"/>
            <w:ind w:hanging="429"/>
            <w:rPr>
              <w:rFonts w:ascii="Arial MT"/>
              <w:b w:val="0"/>
            </w:rPr>
          </w:pPr>
          <w:hyperlink w:anchor="_TOC_250035" w:history="1">
            <w:r>
              <w:t>Applying</w:t>
            </w:r>
            <w:r>
              <w:rPr>
                <w:spacing w:val="8"/>
              </w:rPr>
              <w:t xml:space="preserve"> </w:t>
            </w:r>
            <w:r>
              <w:t>for</w:t>
            </w:r>
            <w:r>
              <w:rPr>
                <w:spacing w:val="5"/>
              </w:rPr>
              <w:t xml:space="preserve"> </w:t>
            </w:r>
            <w:r>
              <w:t>an</w:t>
            </w:r>
            <w:r>
              <w:rPr>
                <w:spacing w:val="5"/>
              </w:rPr>
              <w:t xml:space="preserve"> </w:t>
            </w:r>
            <w:r>
              <w:rPr>
                <w:spacing w:val="-2"/>
              </w:rPr>
              <w:t>exchange</w:t>
            </w:r>
            <w:r>
              <w:rPr>
                <w:rFonts w:ascii="Times New Roman"/>
                <w:b w:val="0"/>
              </w:rPr>
              <w:tab/>
            </w:r>
            <w:r>
              <w:rPr>
                <w:rFonts w:ascii="Arial MT"/>
                <w:b w:val="0"/>
                <w:spacing w:val="-10"/>
              </w:rPr>
              <w:t>6</w:t>
            </w:r>
          </w:hyperlink>
        </w:p>
        <w:p w14:paraId="428BCB95" w14:textId="77777777" w:rsidR="005E140F" w:rsidRDefault="00000000">
          <w:pPr>
            <w:pStyle w:val="TOC3"/>
            <w:tabs>
              <w:tab w:val="right" w:leader="dot" w:pos="9965"/>
            </w:tabs>
            <w:spacing w:before="142"/>
            <w:rPr>
              <w:rFonts w:ascii="Arial MT"/>
              <w:b w:val="0"/>
            </w:rPr>
          </w:pPr>
          <w:r>
            <w:t>Selection</w:t>
          </w:r>
          <w:r>
            <w:rPr>
              <w:spacing w:val="10"/>
            </w:rPr>
            <w:t xml:space="preserve"> </w:t>
          </w:r>
          <w:r>
            <w:t>and</w:t>
          </w:r>
          <w:r>
            <w:rPr>
              <w:spacing w:val="8"/>
            </w:rPr>
            <w:t xml:space="preserve"> </w:t>
          </w:r>
          <w:r>
            <w:t>Allocation</w:t>
          </w:r>
          <w:r>
            <w:rPr>
              <w:spacing w:val="8"/>
            </w:rPr>
            <w:t xml:space="preserve"> </w:t>
          </w:r>
          <w:r>
            <w:rPr>
              <w:spacing w:val="-2"/>
            </w:rPr>
            <w:t>Criteria</w:t>
          </w:r>
          <w:r>
            <w:rPr>
              <w:rFonts w:ascii="Times New Roman"/>
              <w:b w:val="0"/>
            </w:rPr>
            <w:tab/>
          </w:r>
          <w:r>
            <w:rPr>
              <w:rFonts w:ascii="Arial MT"/>
              <w:b w:val="0"/>
              <w:spacing w:val="-10"/>
            </w:rPr>
            <w:t>8</w:t>
          </w:r>
        </w:p>
        <w:p w14:paraId="080DEE52" w14:textId="77777777" w:rsidR="005E140F" w:rsidRDefault="00000000">
          <w:pPr>
            <w:pStyle w:val="TOC3"/>
            <w:tabs>
              <w:tab w:val="right" w:leader="dot" w:pos="9964"/>
            </w:tabs>
            <w:rPr>
              <w:rFonts w:ascii="Arial MT"/>
              <w:b w:val="0"/>
            </w:rPr>
          </w:pPr>
          <w:hyperlink w:anchor="_TOC_250034" w:history="1">
            <w:r>
              <w:t>Completing</w:t>
            </w:r>
            <w:r>
              <w:rPr>
                <w:spacing w:val="10"/>
              </w:rPr>
              <w:t xml:space="preserve"> </w:t>
            </w:r>
            <w:r>
              <w:t>the</w:t>
            </w:r>
            <w:r>
              <w:rPr>
                <w:spacing w:val="10"/>
              </w:rPr>
              <w:t xml:space="preserve"> </w:t>
            </w:r>
            <w:r>
              <w:t>application</w:t>
            </w:r>
            <w:r>
              <w:rPr>
                <w:spacing w:val="9"/>
              </w:rPr>
              <w:t xml:space="preserve"> </w:t>
            </w:r>
            <w:r>
              <w:rPr>
                <w:spacing w:val="-4"/>
              </w:rPr>
              <w:t>form</w:t>
            </w:r>
            <w:r>
              <w:rPr>
                <w:rFonts w:ascii="Times New Roman"/>
                <w:b w:val="0"/>
              </w:rPr>
              <w:tab/>
            </w:r>
            <w:r>
              <w:rPr>
                <w:rFonts w:ascii="Arial MT"/>
                <w:b w:val="0"/>
                <w:spacing w:val="-5"/>
              </w:rPr>
              <w:t>10</w:t>
            </w:r>
          </w:hyperlink>
        </w:p>
        <w:p w14:paraId="197C7571" w14:textId="77777777" w:rsidR="005E140F" w:rsidRDefault="00000000">
          <w:pPr>
            <w:pStyle w:val="TOC3"/>
            <w:tabs>
              <w:tab w:val="right" w:leader="dot" w:pos="9963"/>
            </w:tabs>
            <w:spacing w:before="43"/>
            <w:rPr>
              <w:rFonts w:ascii="Arial MT"/>
              <w:b w:val="0"/>
            </w:rPr>
          </w:pPr>
          <w:hyperlink w:anchor="_TOC_250033" w:history="1">
            <w:r>
              <w:t>Academic</w:t>
            </w:r>
            <w:r>
              <w:rPr>
                <w:spacing w:val="10"/>
              </w:rPr>
              <w:t xml:space="preserve"> </w:t>
            </w:r>
            <w:r>
              <w:t>aspects</w:t>
            </w:r>
            <w:r>
              <w:rPr>
                <w:spacing w:val="8"/>
              </w:rPr>
              <w:t xml:space="preserve"> </w:t>
            </w:r>
            <w:r>
              <w:t>of</w:t>
            </w:r>
            <w:r>
              <w:rPr>
                <w:spacing w:val="5"/>
              </w:rPr>
              <w:t xml:space="preserve"> </w:t>
            </w:r>
            <w:r>
              <w:t>your</w:t>
            </w:r>
            <w:r>
              <w:rPr>
                <w:spacing w:val="8"/>
              </w:rPr>
              <w:t xml:space="preserve"> </w:t>
            </w:r>
            <w:r>
              <w:rPr>
                <w:spacing w:val="-2"/>
              </w:rPr>
              <w:t>exchange</w:t>
            </w:r>
            <w:r>
              <w:rPr>
                <w:rFonts w:ascii="Times New Roman"/>
                <w:b w:val="0"/>
              </w:rPr>
              <w:tab/>
            </w:r>
            <w:r>
              <w:rPr>
                <w:rFonts w:ascii="Arial MT"/>
                <w:b w:val="0"/>
                <w:spacing w:val="-5"/>
              </w:rPr>
              <w:t>11</w:t>
            </w:r>
          </w:hyperlink>
        </w:p>
        <w:p w14:paraId="56B225A0" w14:textId="77777777" w:rsidR="005E140F" w:rsidRDefault="00000000">
          <w:pPr>
            <w:pStyle w:val="TOC6"/>
            <w:tabs>
              <w:tab w:val="right" w:leader="dot" w:pos="9964"/>
            </w:tabs>
            <w:rPr>
              <w:rFonts w:ascii="Arial MT"/>
              <w:b w:val="0"/>
              <w:i w:val="0"/>
              <w:sz w:val="21"/>
            </w:rPr>
          </w:pPr>
          <w:hyperlink w:anchor="_TOC_250032" w:history="1">
            <w:r>
              <w:rPr>
                <w:i w:val="0"/>
                <w:spacing w:val="-2"/>
                <w:sz w:val="21"/>
              </w:rPr>
              <w:t>Credit</w:t>
            </w:r>
            <w:r>
              <w:rPr>
                <w:rFonts w:ascii="Times New Roman"/>
                <w:b w:val="0"/>
                <w:i w:val="0"/>
                <w:sz w:val="21"/>
              </w:rPr>
              <w:tab/>
            </w:r>
            <w:r>
              <w:rPr>
                <w:rFonts w:ascii="Arial MT"/>
                <w:b w:val="0"/>
                <w:i w:val="0"/>
                <w:spacing w:val="-5"/>
                <w:sz w:val="21"/>
              </w:rPr>
              <w:t>11</w:t>
            </w:r>
          </w:hyperlink>
        </w:p>
        <w:p w14:paraId="0B5A4019" w14:textId="77777777" w:rsidR="005E140F" w:rsidRDefault="00000000">
          <w:pPr>
            <w:pStyle w:val="TOC5"/>
            <w:tabs>
              <w:tab w:val="right" w:leader="dot" w:pos="9963"/>
            </w:tabs>
            <w:spacing w:before="44"/>
            <w:rPr>
              <w:rFonts w:ascii="Arial MT"/>
              <w:b w:val="0"/>
            </w:rPr>
          </w:pPr>
          <w:hyperlink w:anchor="_TOC_250031" w:history="1">
            <w:r>
              <w:t>Module</w:t>
            </w:r>
            <w:r>
              <w:rPr>
                <w:spacing w:val="9"/>
              </w:rPr>
              <w:t xml:space="preserve"> </w:t>
            </w:r>
            <w:r>
              <w:rPr>
                <w:spacing w:val="-2"/>
              </w:rPr>
              <w:t>choices</w:t>
            </w:r>
            <w:r>
              <w:rPr>
                <w:rFonts w:ascii="Times New Roman"/>
                <w:b w:val="0"/>
              </w:rPr>
              <w:tab/>
            </w:r>
            <w:r>
              <w:rPr>
                <w:rFonts w:ascii="Arial MT"/>
                <w:b w:val="0"/>
                <w:spacing w:val="-5"/>
              </w:rPr>
              <w:t>11</w:t>
            </w:r>
          </w:hyperlink>
        </w:p>
        <w:p w14:paraId="2059B1D0" w14:textId="77777777" w:rsidR="005E140F" w:rsidRDefault="00000000">
          <w:pPr>
            <w:pStyle w:val="TOC5"/>
            <w:tabs>
              <w:tab w:val="right" w:leader="dot" w:pos="9964"/>
            </w:tabs>
            <w:rPr>
              <w:rFonts w:ascii="Arial MT"/>
              <w:b w:val="0"/>
            </w:rPr>
          </w:pPr>
          <w:hyperlink w:anchor="_TOC_250030" w:history="1">
            <w:r>
              <w:t>Students</w:t>
            </w:r>
            <w:r>
              <w:rPr>
                <w:spacing w:val="8"/>
              </w:rPr>
              <w:t xml:space="preserve"> </w:t>
            </w:r>
            <w:r>
              <w:t>carrying</w:t>
            </w:r>
            <w:r>
              <w:rPr>
                <w:spacing w:val="12"/>
              </w:rPr>
              <w:t xml:space="preserve"> </w:t>
            </w:r>
            <w:r>
              <w:rPr>
                <w:spacing w:val="-4"/>
              </w:rPr>
              <w:t>fails</w:t>
            </w:r>
            <w:r>
              <w:rPr>
                <w:rFonts w:ascii="Times New Roman"/>
                <w:b w:val="0"/>
              </w:rPr>
              <w:tab/>
            </w:r>
            <w:r>
              <w:rPr>
                <w:rFonts w:ascii="Arial MT"/>
                <w:b w:val="0"/>
                <w:spacing w:val="-5"/>
              </w:rPr>
              <w:t>11</w:t>
            </w:r>
          </w:hyperlink>
        </w:p>
        <w:p w14:paraId="2C072AEA" w14:textId="77777777" w:rsidR="005E140F" w:rsidRDefault="00000000">
          <w:pPr>
            <w:pStyle w:val="TOC5"/>
            <w:tabs>
              <w:tab w:val="right" w:leader="dot" w:pos="9964"/>
            </w:tabs>
            <w:spacing w:before="44"/>
            <w:rPr>
              <w:rFonts w:ascii="Arial MT"/>
              <w:b w:val="0"/>
            </w:rPr>
          </w:pPr>
          <w:hyperlink w:anchor="_TOC_250029" w:history="1">
            <w:r>
              <w:t>Exchange</w:t>
            </w:r>
            <w:r>
              <w:rPr>
                <w:spacing w:val="13"/>
              </w:rPr>
              <w:t xml:space="preserve"> </w:t>
            </w:r>
            <w:r>
              <w:rPr>
                <w:spacing w:val="-2"/>
              </w:rPr>
              <w:t>periods</w:t>
            </w:r>
            <w:r>
              <w:rPr>
                <w:rFonts w:ascii="Times New Roman"/>
                <w:b w:val="0"/>
              </w:rPr>
              <w:tab/>
            </w:r>
            <w:r>
              <w:rPr>
                <w:rFonts w:ascii="Arial MT"/>
                <w:b w:val="0"/>
                <w:spacing w:val="-5"/>
              </w:rPr>
              <w:t>12</w:t>
            </w:r>
          </w:hyperlink>
        </w:p>
        <w:p w14:paraId="2A062F3F" w14:textId="77777777" w:rsidR="005E140F" w:rsidRDefault="00000000">
          <w:pPr>
            <w:pStyle w:val="TOC5"/>
            <w:tabs>
              <w:tab w:val="right" w:leader="dot" w:pos="9963"/>
            </w:tabs>
            <w:rPr>
              <w:rFonts w:ascii="Arial MT"/>
              <w:b w:val="0"/>
            </w:rPr>
          </w:pPr>
          <w:hyperlink w:anchor="_TOC_250028" w:history="1">
            <w:r>
              <w:t>Direct</w:t>
            </w:r>
            <w:r>
              <w:rPr>
                <w:spacing w:val="8"/>
              </w:rPr>
              <w:t xml:space="preserve"> </w:t>
            </w:r>
            <w:r>
              <w:rPr>
                <w:spacing w:val="-2"/>
              </w:rPr>
              <w:t>entrants</w:t>
            </w:r>
            <w:r>
              <w:rPr>
                <w:rFonts w:ascii="Times New Roman"/>
                <w:b w:val="0"/>
              </w:rPr>
              <w:tab/>
            </w:r>
            <w:r>
              <w:rPr>
                <w:rFonts w:ascii="Arial MT"/>
                <w:b w:val="0"/>
                <w:spacing w:val="-5"/>
              </w:rPr>
              <w:t>12</w:t>
            </w:r>
          </w:hyperlink>
        </w:p>
        <w:p w14:paraId="4A4F4E5D" w14:textId="77777777" w:rsidR="005E140F" w:rsidRDefault="00000000">
          <w:pPr>
            <w:pStyle w:val="TOC5"/>
            <w:tabs>
              <w:tab w:val="right" w:leader="dot" w:pos="9964"/>
            </w:tabs>
            <w:spacing w:before="41"/>
            <w:rPr>
              <w:rFonts w:ascii="Arial MT"/>
              <w:b w:val="0"/>
            </w:rPr>
          </w:pPr>
          <w:hyperlink w:anchor="_TOC_250027" w:history="1">
            <w:r>
              <w:t>Exchange</w:t>
            </w:r>
            <w:r>
              <w:rPr>
                <w:spacing w:val="13"/>
              </w:rPr>
              <w:t xml:space="preserve"> </w:t>
            </w:r>
            <w:r>
              <w:rPr>
                <w:spacing w:val="-2"/>
              </w:rPr>
              <w:t>Clearing</w:t>
            </w:r>
            <w:r>
              <w:rPr>
                <w:rFonts w:ascii="Times New Roman"/>
                <w:b w:val="0"/>
              </w:rPr>
              <w:tab/>
            </w:r>
            <w:r>
              <w:rPr>
                <w:rFonts w:ascii="Arial MT"/>
                <w:b w:val="0"/>
                <w:spacing w:val="-5"/>
              </w:rPr>
              <w:t>12</w:t>
            </w:r>
          </w:hyperlink>
        </w:p>
        <w:p w14:paraId="5F7E34C1" w14:textId="77777777" w:rsidR="005E140F" w:rsidRDefault="00000000">
          <w:pPr>
            <w:pStyle w:val="TOC2"/>
            <w:numPr>
              <w:ilvl w:val="0"/>
              <w:numId w:val="5"/>
            </w:numPr>
            <w:tabs>
              <w:tab w:val="left" w:pos="1291"/>
              <w:tab w:val="left" w:pos="1292"/>
              <w:tab w:val="right" w:leader="dot" w:pos="9963"/>
            </w:tabs>
            <w:spacing w:before="144"/>
            <w:ind w:hanging="429"/>
            <w:rPr>
              <w:rFonts w:ascii="Arial MT"/>
              <w:b w:val="0"/>
            </w:rPr>
          </w:pPr>
          <w:hyperlink w:anchor="_TOC_250026" w:history="1">
            <w:r>
              <w:t>Before</w:t>
            </w:r>
            <w:r>
              <w:rPr>
                <w:spacing w:val="7"/>
              </w:rPr>
              <w:t xml:space="preserve"> </w:t>
            </w:r>
            <w:r>
              <w:t>the</w:t>
            </w:r>
            <w:r>
              <w:rPr>
                <w:spacing w:val="7"/>
              </w:rPr>
              <w:t xml:space="preserve"> </w:t>
            </w:r>
            <w:r>
              <w:rPr>
                <w:spacing w:val="-2"/>
              </w:rPr>
              <w:t>exchange</w:t>
            </w:r>
            <w:r>
              <w:rPr>
                <w:rFonts w:ascii="Times New Roman"/>
                <w:b w:val="0"/>
              </w:rPr>
              <w:tab/>
            </w:r>
            <w:r>
              <w:rPr>
                <w:rFonts w:ascii="Arial MT"/>
                <w:b w:val="0"/>
                <w:spacing w:val="-5"/>
              </w:rPr>
              <w:t>13</w:t>
            </w:r>
          </w:hyperlink>
        </w:p>
        <w:p w14:paraId="07BAAA55" w14:textId="77777777" w:rsidR="005E140F" w:rsidRDefault="00000000">
          <w:pPr>
            <w:pStyle w:val="TOC3"/>
            <w:tabs>
              <w:tab w:val="right" w:leader="dot" w:pos="9963"/>
            </w:tabs>
            <w:spacing w:before="140"/>
            <w:rPr>
              <w:rFonts w:ascii="Arial MT"/>
              <w:b w:val="0"/>
            </w:rPr>
          </w:pPr>
          <w:hyperlink w:anchor="_TOC_250025" w:history="1">
            <w:r>
              <w:t>Nomination</w:t>
            </w:r>
            <w:r>
              <w:rPr>
                <w:spacing w:val="7"/>
              </w:rPr>
              <w:t xml:space="preserve"> </w:t>
            </w:r>
            <w:r>
              <w:t>and</w:t>
            </w:r>
            <w:r>
              <w:rPr>
                <w:spacing w:val="8"/>
              </w:rPr>
              <w:t xml:space="preserve"> </w:t>
            </w:r>
            <w:r>
              <w:t>application</w:t>
            </w:r>
            <w:r>
              <w:rPr>
                <w:spacing w:val="7"/>
              </w:rPr>
              <w:t xml:space="preserve"> </w:t>
            </w:r>
            <w:r>
              <w:t>to</w:t>
            </w:r>
            <w:r>
              <w:rPr>
                <w:spacing w:val="8"/>
              </w:rPr>
              <w:t xml:space="preserve"> </w:t>
            </w:r>
            <w:r>
              <w:t>host</w:t>
            </w:r>
            <w:r>
              <w:rPr>
                <w:spacing w:val="10"/>
              </w:rPr>
              <w:t xml:space="preserve"> </w:t>
            </w:r>
            <w:r>
              <w:rPr>
                <w:spacing w:val="-2"/>
              </w:rPr>
              <w:t>university</w:t>
            </w:r>
            <w:r>
              <w:rPr>
                <w:rFonts w:ascii="Times New Roman"/>
                <w:b w:val="0"/>
              </w:rPr>
              <w:tab/>
            </w:r>
            <w:r>
              <w:rPr>
                <w:rFonts w:ascii="Arial MT"/>
                <w:b w:val="0"/>
                <w:spacing w:val="-5"/>
              </w:rPr>
              <w:t>13</w:t>
            </w:r>
          </w:hyperlink>
        </w:p>
        <w:p w14:paraId="1F2526AB" w14:textId="77777777" w:rsidR="005E140F" w:rsidRDefault="00000000">
          <w:pPr>
            <w:pStyle w:val="TOC3"/>
            <w:tabs>
              <w:tab w:val="right" w:leader="dot" w:pos="9964"/>
            </w:tabs>
            <w:spacing w:before="46"/>
            <w:rPr>
              <w:rFonts w:ascii="Arial MT"/>
              <w:b w:val="0"/>
            </w:rPr>
          </w:pPr>
          <w:hyperlink w:anchor="_TOC_250024" w:history="1">
            <w:r>
              <w:t>Preparing</w:t>
            </w:r>
            <w:r>
              <w:rPr>
                <w:spacing w:val="5"/>
              </w:rPr>
              <w:t xml:space="preserve"> </w:t>
            </w:r>
            <w:r>
              <w:t>for</w:t>
            </w:r>
            <w:r>
              <w:rPr>
                <w:spacing w:val="6"/>
              </w:rPr>
              <w:t xml:space="preserve"> </w:t>
            </w:r>
            <w:r>
              <w:t>your</w:t>
            </w:r>
            <w:r>
              <w:rPr>
                <w:spacing w:val="9"/>
              </w:rPr>
              <w:t xml:space="preserve"> </w:t>
            </w:r>
            <w:r>
              <w:rPr>
                <w:spacing w:val="-2"/>
              </w:rPr>
              <w:t>exchange</w:t>
            </w:r>
            <w:r>
              <w:rPr>
                <w:rFonts w:ascii="Times New Roman"/>
                <w:b w:val="0"/>
              </w:rPr>
              <w:tab/>
            </w:r>
            <w:r>
              <w:rPr>
                <w:rFonts w:ascii="Arial MT"/>
                <w:b w:val="0"/>
                <w:spacing w:val="-5"/>
              </w:rPr>
              <w:t>13</w:t>
            </w:r>
          </w:hyperlink>
        </w:p>
        <w:p w14:paraId="6F4932E7" w14:textId="77777777" w:rsidR="005E140F" w:rsidRDefault="00000000">
          <w:pPr>
            <w:pStyle w:val="TOC3"/>
            <w:tabs>
              <w:tab w:val="right" w:leader="dot" w:pos="9964"/>
            </w:tabs>
            <w:spacing w:before="41"/>
            <w:rPr>
              <w:rFonts w:ascii="Arial MT"/>
              <w:b w:val="0"/>
            </w:rPr>
          </w:pPr>
          <w:hyperlink w:anchor="_TOC_250023" w:history="1">
            <w:r>
              <w:t>Exchange</w:t>
            </w:r>
            <w:r>
              <w:rPr>
                <w:spacing w:val="13"/>
              </w:rPr>
              <w:t xml:space="preserve"> </w:t>
            </w:r>
            <w:r>
              <w:rPr>
                <w:spacing w:val="-2"/>
              </w:rPr>
              <w:t>documentation</w:t>
            </w:r>
            <w:r>
              <w:rPr>
                <w:rFonts w:ascii="Times New Roman"/>
                <w:b w:val="0"/>
              </w:rPr>
              <w:tab/>
            </w:r>
            <w:r>
              <w:rPr>
                <w:rFonts w:ascii="Arial MT"/>
                <w:b w:val="0"/>
                <w:spacing w:val="-5"/>
              </w:rPr>
              <w:t>13</w:t>
            </w:r>
          </w:hyperlink>
        </w:p>
        <w:p w14:paraId="6632BE61" w14:textId="77777777" w:rsidR="005E140F" w:rsidRDefault="00000000">
          <w:pPr>
            <w:pStyle w:val="TOC3"/>
            <w:tabs>
              <w:tab w:val="right" w:leader="dot" w:pos="9963"/>
            </w:tabs>
            <w:spacing w:before="46"/>
            <w:rPr>
              <w:rFonts w:ascii="Arial MT"/>
              <w:b w:val="0"/>
            </w:rPr>
          </w:pPr>
          <w:hyperlink w:anchor="_TOC_250022" w:history="1">
            <w:r>
              <w:rPr>
                <w:spacing w:val="-2"/>
              </w:rPr>
              <w:t>Accommodation</w:t>
            </w:r>
            <w:r>
              <w:rPr>
                <w:rFonts w:ascii="Times New Roman"/>
                <w:b w:val="0"/>
              </w:rPr>
              <w:tab/>
            </w:r>
            <w:r>
              <w:rPr>
                <w:rFonts w:ascii="Arial MT"/>
                <w:b w:val="0"/>
                <w:spacing w:val="-5"/>
              </w:rPr>
              <w:t>14</w:t>
            </w:r>
          </w:hyperlink>
        </w:p>
        <w:p w14:paraId="43BE6FD2" w14:textId="77777777" w:rsidR="005E140F" w:rsidRDefault="00000000">
          <w:pPr>
            <w:pStyle w:val="TOC3"/>
            <w:tabs>
              <w:tab w:val="right" w:leader="dot" w:pos="9965"/>
            </w:tabs>
            <w:rPr>
              <w:rFonts w:ascii="Arial MT"/>
              <w:b w:val="0"/>
            </w:rPr>
          </w:pPr>
          <w:hyperlink w:anchor="_TOC_250021" w:history="1">
            <w:r>
              <w:t>Visa</w:t>
            </w:r>
            <w:r>
              <w:rPr>
                <w:spacing w:val="9"/>
              </w:rPr>
              <w:t xml:space="preserve"> </w:t>
            </w:r>
            <w:r>
              <w:rPr>
                <w:spacing w:val="-2"/>
              </w:rPr>
              <w:t>requirements</w:t>
            </w:r>
            <w:r>
              <w:rPr>
                <w:rFonts w:ascii="Times New Roman"/>
                <w:b w:val="0"/>
              </w:rPr>
              <w:tab/>
            </w:r>
            <w:r>
              <w:rPr>
                <w:rFonts w:ascii="Arial MT"/>
                <w:b w:val="0"/>
                <w:spacing w:val="-5"/>
              </w:rPr>
              <w:t>14</w:t>
            </w:r>
          </w:hyperlink>
        </w:p>
        <w:p w14:paraId="7BD4AA4B" w14:textId="77777777" w:rsidR="005E140F" w:rsidRDefault="00000000">
          <w:pPr>
            <w:pStyle w:val="TOC3"/>
            <w:tabs>
              <w:tab w:val="right" w:leader="dot" w:pos="9964"/>
            </w:tabs>
            <w:rPr>
              <w:rFonts w:ascii="Arial MT"/>
              <w:b w:val="0"/>
            </w:rPr>
          </w:pPr>
          <w:hyperlink w:anchor="_TOC_250020" w:history="1">
            <w:r>
              <w:t>Student</w:t>
            </w:r>
            <w:r>
              <w:rPr>
                <w:spacing w:val="8"/>
              </w:rPr>
              <w:t xml:space="preserve"> </w:t>
            </w:r>
            <w:r>
              <w:t>Route</w:t>
            </w:r>
            <w:r>
              <w:rPr>
                <w:spacing w:val="8"/>
              </w:rPr>
              <w:t xml:space="preserve"> </w:t>
            </w:r>
            <w:r>
              <w:t>Visa</w:t>
            </w:r>
            <w:r>
              <w:rPr>
                <w:spacing w:val="5"/>
              </w:rPr>
              <w:t xml:space="preserve"> </w:t>
            </w:r>
            <w:r>
              <w:rPr>
                <w:spacing w:val="-2"/>
              </w:rPr>
              <w:t>requirements</w:t>
            </w:r>
            <w:r>
              <w:rPr>
                <w:rFonts w:ascii="Times New Roman"/>
                <w:b w:val="0"/>
              </w:rPr>
              <w:tab/>
            </w:r>
            <w:r>
              <w:rPr>
                <w:rFonts w:ascii="Arial MT"/>
                <w:b w:val="0"/>
                <w:spacing w:val="-5"/>
              </w:rPr>
              <w:t>15</w:t>
            </w:r>
          </w:hyperlink>
        </w:p>
        <w:p w14:paraId="28960BBD" w14:textId="77777777" w:rsidR="005E140F" w:rsidRDefault="00000000">
          <w:pPr>
            <w:pStyle w:val="TOC3"/>
            <w:tabs>
              <w:tab w:val="right" w:leader="dot" w:pos="9964"/>
            </w:tabs>
            <w:spacing w:before="46"/>
            <w:rPr>
              <w:rFonts w:ascii="Arial MT"/>
              <w:b w:val="0"/>
            </w:rPr>
          </w:pPr>
          <w:hyperlink w:anchor="_TOC_250019" w:history="1">
            <w:r>
              <w:t>Maintaining</w:t>
            </w:r>
            <w:r>
              <w:rPr>
                <w:spacing w:val="10"/>
              </w:rPr>
              <w:t xml:space="preserve"> </w:t>
            </w:r>
            <w:r>
              <w:t>eligibility</w:t>
            </w:r>
            <w:r>
              <w:rPr>
                <w:spacing w:val="10"/>
              </w:rPr>
              <w:t xml:space="preserve"> </w:t>
            </w:r>
            <w:r>
              <w:t>for</w:t>
            </w:r>
            <w:r>
              <w:rPr>
                <w:spacing w:val="7"/>
              </w:rPr>
              <w:t xml:space="preserve"> </w:t>
            </w:r>
            <w:r>
              <w:t>study</w:t>
            </w:r>
            <w:r>
              <w:rPr>
                <w:spacing w:val="8"/>
              </w:rPr>
              <w:t xml:space="preserve"> </w:t>
            </w:r>
            <w:r>
              <w:rPr>
                <w:spacing w:val="-2"/>
              </w:rPr>
              <w:t>abroad</w:t>
            </w:r>
            <w:r>
              <w:rPr>
                <w:rFonts w:ascii="Times New Roman"/>
                <w:b w:val="0"/>
              </w:rPr>
              <w:tab/>
            </w:r>
            <w:r>
              <w:rPr>
                <w:rFonts w:ascii="Arial MT"/>
                <w:b w:val="0"/>
                <w:spacing w:val="-5"/>
              </w:rPr>
              <w:t>15</w:t>
            </w:r>
          </w:hyperlink>
        </w:p>
        <w:p w14:paraId="1F4D1B51" w14:textId="77777777" w:rsidR="005E140F" w:rsidRDefault="00000000">
          <w:pPr>
            <w:pStyle w:val="TOC3"/>
            <w:tabs>
              <w:tab w:val="right" w:leader="dot" w:pos="9964"/>
            </w:tabs>
            <w:spacing w:before="43"/>
            <w:rPr>
              <w:rFonts w:ascii="Arial MT"/>
              <w:b w:val="0"/>
            </w:rPr>
          </w:pPr>
          <w:hyperlink w:anchor="_TOC_250018" w:history="1">
            <w:r>
              <w:t>Matriculating</w:t>
            </w:r>
            <w:r>
              <w:rPr>
                <w:spacing w:val="7"/>
              </w:rPr>
              <w:t xml:space="preserve"> </w:t>
            </w:r>
            <w:r>
              <w:t>at</w:t>
            </w:r>
            <w:r>
              <w:rPr>
                <w:spacing w:val="11"/>
              </w:rPr>
              <w:t xml:space="preserve"> </w:t>
            </w:r>
            <w:r>
              <w:rPr>
                <w:spacing w:val="-5"/>
              </w:rPr>
              <w:t>ENU</w:t>
            </w:r>
            <w:r>
              <w:rPr>
                <w:rFonts w:ascii="Times New Roman"/>
                <w:b w:val="0"/>
              </w:rPr>
              <w:tab/>
            </w:r>
            <w:r>
              <w:rPr>
                <w:rFonts w:ascii="Arial MT"/>
                <w:b w:val="0"/>
                <w:spacing w:val="-5"/>
              </w:rPr>
              <w:t>15</w:t>
            </w:r>
          </w:hyperlink>
        </w:p>
        <w:p w14:paraId="6C1DBB1B" w14:textId="77777777" w:rsidR="005E140F" w:rsidRDefault="00000000">
          <w:pPr>
            <w:pStyle w:val="TOC3"/>
            <w:tabs>
              <w:tab w:val="right" w:leader="dot" w:pos="9964"/>
            </w:tabs>
            <w:rPr>
              <w:rFonts w:ascii="Arial MT"/>
              <w:b w:val="0"/>
            </w:rPr>
          </w:pPr>
          <w:hyperlink w:anchor="_TOC_250017" w:history="1">
            <w:r>
              <w:t>Insurance</w:t>
            </w:r>
            <w:r>
              <w:rPr>
                <w:spacing w:val="8"/>
              </w:rPr>
              <w:t xml:space="preserve"> </w:t>
            </w:r>
            <w:r>
              <w:t>and</w:t>
            </w:r>
            <w:r>
              <w:rPr>
                <w:spacing w:val="10"/>
              </w:rPr>
              <w:t xml:space="preserve"> </w:t>
            </w:r>
            <w:r>
              <w:rPr>
                <w:spacing w:val="-4"/>
              </w:rPr>
              <w:t>Risk</w:t>
            </w:r>
            <w:r>
              <w:rPr>
                <w:rFonts w:ascii="Times New Roman"/>
                <w:b w:val="0"/>
              </w:rPr>
              <w:tab/>
            </w:r>
            <w:r>
              <w:rPr>
                <w:rFonts w:ascii="Arial MT"/>
                <w:b w:val="0"/>
                <w:spacing w:val="-5"/>
              </w:rPr>
              <w:t>15</w:t>
            </w:r>
          </w:hyperlink>
        </w:p>
        <w:p w14:paraId="4B9FDBFD" w14:textId="77777777" w:rsidR="005E140F" w:rsidRDefault="00000000">
          <w:pPr>
            <w:pStyle w:val="TOC3"/>
            <w:tabs>
              <w:tab w:val="right" w:leader="dot" w:pos="9964"/>
            </w:tabs>
            <w:rPr>
              <w:rFonts w:ascii="Arial MT"/>
              <w:b w:val="0"/>
            </w:rPr>
          </w:pPr>
          <w:hyperlink w:anchor="_TOC_250016" w:history="1">
            <w:r>
              <w:t>Withdrawing</w:t>
            </w:r>
            <w:r>
              <w:rPr>
                <w:spacing w:val="13"/>
              </w:rPr>
              <w:t xml:space="preserve"> </w:t>
            </w:r>
            <w:r>
              <w:t>before</w:t>
            </w:r>
            <w:r>
              <w:rPr>
                <w:spacing w:val="11"/>
              </w:rPr>
              <w:t xml:space="preserve"> </w:t>
            </w:r>
            <w:r>
              <w:rPr>
                <w:spacing w:val="-2"/>
              </w:rPr>
              <w:t>exchange</w:t>
            </w:r>
            <w:r>
              <w:rPr>
                <w:rFonts w:ascii="Times New Roman"/>
                <w:b w:val="0"/>
              </w:rPr>
              <w:tab/>
            </w:r>
            <w:r>
              <w:rPr>
                <w:rFonts w:ascii="Arial MT"/>
                <w:b w:val="0"/>
                <w:spacing w:val="-5"/>
              </w:rPr>
              <w:t>16</w:t>
            </w:r>
          </w:hyperlink>
        </w:p>
        <w:p w14:paraId="4EC76960" w14:textId="77777777" w:rsidR="005E140F" w:rsidRDefault="00000000">
          <w:pPr>
            <w:pStyle w:val="TOC2"/>
            <w:numPr>
              <w:ilvl w:val="0"/>
              <w:numId w:val="5"/>
            </w:numPr>
            <w:tabs>
              <w:tab w:val="left" w:pos="1291"/>
              <w:tab w:val="left" w:pos="1292"/>
              <w:tab w:val="right" w:leader="dot" w:pos="9963"/>
            </w:tabs>
            <w:spacing w:before="142"/>
            <w:ind w:hanging="429"/>
            <w:rPr>
              <w:rFonts w:ascii="Arial MT"/>
              <w:b w:val="0"/>
            </w:rPr>
          </w:pPr>
          <w:hyperlink w:anchor="_TOC_250015" w:history="1">
            <w:r>
              <w:t>During</w:t>
            </w:r>
            <w:r>
              <w:rPr>
                <w:spacing w:val="6"/>
              </w:rPr>
              <w:t xml:space="preserve"> </w:t>
            </w:r>
            <w:r>
              <w:t>the</w:t>
            </w:r>
            <w:r>
              <w:rPr>
                <w:spacing w:val="7"/>
              </w:rPr>
              <w:t xml:space="preserve"> </w:t>
            </w:r>
            <w:r>
              <w:rPr>
                <w:spacing w:val="-2"/>
              </w:rPr>
              <w:t>exchange</w:t>
            </w:r>
            <w:r>
              <w:rPr>
                <w:rFonts w:ascii="Times New Roman"/>
                <w:b w:val="0"/>
              </w:rPr>
              <w:tab/>
            </w:r>
            <w:r>
              <w:rPr>
                <w:rFonts w:ascii="Arial MT"/>
                <w:b w:val="0"/>
                <w:spacing w:val="-5"/>
              </w:rPr>
              <w:t>16</w:t>
            </w:r>
          </w:hyperlink>
        </w:p>
        <w:p w14:paraId="53227A5D" w14:textId="77777777" w:rsidR="005E140F" w:rsidRDefault="00000000">
          <w:pPr>
            <w:pStyle w:val="TOC3"/>
            <w:tabs>
              <w:tab w:val="right" w:leader="dot" w:pos="9964"/>
            </w:tabs>
            <w:spacing w:before="142"/>
            <w:rPr>
              <w:rFonts w:ascii="Arial MT"/>
              <w:b w:val="0"/>
            </w:rPr>
          </w:pPr>
          <w:hyperlink w:anchor="_TOC_250014" w:history="1">
            <w:r>
              <w:t>Attendance</w:t>
            </w:r>
            <w:r>
              <w:rPr>
                <w:spacing w:val="10"/>
              </w:rPr>
              <w:t xml:space="preserve"> </w:t>
            </w:r>
            <w:r>
              <w:t>at</w:t>
            </w:r>
            <w:r>
              <w:rPr>
                <w:spacing w:val="8"/>
              </w:rPr>
              <w:t xml:space="preserve"> </w:t>
            </w:r>
            <w:r>
              <w:t>Host</w:t>
            </w:r>
            <w:r>
              <w:rPr>
                <w:spacing w:val="7"/>
              </w:rPr>
              <w:t xml:space="preserve"> </w:t>
            </w:r>
            <w:r>
              <w:t>Institution</w:t>
            </w:r>
            <w:r>
              <w:rPr>
                <w:spacing w:val="9"/>
              </w:rPr>
              <w:t xml:space="preserve"> </w:t>
            </w:r>
            <w:r>
              <w:rPr>
                <w:spacing w:val="-2"/>
              </w:rPr>
              <w:t>induction</w:t>
            </w:r>
            <w:r>
              <w:rPr>
                <w:rFonts w:ascii="Times New Roman"/>
                <w:b w:val="0"/>
              </w:rPr>
              <w:tab/>
            </w:r>
            <w:r>
              <w:rPr>
                <w:rFonts w:ascii="Arial MT"/>
                <w:b w:val="0"/>
                <w:spacing w:val="-5"/>
              </w:rPr>
              <w:t>16</w:t>
            </w:r>
          </w:hyperlink>
        </w:p>
        <w:p w14:paraId="6CBD309A" w14:textId="77777777" w:rsidR="005E140F" w:rsidRDefault="00000000">
          <w:pPr>
            <w:pStyle w:val="TOC3"/>
            <w:tabs>
              <w:tab w:val="right" w:leader="dot" w:pos="9963"/>
            </w:tabs>
            <w:spacing w:before="43"/>
            <w:rPr>
              <w:rFonts w:ascii="Arial MT"/>
              <w:b w:val="0"/>
            </w:rPr>
          </w:pPr>
          <w:hyperlink w:anchor="_TOC_250013" w:history="1">
            <w:r>
              <w:t>Changes</w:t>
            </w:r>
            <w:r>
              <w:rPr>
                <w:spacing w:val="10"/>
              </w:rPr>
              <w:t xml:space="preserve"> </w:t>
            </w:r>
            <w:r>
              <w:t>to</w:t>
            </w:r>
            <w:r>
              <w:rPr>
                <w:spacing w:val="5"/>
              </w:rPr>
              <w:t xml:space="preserve"> </w:t>
            </w:r>
            <w:r>
              <w:t>module</w:t>
            </w:r>
            <w:r>
              <w:rPr>
                <w:spacing w:val="9"/>
              </w:rPr>
              <w:t xml:space="preserve"> </w:t>
            </w:r>
            <w:r>
              <w:rPr>
                <w:spacing w:val="-2"/>
              </w:rPr>
              <w:t>selection</w:t>
            </w:r>
            <w:r>
              <w:rPr>
                <w:rFonts w:ascii="Times New Roman"/>
                <w:b w:val="0"/>
              </w:rPr>
              <w:tab/>
            </w:r>
            <w:r>
              <w:rPr>
                <w:rFonts w:ascii="Arial MT"/>
                <w:b w:val="0"/>
                <w:spacing w:val="-5"/>
              </w:rPr>
              <w:t>17</w:t>
            </w:r>
          </w:hyperlink>
        </w:p>
        <w:p w14:paraId="30FE7696" w14:textId="77777777" w:rsidR="005E140F" w:rsidRDefault="00000000">
          <w:pPr>
            <w:pStyle w:val="TOC3"/>
            <w:tabs>
              <w:tab w:val="right" w:leader="dot" w:pos="9964"/>
            </w:tabs>
            <w:rPr>
              <w:rFonts w:ascii="Arial MT"/>
              <w:b w:val="0"/>
            </w:rPr>
          </w:pPr>
          <w:hyperlink w:anchor="_TOC_250012" w:history="1">
            <w:r>
              <w:t>Changing</w:t>
            </w:r>
            <w:r>
              <w:rPr>
                <w:spacing w:val="8"/>
              </w:rPr>
              <w:t xml:space="preserve"> </w:t>
            </w:r>
            <w:r>
              <w:t>the</w:t>
            </w:r>
            <w:r>
              <w:rPr>
                <w:spacing w:val="8"/>
              </w:rPr>
              <w:t xml:space="preserve"> </w:t>
            </w:r>
            <w:r>
              <w:t>duration</w:t>
            </w:r>
            <w:r>
              <w:rPr>
                <w:spacing w:val="7"/>
              </w:rPr>
              <w:t xml:space="preserve"> </w:t>
            </w:r>
            <w:r>
              <w:t>of</w:t>
            </w:r>
            <w:r>
              <w:rPr>
                <w:spacing w:val="7"/>
              </w:rPr>
              <w:t xml:space="preserve"> </w:t>
            </w:r>
            <w:r>
              <w:rPr>
                <w:spacing w:val="-2"/>
              </w:rPr>
              <w:t>exchange</w:t>
            </w:r>
            <w:r>
              <w:rPr>
                <w:rFonts w:ascii="Times New Roman"/>
                <w:b w:val="0"/>
              </w:rPr>
              <w:tab/>
            </w:r>
            <w:r>
              <w:rPr>
                <w:rFonts w:ascii="Arial MT"/>
                <w:b w:val="0"/>
                <w:spacing w:val="-5"/>
              </w:rPr>
              <w:t>17</w:t>
            </w:r>
          </w:hyperlink>
        </w:p>
        <w:p w14:paraId="2D182F09" w14:textId="77777777" w:rsidR="005E140F" w:rsidRDefault="00000000">
          <w:pPr>
            <w:pStyle w:val="TOC6"/>
            <w:tabs>
              <w:tab w:val="right" w:leader="dot" w:pos="9963"/>
            </w:tabs>
            <w:rPr>
              <w:rFonts w:ascii="Arial MT"/>
              <w:b w:val="0"/>
              <w:i w:val="0"/>
              <w:sz w:val="21"/>
            </w:rPr>
          </w:pPr>
          <w:hyperlink w:anchor="_TOC_250011" w:history="1">
            <w:r>
              <w:rPr>
                <w:i w:val="0"/>
                <w:spacing w:val="-2"/>
                <w:sz w:val="21"/>
              </w:rPr>
              <w:t>Extending</w:t>
            </w:r>
            <w:r>
              <w:rPr>
                <w:rFonts w:ascii="Times New Roman"/>
                <w:b w:val="0"/>
                <w:i w:val="0"/>
                <w:sz w:val="21"/>
              </w:rPr>
              <w:tab/>
            </w:r>
            <w:r>
              <w:rPr>
                <w:rFonts w:ascii="Arial MT"/>
                <w:b w:val="0"/>
                <w:i w:val="0"/>
                <w:spacing w:val="-5"/>
                <w:sz w:val="21"/>
              </w:rPr>
              <w:t>17</w:t>
            </w:r>
          </w:hyperlink>
        </w:p>
        <w:p w14:paraId="13D13E3E" w14:textId="77777777" w:rsidR="005E140F" w:rsidRDefault="00000000">
          <w:pPr>
            <w:pStyle w:val="TOC5"/>
            <w:tabs>
              <w:tab w:val="right" w:leader="dot" w:pos="9964"/>
            </w:tabs>
            <w:spacing w:before="44"/>
            <w:rPr>
              <w:rFonts w:ascii="Arial MT"/>
              <w:b w:val="0"/>
            </w:rPr>
          </w:pPr>
          <w:hyperlink w:anchor="_TOC_250010" w:history="1">
            <w:r>
              <w:t>Reducing</w:t>
            </w:r>
            <w:r>
              <w:rPr>
                <w:spacing w:val="3"/>
              </w:rPr>
              <w:t xml:space="preserve"> </w:t>
            </w:r>
            <w:r>
              <w:t>from</w:t>
            </w:r>
            <w:r>
              <w:rPr>
                <w:spacing w:val="8"/>
              </w:rPr>
              <w:t xml:space="preserve"> </w:t>
            </w:r>
            <w:r>
              <w:t>full</w:t>
            </w:r>
            <w:r>
              <w:rPr>
                <w:spacing w:val="6"/>
              </w:rPr>
              <w:t xml:space="preserve"> </w:t>
            </w:r>
            <w:r>
              <w:t>year</w:t>
            </w:r>
            <w:r>
              <w:rPr>
                <w:spacing w:val="10"/>
              </w:rPr>
              <w:t xml:space="preserve"> </w:t>
            </w:r>
            <w:r>
              <w:t>exchange</w:t>
            </w:r>
            <w:r>
              <w:rPr>
                <w:spacing w:val="7"/>
              </w:rPr>
              <w:t xml:space="preserve"> </w:t>
            </w:r>
            <w:r>
              <w:t>to</w:t>
            </w:r>
            <w:r>
              <w:rPr>
                <w:spacing w:val="5"/>
              </w:rPr>
              <w:t xml:space="preserve"> </w:t>
            </w:r>
            <w:r>
              <w:t>single</w:t>
            </w:r>
            <w:r>
              <w:rPr>
                <w:spacing w:val="7"/>
              </w:rPr>
              <w:t xml:space="preserve"> </w:t>
            </w:r>
            <w:r>
              <w:rPr>
                <w:spacing w:val="-2"/>
              </w:rPr>
              <w:t>semester</w:t>
            </w:r>
            <w:r>
              <w:rPr>
                <w:rFonts w:ascii="Times New Roman"/>
                <w:b w:val="0"/>
              </w:rPr>
              <w:tab/>
            </w:r>
            <w:r>
              <w:rPr>
                <w:rFonts w:ascii="Arial MT"/>
                <w:b w:val="0"/>
                <w:spacing w:val="-5"/>
              </w:rPr>
              <w:t>17</w:t>
            </w:r>
          </w:hyperlink>
        </w:p>
        <w:p w14:paraId="5D4D9F6C" w14:textId="77777777" w:rsidR="005E140F" w:rsidRDefault="00000000">
          <w:pPr>
            <w:pStyle w:val="TOC3"/>
            <w:tabs>
              <w:tab w:val="right" w:leader="dot" w:pos="9963"/>
            </w:tabs>
            <w:spacing w:before="142" w:after="20"/>
            <w:rPr>
              <w:rFonts w:ascii="Arial MT"/>
              <w:b w:val="0"/>
            </w:rPr>
          </w:pPr>
          <w:hyperlink w:anchor="_TOC_250009" w:history="1">
            <w:r>
              <w:t>Withdrawing</w:t>
            </w:r>
            <w:r>
              <w:rPr>
                <w:spacing w:val="12"/>
              </w:rPr>
              <w:t xml:space="preserve"> </w:t>
            </w:r>
            <w:r>
              <w:t>during</w:t>
            </w:r>
            <w:r>
              <w:rPr>
                <w:spacing w:val="11"/>
              </w:rPr>
              <w:t xml:space="preserve"> </w:t>
            </w:r>
            <w:r>
              <w:rPr>
                <w:spacing w:val="-2"/>
              </w:rPr>
              <w:t>exchange</w:t>
            </w:r>
            <w:r>
              <w:rPr>
                <w:rFonts w:ascii="Times New Roman"/>
                <w:b w:val="0"/>
              </w:rPr>
              <w:tab/>
            </w:r>
            <w:r>
              <w:rPr>
                <w:rFonts w:ascii="Arial MT"/>
                <w:b w:val="0"/>
                <w:spacing w:val="-5"/>
              </w:rPr>
              <w:t>17</w:t>
            </w:r>
          </w:hyperlink>
        </w:p>
        <w:p w14:paraId="05E9D658" w14:textId="342F0FFE" w:rsidR="005E140F" w:rsidRDefault="00000000">
          <w:pPr>
            <w:pStyle w:val="TOC1"/>
          </w:pPr>
          <w:r>
            <w:rPr>
              <w:color w:val="FFFFFF"/>
              <w:w w:val="101"/>
            </w:rPr>
            <w:t>3</w:t>
          </w:r>
        </w:p>
        <w:p w14:paraId="76D094DB" w14:textId="77777777" w:rsidR="005E140F" w:rsidRDefault="00000000">
          <w:pPr>
            <w:pStyle w:val="TOC3"/>
            <w:tabs>
              <w:tab w:val="right" w:leader="dot" w:pos="9963"/>
            </w:tabs>
            <w:spacing w:before="599"/>
            <w:rPr>
              <w:rFonts w:ascii="Arial MT"/>
              <w:b w:val="0"/>
            </w:rPr>
          </w:pPr>
          <w:hyperlink w:anchor="_TOC_250008" w:history="1">
            <w:r>
              <w:t>Safety</w:t>
            </w:r>
            <w:r>
              <w:rPr>
                <w:spacing w:val="10"/>
              </w:rPr>
              <w:t xml:space="preserve"> </w:t>
            </w:r>
            <w:r>
              <w:t>and</w:t>
            </w:r>
            <w:r>
              <w:rPr>
                <w:spacing w:val="7"/>
              </w:rPr>
              <w:t xml:space="preserve"> </w:t>
            </w:r>
            <w:r>
              <w:t>emergency</w:t>
            </w:r>
            <w:r>
              <w:rPr>
                <w:spacing w:val="6"/>
              </w:rPr>
              <w:t xml:space="preserve"> </w:t>
            </w:r>
            <w:r>
              <w:t>whilst</w:t>
            </w:r>
            <w:r>
              <w:rPr>
                <w:spacing w:val="9"/>
              </w:rPr>
              <w:t xml:space="preserve"> </w:t>
            </w:r>
            <w:r>
              <w:t>on</w:t>
            </w:r>
            <w:r>
              <w:rPr>
                <w:spacing w:val="7"/>
              </w:rPr>
              <w:t xml:space="preserve"> </w:t>
            </w:r>
            <w:r>
              <w:rPr>
                <w:spacing w:val="-2"/>
              </w:rPr>
              <w:t>exchange</w:t>
            </w:r>
            <w:r>
              <w:rPr>
                <w:rFonts w:ascii="Times New Roman"/>
                <w:b w:val="0"/>
              </w:rPr>
              <w:tab/>
            </w:r>
            <w:r>
              <w:rPr>
                <w:rFonts w:ascii="Arial MT"/>
                <w:b w:val="0"/>
                <w:spacing w:val="-5"/>
              </w:rPr>
              <w:t>18</w:t>
            </w:r>
          </w:hyperlink>
        </w:p>
        <w:p w14:paraId="3AEB79D0" w14:textId="77777777" w:rsidR="005E140F" w:rsidRDefault="00000000">
          <w:pPr>
            <w:pStyle w:val="TOC5"/>
            <w:tabs>
              <w:tab w:val="right" w:leader="dot" w:pos="9963"/>
            </w:tabs>
            <w:spacing w:before="142"/>
            <w:rPr>
              <w:rFonts w:ascii="Arial MT"/>
              <w:b w:val="0"/>
            </w:rPr>
          </w:pPr>
          <w:hyperlink w:anchor="_TOC_250007" w:history="1">
            <w:r>
              <w:t>Personal</w:t>
            </w:r>
            <w:r>
              <w:rPr>
                <w:spacing w:val="11"/>
              </w:rPr>
              <w:t xml:space="preserve"> </w:t>
            </w:r>
            <w:r>
              <w:t>details,</w:t>
            </w:r>
            <w:r>
              <w:rPr>
                <w:spacing w:val="9"/>
              </w:rPr>
              <w:t xml:space="preserve"> </w:t>
            </w:r>
            <w:r>
              <w:t>emergency</w:t>
            </w:r>
            <w:r>
              <w:rPr>
                <w:spacing w:val="8"/>
              </w:rPr>
              <w:t xml:space="preserve"> </w:t>
            </w:r>
            <w:r>
              <w:t>contacts,</w:t>
            </w:r>
            <w:r>
              <w:rPr>
                <w:spacing w:val="11"/>
              </w:rPr>
              <w:t xml:space="preserve"> </w:t>
            </w:r>
            <w:r>
              <w:t>and</w:t>
            </w:r>
            <w:r>
              <w:rPr>
                <w:spacing w:val="10"/>
              </w:rPr>
              <w:t xml:space="preserve"> </w:t>
            </w:r>
            <w:r>
              <w:t>reporting</w:t>
            </w:r>
            <w:r>
              <w:rPr>
                <w:spacing w:val="6"/>
              </w:rPr>
              <w:t xml:space="preserve"> </w:t>
            </w:r>
            <w:r>
              <w:rPr>
                <w:spacing w:val="-2"/>
              </w:rPr>
              <w:t>problems</w:t>
            </w:r>
            <w:r>
              <w:rPr>
                <w:rFonts w:ascii="Times New Roman"/>
                <w:b w:val="0"/>
              </w:rPr>
              <w:tab/>
            </w:r>
            <w:r>
              <w:rPr>
                <w:rFonts w:ascii="Arial MT"/>
                <w:b w:val="0"/>
                <w:spacing w:val="-5"/>
              </w:rPr>
              <w:t>18</w:t>
            </w:r>
          </w:hyperlink>
        </w:p>
        <w:p w14:paraId="76ACFBE6" w14:textId="77777777" w:rsidR="005E140F" w:rsidRDefault="00000000">
          <w:pPr>
            <w:pStyle w:val="TOC6"/>
            <w:tabs>
              <w:tab w:val="right" w:leader="dot" w:pos="9963"/>
            </w:tabs>
            <w:spacing w:before="43"/>
            <w:rPr>
              <w:rFonts w:ascii="Arial MT"/>
              <w:b w:val="0"/>
              <w:i w:val="0"/>
              <w:sz w:val="21"/>
            </w:rPr>
          </w:pPr>
          <w:hyperlink w:anchor="_TOC_250006" w:history="1">
            <w:r>
              <w:rPr>
                <w:i w:val="0"/>
                <w:spacing w:val="-2"/>
                <w:sz w:val="21"/>
              </w:rPr>
              <w:t>Insurance</w:t>
            </w:r>
            <w:r>
              <w:rPr>
                <w:rFonts w:ascii="Times New Roman"/>
                <w:b w:val="0"/>
                <w:i w:val="0"/>
                <w:sz w:val="21"/>
              </w:rPr>
              <w:tab/>
            </w:r>
            <w:r>
              <w:rPr>
                <w:rFonts w:ascii="Arial MT"/>
                <w:b w:val="0"/>
                <w:i w:val="0"/>
                <w:spacing w:val="-5"/>
                <w:sz w:val="21"/>
              </w:rPr>
              <w:t>18</w:t>
            </w:r>
          </w:hyperlink>
        </w:p>
        <w:p w14:paraId="65489080" w14:textId="77777777" w:rsidR="005E140F" w:rsidRDefault="00000000">
          <w:pPr>
            <w:pStyle w:val="TOC5"/>
            <w:tabs>
              <w:tab w:val="right" w:leader="dot" w:pos="9963"/>
            </w:tabs>
            <w:rPr>
              <w:rFonts w:ascii="Arial MT"/>
              <w:b w:val="0"/>
            </w:rPr>
          </w:pPr>
          <w:hyperlink w:anchor="_TOC_250005" w:history="1">
            <w:r>
              <w:t>Adhering</w:t>
            </w:r>
            <w:r>
              <w:rPr>
                <w:spacing w:val="6"/>
              </w:rPr>
              <w:t xml:space="preserve"> </w:t>
            </w:r>
            <w:r>
              <w:t>to</w:t>
            </w:r>
            <w:r>
              <w:rPr>
                <w:spacing w:val="7"/>
              </w:rPr>
              <w:t xml:space="preserve"> </w:t>
            </w:r>
            <w:r>
              <w:t>laws,</w:t>
            </w:r>
            <w:r>
              <w:rPr>
                <w:spacing w:val="9"/>
              </w:rPr>
              <w:t xml:space="preserve"> </w:t>
            </w:r>
            <w:r>
              <w:t>requirements</w:t>
            </w:r>
            <w:r>
              <w:rPr>
                <w:spacing w:val="8"/>
              </w:rPr>
              <w:t xml:space="preserve"> </w:t>
            </w:r>
            <w:r>
              <w:t>and</w:t>
            </w:r>
            <w:r>
              <w:rPr>
                <w:spacing w:val="9"/>
              </w:rPr>
              <w:t xml:space="preserve"> </w:t>
            </w:r>
            <w:r>
              <w:rPr>
                <w:spacing w:val="-2"/>
              </w:rPr>
              <w:t>customs</w:t>
            </w:r>
            <w:r>
              <w:rPr>
                <w:rFonts w:ascii="Times New Roman"/>
                <w:b w:val="0"/>
              </w:rPr>
              <w:tab/>
            </w:r>
            <w:r>
              <w:rPr>
                <w:rFonts w:ascii="Arial MT"/>
                <w:b w:val="0"/>
                <w:spacing w:val="-5"/>
              </w:rPr>
              <w:t>18</w:t>
            </w:r>
          </w:hyperlink>
        </w:p>
        <w:p w14:paraId="2BDC78B6" w14:textId="77777777" w:rsidR="005E140F" w:rsidRDefault="00000000">
          <w:pPr>
            <w:pStyle w:val="TOC3"/>
            <w:tabs>
              <w:tab w:val="right" w:leader="dot" w:pos="9964"/>
            </w:tabs>
            <w:spacing w:before="140"/>
            <w:rPr>
              <w:rFonts w:ascii="Arial MT"/>
              <w:b w:val="0"/>
            </w:rPr>
          </w:pPr>
          <w:hyperlink w:anchor="_TOC_250004" w:history="1">
            <w:r>
              <w:t>Assessment</w:t>
            </w:r>
            <w:r>
              <w:rPr>
                <w:spacing w:val="10"/>
              </w:rPr>
              <w:t xml:space="preserve"> </w:t>
            </w:r>
            <w:r>
              <w:t>on</w:t>
            </w:r>
            <w:r>
              <w:rPr>
                <w:spacing w:val="10"/>
              </w:rPr>
              <w:t xml:space="preserve"> </w:t>
            </w:r>
            <w:r>
              <w:rPr>
                <w:spacing w:val="-2"/>
              </w:rPr>
              <w:t>exchange</w:t>
            </w:r>
            <w:r>
              <w:rPr>
                <w:rFonts w:ascii="Times New Roman"/>
                <w:b w:val="0"/>
              </w:rPr>
              <w:tab/>
            </w:r>
            <w:r>
              <w:rPr>
                <w:rFonts w:ascii="Arial MT"/>
                <w:b w:val="0"/>
                <w:spacing w:val="-5"/>
              </w:rPr>
              <w:t>19</w:t>
            </w:r>
          </w:hyperlink>
        </w:p>
        <w:p w14:paraId="440F9B69" w14:textId="77777777" w:rsidR="005E140F" w:rsidRDefault="00000000">
          <w:pPr>
            <w:pStyle w:val="TOC2"/>
            <w:numPr>
              <w:ilvl w:val="0"/>
              <w:numId w:val="5"/>
            </w:numPr>
            <w:tabs>
              <w:tab w:val="left" w:pos="1291"/>
              <w:tab w:val="left" w:pos="1292"/>
              <w:tab w:val="right" w:leader="dot" w:pos="9964"/>
            </w:tabs>
            <w:spacing w:before="142"/>
            <w:ind w:hanging="429"/>
            <w:rPr>
              <w:rFonts w:ascii="Arial MT"/>
              <w:b w:val="0"/>
            </w:rPr>
          </w:pPr>
          <w:hyperlink w:anchor="_TOC_250003" w:history="1">
            <w:r>
              <w:t>After</w:t>
            </w:r>
            <w:r>
              <w:rPr>
                <w:spacing w:val="5"/>
              </w:rPr>
              <w:t xml:space="preserve"> </w:t>
            </w:r>
            <w:r>
              <w:t>the</w:t>
            </w:r>
            <w:r>
              <w:rPr>
                <w:spacing w:val="5"/>
              </w:rPr>
              <w:t xml:space="preserve"> </w:t>
            </w:r>
            <w:r>
              <w:rPr>
                <w:spacing w:val="-2"/>
              </w:rPr>
              <w:t>exchange</w:t>
            </w:r>
            <w:r>
              <w:rPr>
                <w:rFonts w:ascii="Times New Roman"/>
                <w:b w:val="0"/>
              </w:rPr>
              <w:tab/>
            </w:r>
            <w:r>
              <w:rPr>
                <w:rFonts w:ascii="Arial MT"/>
                <w:b w:val="0"/>
                <w:spacing w:val="-5"/>
              </w:rPr>
              <w:t>19</w:t>
            </w:r>
          </w:hyperlink>
        </w:p>
        <w:p w14:paraId="25C9D4F3" w14:textId="77777777" w:rsidR="005E140F" w:rsidRDefault="00000000">
          <w:pPr>
            <w:pStyle w:val="TOC4"/>
            <w:tabs>
              <w:tab w:val="right" w:leader="dot" w:pos="9964"/>
            </w:tabs>
            <w:rPr>
              <w:rFonts w:ascii="Arial MT"/>
              <w:b w:val="0"/>
              <w:i w:val="0"/>
              <w:sz w:val="21"/>
            </w:rPr>
          </w:pPr>
          <w:hyperlink w:anchor="_TOC_250002" w:history="1">
            <w:r>
              <w:rPr>
                <w:i w:val="0"/>
                <w:spacing w:val="-2"/>
                <w:sz w:val="21"/>
              </w:rPr>
              <w:t>Transcripts</w:t>
            </w:r>
            <w:r>
              <w:rPr>
                <w:rFonts w:ascii="Times New Roman"/>
                <w:b w:val="0"/>
                <w:i w:val="0"/>
                <w:sz w:val="21"/>
              </w:rPr>
              <w:tab/>
            </w:r>
            <w:r>
              <w:rPr>
                <w:rFonts w:ascii="Arial MT"/>
                <w:b w:val="0"/>
                <w:i w:val="0"/>
                <w:spacing w:val="-5"/>
                <w:sz w:val="21"/>
              </w:rPr>
              <w:t>19</w:t>
            </w:r>
          </w:hyperlink>
        </w:p>
        <w:p w14:paraId="4AFB44E5" w14:textId="77777777" w:rsidR="005E140F" w:rsidRDefault="00000000">
          <w:pPr>
            <w:pStyle w:val="TOC3"/>
            <w:tabs>
              <w:tab w:val="right" w:leader="dot" w:pos="9964"/>
            </w:tabs>
            <w:rPr>
              <w:rFonts w:ascii="Arial MT"/>
              <w:b w:val="0"/>
            </w:rPr>
          </w:pPr>
          <w:hyperlink w:anchor="_TOC_250001" w:history="1">
            <w:r>
              <w:t>Financial</w:t>
            </w:r>
            <w:r>
              <w:rPr>
                <w:spacing w:val="11"/>
              </w:rPr>
              <w:t xml:space="preserve"> </w:t>
            </w:r>
            <w:r>
              <w:rPr>
                <w:spacing w:val="-2"/>
              </w:rPr>
              <w:t>responsibilities</w:t>
            </w:r>
            <w:r>
              <w:rPr>
                <w:rFonts w:ascii="Times New Roman"/>
                <w:b w:val="0"/>
              </w:rPr>
              <w:tab/>
            </w:r>
            <w:r>
              <w:rPr>
                <w:rFonts w:ascii="Arial MT"/>
                <w:b w:val="0"/>
                <w:spacing w:val="-5"/>
              </w:rPr>
              <w:t>19</w:t>
            </w:r>
          </w:hyperlink>
        </w:p>
        <w:p w14:paraId="248EDE22" w14:textId="77777777" w:rsidR="005E140F" w:rsidRDefault="00000000">
          <w:pPr>
            <w:pStyle w:val="TOC3"/>
            <w:tabs>
              <w:tab w:val="right" w:leader="dot" w:pos="9965"/>
            </w:tabs>
            <w:spacing w:before="43"/>
            <w:rPr>
              <w:rFonts w:ascii="Arial MT"/>
              <w:b w:val="0"/>
            </w:rPr>
          </w:pPr>
          <w:hyperlink w:anchor="_TOC_250000" w:history="1">
            <w:r>
              <w:t>Promoting</w:t>
            </w:r>
            <w:r>
              <w:rPr>
                <w:spacing w:val="9"/>
              </w:rPr>
              <w:t xml:space="preserve"> </w:t>
            </w:r>
            <w:r>
              <w:t>exchanges</w:t>
            </w:r>
            <w:r>
              <w:rPr>
                <w:spacing w:val="8"/>
              </w:rPr>
              <w:t xml:space="preserve"> </w:t>
            </w:r>
            <w:r>
              <w:t>to</w:t>
            </w:r>
            <w:r>
              <w:rPr>
                <w:spacing w:val="8"/>
              </w:rPr>
              <w:t xml:space="preserve"> </w:t>
            </w:r>
            <w:r>
              <w:t>future</w:t>
            </w:r>
            <w:r>
              <w:rPr>
                <w:spacing w:val="8"/>
              </w:rPr>
              <w:t xml:space="preserve"> </w:t>
            </w:r>
            <w:r>
              <w:t>ENU</w:t>
            </w:r>
            <w:r>
              <w:rPr>
                <w:spacing w:val="4"/>
              </w:rPr>
              <w:t xml:space="preserve"> </w:t>
            </w:r>
            <w:r>
              <w:rPr>
                <w:spacing w:val="-2"/>
              </w:rPr>
              <w:t>cohorts</w:t>
            </w:r>
            <w:r>
              <w:rPr>
                <w:rFonts w:ascii="Times New Roman"/>
                <w:b w:val="0"/>
              </w:rPr>
              <w:tab/>
            </w:r>
            <w:r>
              <w:rPr>
                <w:rFonts w:ascii="Arial MT"/>
                <w:b w:val="0"/>
                <w:spacing w:val="-5"/>
              </w:rPr>
              <w:t>19</w:t>
            </w:r>
          </w:hyperlink>
        </w:p>
      </w:sdtContent>
    </w:sdt>
    <w:p w14:paraId="17EC8922" w14:textId="77777777" w:rsidR="005E140F" w:rsidRDefault="005E140F">
      <w:pPr>
        <w:rPr>
          <w:rFonts w:ascii="Arial MT"/>
        </w:rPr>
        <w:sectPr w:rsidR="005E140F">
          <w:type w:val="continuous"/>
          <w:pgSz w:w="11910" w:h="16840"/>
          <w:pgMar w:top="1060" w:right="460" w:bottom="3098" w:left="540" w:header="0" w:footer="1408" w:gutter="0"/>
          <w:cols w:space="720"/>
        </w:sectPr>
      </w:pPr>
    </w:p>
    <w:p w14:paraId="373A1453" w14:textId="77777777" w:rsidR="005E140F" w:rsidRDefault="005E140F">
      <w:pPr>
        <w:pStyle w:val="BodyText"/>
        <w:spacing w:before="9"/>
        <w:rPr>
          <w:rFonts w:ascii="Arial MT"/>
          <w:sz w:val="51"/>
        </w:rPr>
      </w:pPr>
    </w:p>
    <w:p w14:paraId="4A2A83CD" w14:textId="77777777" w:rsidR="005E140F" w:rsidRDefault="00000000">
      <w:pPr>
        <w:pStyle w:val="Heading1"/>
        <w:numPr>
          <w:ilvl w:val="0"/>
          <w:numId w:val="4"/>
        </w:numPr>
        <w:tabs>
          <w:tab w:val="left" w:pos="1565"/>
        </w:tabs>
      </w:pPr>
      <w:bookmarkStart w:id="0" w:name="_TOC_250039"/>
      <w:bookmarkEnd w:id="0"/>
      <w:r>
        <w:rPr>
          <w:spacing w:val="-2"/>
        </w:rPr>
        <w:t>Background</w:t>
      </w:r>
    </w:p>
    <w:p w14:paraId="5C0F2C88" w14:textId="77777777" w:rsidR="005E140F" w:rsidRDefault="005E140F">
      <w:pPr>
        <w:pStyle w:val="BodyText"/>
        <w:spacing w:before="11"/>
        <w:rPr>
          <w:b/>
          <w:sz w:val="38"/>
        </w:rPr>
      </w:pPr>
    </w:p>
    <w:p w14:paraId="4D2C4E2C" w14:textId="77777777" w:rsidR="005E140F" w:rsidRDefault="00000000">
      <w:pPr>
        <w:pStyle w:val="BodyText"/>
        <w:spacing w:line="280" w:lineRule="auto"/>
        <w:ind w:left="863" w:right="1074"/>
      </w:pPr>
      <w:r>
        <w:t>This document outlines policy relating to Edinburgh Napier students undertaking a one semester or full year exchange abroad as part of their Edinburgh Napier University (ENU) degree.</w:t>
      </w:r>
      <w:r>
        <w:rPr>
          <w:spacing w:val="40"/>
        </w:rPr>
        <w:t xml:space="preserve"> </w:t>
      </w:r>
      <w:r>
        <w:t xml:space="preserve">Specifically, it refers to study placements at one of the University’s identified exchange partners (or another institution via the International Student Exchange </w:t>
      </w:r>
      <w:proofErr w:type="spellStart"/>
      <w:r>
        <w:t>Programme</w:t>
      </w:r>
      <w:proofErr w:type="spellEnd"/>
      <w:r>
        <w:t>).</w:t>
      </w:r>
    </w:p>
    <w:p w14:paraId="37BFD5FC" w14:textId="77777777" w:rsidR="005E140F" w:rsidRDefault="00000000">
      <w:pPr>
        <w:pStyle w:val="BodyText"/>
        <w:spacing w:before="159" w:line="280" w:lineRule="auto"/>
        <w:ind w:left="863" w:right="1074"/>
      </w:pPr>
      <w:r>
        <w:t>It is intended as the key reference point on guidelines, requirements and responsibilities of students and staff involved in student mobility at</w:t>
      </w:r>
      <w:r>
        <w:rPr>
          <w:spacing w:val="22"/>
        </w:rPr>
        <w:t xml:space="preserve"> </w:t>
      </w:r>
      <w:r>
        <w:t>Edinburgh Napier and students are</w:t>
      </w:r>
      <w:r>
        <w:rPr>
          <w:spacing w:val="24"/>
        </w:rPr>
        <w:t xml:space="preserve"> </w:t>
      </w:r>
      <w:r>
        <w:t>required to</w:t>
      </w:r>
      <w:r>
        <w:rPr>
          <w:spacing w:val="21"/>
        </w:rPr>
        <w:t xml:space="preserve"> </w:t>
      </w:r>
      <w:r>
        <w:t>confirm</w:t>
      </w:r>
      <w:r>
        <w:rPr>
          <w:spacing w:val="21"/>
        </w:rPr>
        <w:t xml:space="preserve"> </w:t>
      </w:r>
      <w:r>
        <w:t xml:space="preserve">that they have read this policy as a condition of submission of their Study Abroad application. This document is further supplemented and beneficial as a resource to be referred to in tandem with the </w:t>
      </w:r>
      <w:proofErr w:type="spellStart"/>
      <w:r>
        <w:t>MyNapier</w:t>
      </w:r>
      <w:proofErr w:type="spellEnd"/>
      <w:r>
        <w:t xml:space="preserve"> Study Abroad pages, as well as the Study Abroad Moodle Community site (accessible to students only once allocated a place on the exchange </w:t>
      </w:r>
      <w:proofErr w:type="spellStart"/>
      <w:r>
        <w:t>programme</w:t>
      </w:r>
      <w:proofErr w:type="spellEnd"/>
      <w:r>
        <w:t>). Any queries regarding the content or interpretation of</w:t>
      </w:r>
      <w:r>
        <w:rPr>
          <w:spacing w:val="80"/>
        </w:rPr>
        <w:t xml:space="preserve"> </w:t>
      </w:r>
      <w:r>
        <w:t>this should be addressed to the Global Mobility Team.</w:t>
      </w:r>
    </w:p>
    <w:p w14:paraId="558102E1" w14:textId="77777777" w:rsidR="005E140F" w:rsidRDefault="005E140F">
      <w:pPr>
        <w:pStyle w:val="BodyText"/>
        <w:rPr>
          <w:sz w:val="25"/>
        </w:rPr>
      </w:pPr>
    </w:p>
    <w:p w14:paraId="515865E0" w14:textId="77777777" w:rsidR="005E140F" w:rsidRDefault="00000000">
      <w:pPr>
        <w:pStyle w:val="BodyText"/>
        <w:spacing w:line="280" w:lineRule="auto"/>
        <w:ind w:left="863" w:right="1451"/>
      </w:pPr>
      <w:r>
        <w:t xml:space="preserve">Any enquiries pertaining to this document should be sent to </w:t>
      </w:r>
      <w:hyperlink r:id="rId10">
        <w:r>
          <w:rPr>
            <w:color w:val="0000FF"/>
            <w:u w:val="single" w:color="0000FF"/>
          </w:rPr>
          <w:t>studyabroad@napier.ac.uk</w:t>
        </w:r>
      </w:hyperlink>
      <w:r>
        <w:rPr>
          <w:color w:val="0000FF"/>
        </w:rPr>
        <w:t xml:space="preserve"> </w:t>
      </w:r>
      <w:r>
        <w:t xml:space="preserve">in the first </w:t>
      </w:r>
      <w:r>
        <w:rPr>
          <w:spacing w:val="-2"/>
        </w:rPr>
        <w:t>instance.</w:t>
      </w:r>
    </w:p>
    <w:p w14:paraId="4749310B" w14:textId="77777777" w:rsidR="005E140F" w:rsidRDefault="005E140F">
      <w:pPr>
        <w:pStyle w:val="BodyText"/>
        <w:rPr>
          <w:sz w:val="20"/>
        </w:rPr>
      </w:pPr>
    </w:p>
    <w:p w14:paraId="5DEB57B3" w14:textId="77777777" w:rsidR="005E140F" w:rsidRDefault="005E140F">
      <w:pPr>
        <w:pStyle w:val="BodyText"/>
        <w:spacing w:before="3"/>
        <w:rPr>
          <w:sz w:val="17"/>
        </w:rPr>
      </w:pPr>
    </w:p>
    <w:tbl>
      <w:tblPr>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2321"/>
        <w:gridCol w:w="4620"/>
      </w:tblGrid>
      <w:tr w:rsidR="005E140F" w14:paraId="50321FEA" w14:textId="77777777" w:rsidTr="00580985">
        <w:trPr>
          <w:trHeight w:val="230"/>
        </w:trPr>
        <w:tc>
          <w:tcPr>
            <w:tcW w:w="2217" w:type="dxa"/>
          </w:tcPr>
          <w:p w14:paraId="28904CAA" w14:textId="77777777" w:rsidR="005E140F" w:rsidRDefault="00000000">
            <w:pPr>
              <w:pStyle w:val="TableParagraph"/>
              <w:spacing w:before="1" w:line="240" w:lineRule="exact"/>
              <w:ind w:left="105"/>
              <w:rPr>
                <w:b/>
                <w:sz w:val="21"/>
              </w:rPr>
            </w:pPr>
            <w:r>
              <w:rPr>
                <w:b/>
                <w:spacing w:val="-2"/>
                <w:sz w:val="21"/>
              </w:rPr>
              <w:t>Action</w:t>
            </w:r>
          </w:p>
        </w:tc>
        <w:tc>
          <w:tcPr>
            <w:tcW w:w="2321" w:type="dxa"/>
          </w:tcPr>
          <w:p w14:paraId="42D9D90B" w14:textId="77777777" w:rsidR="005E140F" w:rsidRDefault="00000000">
            <w:pPr>
              <w:pStyle w:val="TableParagraph"/>
              <w:spacing w:before="1" w:line="240" w:lineRule="exact"/>
              <w:rPr>
                <w:b/>
                <w:sz w:val="21"/>
              </w:rPr>
            </w:pPr>
            <w:r>
              <w:rPr>
                <w:b/>
                <w:spacing w:val="-4"/>
                <w:sz w:val="21"/>
              </w:rPr>
              <w:t>Date</w:t>
            </w:r>
          </w:p>
        </w:tc>
        <w:tc>
          <w:tcPr>
            <w:tcW w:w="4620" w:type="dxa"/>
          </w:tcPr>
          <w:p w14:paraId="3A68592E" w14:textId="77777777" w:rsidR="005E140F" w:rsidRDefault="00000000">
            <w:pPr>
              <w:pStyle w:val="TableParagraph"/>
              <w:spacing w:before="1" w:line="240" w:lineRule="exact"/>
              <w:rPr>
                <w:b/>
                <w:sz w:val="21"/>
              </w:rPr>
            </w:pPr>
            <w:r>
              <w:rPr>
                <w:b/>
                <w:spacing w:val="-2"/>
                <w:sz w:val="21"/>
              </w:rPr>
              <w:t>Unit/Person</w:t>
            </w:r>
          </w:p>
        </w:tc>
      </w:tr>
      <w:tr w:rsidR="005E140F" w14:paraId="74DECFB1" w14:textId="77777777" w:rsidTr="00580985">
        <w:trPr>
          <w:trHeight w:val="229"/>
        </w:trPr>
        <w:tc>
          <w:tcPr>
            <w:tcW w:w="2217" w:type="dxa"/>
          </w:tcPr>
          <w:p w14:paraId="2DFF248F" w14:textId="77777777" w:rsidR="005E140F" w:rsidRDefault="00000000">
            <w:pPr>
              <w:pStyle w:val="TableParagraph"/>
              <w:spacing w:before="1" w:line="239" w:lineRule="exact"/>
              <w:ind w:left="105"/>
              <w:rPr>
                <w:sz w:val="21"/>
              </w:rPr>
            </w:pPr>
            <w:r>
              <w:rPr>
                <w:sz w:val="21"/>
              </w:rPr>
              <w:t>Originally</w:t>
            </w:r>
            <w:r>
              <w:rPr>
                <w:spacing w:val="13"/>
                <w:sz w:val="21"/>
              </w:rPr>
              <w:t xml:space="preserve"> </w:t>
            </w:r>
            <w:r>
              <w:rPr>
                <w:spacing w:val="-2"/>
                <w:sz w:val="21"/>
              </w:rPr>
              <w:t>established</w:t>
            </w:r>
          </w:p>
        </w:tc>
        <w:tc>
          <w:tcPr>
            <w:tcW w:w="2321" w:type="dxa"/>
          </w:tcPr>
          <w:p w14:paraId="302A3F8B" w14:textId="77777777" w:rsidR="005E140F" w:rsidRDefault="00000000">
            <w:pPr>
              <w:pStyle w:val="TableParagraph"/>
              <w:spacing w:before="1" w:line="239" w:lineRule="exact"/>
              <w:rPr>
                <w:sz w:val="21"/>
              </w:rPr>
            </w:pPr>
            <w:r>
              <w:rPr>
                <w:sz w:val="21"/>
              </w:rPr>
              <w:t>16</w:t>
            </w:r>
            <w:r>
              <w:rPr>
                <w:spacing w:val="7"/>
                <w:sz w:val="21"/>
              </w:rPr>
              <w:t xml:space="preserve"> </w:t>
            </w:r>
            <w:r>
              <w:rPr>
                <w:sz w:val="21"/>
              </w:rPr>
              <w:t>October</w:t>
            </w:r>
            <w:r>
              <w:rPr>
                <w:spacing w:val="7"/>
                <w:sz w:val="21"/>
              </w:rPr>
              <w:t xml:space="preserve"> </w:t>
            </w:r>
            <w:r>
              <w:rPr>
                <w:spacing w:val="-4"/>
                <w:sz w:val="21"/>
              </w:rPr>
              <w:t>2018</w:t>
            </w:r>
          </w:p>
        </w:tc>
        <w:tc>
          <w:tcPr>
            <w:tcW w:w="4620" w:type="dxa"/>
          </w:tcPr>
          <w:p w14:paraId="5FD476CF" w14:textId="77777777" w:rsidR="005E140F" w:rsidRDefault="00000000">
            <w:pPr>
              <w:pStyle w:val="TableParagraph"/>
              <w:spacing w:before="1" w:line="239" w:lineRule="exact"/>
              <w:rPr>
                <w:sz w:val="21"/>
              </w:rPr>
            </w:pPr>
            <w:r>
              <w:rPr>
                <w:sz w:val="21"/>
              </w:rPr>
              <w:t>Institutional</w:t>
            </w:r>
            <w:r>
              <w:rPr>
                <w:spacing w:val="7"/>
                <w:sz w:val="21"/>
              </w:rPr>
              <w:t xml:space="preserve"> </w:t>
            </w:r>
            <w:r>
              <w:rPr>
                <w:sz w:val="21"/>
              </w:rPr>
              <w:t>Mobility</w:t>
            </w:r>
            <w:r>
              <w:rPr>
                <w:spacing w:val="11"/>
                <w:sz w:val="21"/>
              </w:rPr>
              <w:t xml:space="preserve"> </w:t>
            </w:r>
            <w:r>
              <w:rPr>
                <w:sz w:val="21"/>
              </w:rPr>
              <w:t>Forum</w:t>
            </w:r>
            <w:r>
              <w:rPr>
                <w:spacing w:val="9"/>
                <w:sz w:val="21"/>
              </w:rPr>
              <w:t xml:space="preserve"> </w:t>
            </w:r>
            <w:r>
              <w:rPr>
                <w:spacing w:val="-4"/>
                <w:sz w:val="21"/>
              </w:rPr>
              <w:t>(IMF)</w:t>
            </w:r>
          </w:p>
        </w:tc>
      </w:tr>
      <w:tr w:rsidR="005E140F" w14:paraId="1F338EA3" w14:textId="77777777" w:rsidTr="00580985">
        <w:trPr>
          <w:trHeight w:val="229"/>
        </w:trPr>
        <w:tc>
          <w:tcPr>
            <w:tcW w:w="2217" w:type="dxa"/>
          </w:tcPr>
          <w:p w14:paraId="22D2BA1B" w14:textId="77777777" w:rsidR="005E140F" w:rsidRDefault="00000000">
            <w:pPr>
              <w:pStyle w:val="TableParagraph"/>
              <w:spacing w:before="2"/>
              <w:ind w:left="105"/>
              <w:rPr>
                <w:sz w:val="21"/>
              </w:rPr>
            </w:pPr>
            <w:r>
              <w:rPr>
                <w:sz w:val="21"/>
              </w:rPr>
              <w:t>Annual</w:t>
            </w:r>
            <w:r>
              <w:rPr>
                <w:spacing w:val="7"/>
                <w:sz w:val="21"/>
              </w:rPr>
              <w:t xml:space="preserve"> </w:t>
            </w:r>
            <w:r>
              <w:rPr>
                <w:spacing w:val="-2"/>
                <w:sz w:val="21"/>
              </w:rPr>
              <w:t>review</w:t>
            </w:r>
          </w:p>
        </w:tc>
        <w:tc>
          <w:tcPr>
            <w:tcW w:w="2321" w:type="dxa"/>
          </w:tcPr>
          <w:p w14:paraId="093A5A94" w14:textId="77777777" w:rsidR="005E140F" w:rsidRDefault="00000000">
            <w:pPr>
              <w:pStyle w:val="TableParagraph"/>
              <w:spacing w:before="2"/>
              <w:rPr>
                <w:sz w:val="21"/>
              </w:rPr>
            </w:pPr>
            <w:r>
              <w:rPr>
                <w:sz w:val="21"/>
              </w:rPr>
              <w:t>18</w:t>
            </w:r>
            <w:r>
              <w:rPr>
                <w:spacing w:val="7"/>
                <w:sz w:val="21"/>
              </w:rPr>
              <w:t xml:space="preserve"> </w:t>
            </w:r>
            <w:r>
              <w:rPr>
                <w:sz w:val="21"/>
              </w:rPr>
              <w:t>October</w:t>
            </w:r>
            <w:r>
              <w:rPr>
                <w:spacing w:val="7"/>
                <w:sz w:val="21"/>
              </w:rPr>
              <w:t xml:space="preserve"> </w:t>
            </w:r>
            <w:r>
              <w:rPr>
                <w:spacing w:val="-4"/>
                <w:sz w:val="21"/>
              </w:rPr>
              <w:t>2019</w:t>
            </w:r>
          </w:p>
        </w:tc>
        <w:tc>
          <w:tcPr>
            <w:tcW w:w="4620" w:type="dxa"/>
          </w:tcPr>
          <w:p w14:paraId="1EB19F28" w14:textId="77777777" w:rsidR="005E140F" w:rsidRDefault="00000000">
            <w:pPr>
              <w:pStyle w:val="TableParagraph"/>
              <w:spacing w:before="2"/>
              <w:ind w:left="102"/>
              <w:rPr>
                <w:sz w:val="21"/>
              </w:rPr>
            </w:pPr>
            <w:r>
              <w:rPr>
                <w:sz w:val="21"/>
              </w:rPr>
              <w:t>Louise</w:t>
            </w:r>
            <w:r>
              <w:rPr>
                <w:spacing w:val="6"/>
                <w:sz w:val="21"/>
              </w:rPr>
              <w:t xml:space="preserve"> </w:t>
            </w:r>
            <w:r>
              <w:rPr>
                <w:sz w:val="21"/>
              </w:rPr>
              <w:t>McClure,</w:t>
            </w:r>
            <w:r>
              <w:rPr>
                <w:spacing w:val="5"/>
                <w:sz w:val="21"/>
              </w:rPr>
              <w:t xml:space="preserve"> </w:t>
            </w:r>
            <w:r>
              <w:rPr>
                <w:sz w:val="21"/>
              </w:rPr>
              <w:t>for</w:t>
            </w:r>
            <w:r>
              <w:rPr>
                <w:spacing w:val="8"/>
                <w:sz w:val="21"/>
              </w:rPr>
              <w:t xml:space="preserve"> </w:t>
            </w:r>
            <w:r>
              <w:rPr>
                <w:sz w:val="21"/>
              </w:rPr>
              <w:t>approval</w:t>
            </w:r>
            <w:r>
              <w:rPr>
                <w:spacing w:val="8"/>
                <w:sz w:val="21"/>
              </w:rPr>
              <w:t xml:space="preserve"> </w:t>
            </w:r>
            <w:r>
              <w:rPr>
                <w:sz w:val="21"/>
              </w:rPr>
              <w:t>by</w:t>
            </w:r>
            <w:r>
              <w:rPr>
                <w:spacing w:val="10"/>
                <w:sz w:val="21"/>
              </w:rPr>
              <w:t xml:space="preserve"> </w:t>
            </w:r>
            <w:r>
              <w:rPr>
                <w:spacing w:val="-5"/>
                <w:sz w:val="21"/>
              </w:rPr>
              <w:t>IMF</w:t>
            </w:r>
          </w:p>
        </w:tc>
      </w:tr>
      <w:tr w:rsidR="005E140F" w14:paraId="798A5BAC" w14:textId="77777777" w:rsidTr="00580985">
        <w:trPr>
          <w:trHeight w:val="230"/>
        </w:trPr>
        <w:tc>
          <w:tcPr>
            <w:tcW w:w="2217" w:type="dxa"/>
          </w:tcPr>
          <w:p w14:paraId="17F3B32C" w14:textId="77777777" w:rsidR="005E140F" w:rsidRDefault="00000000">
            <w:pPr>
              <w:pStyle w:val="TableParagraph"/>
              <w:ind w:left="105"/>
              <w:rPr>
                <w:sz w:val="21"/>
              </w:rPr>
            </w:pPr>
            <w:r>
              <w:rPr>
                <w:sz w:val="21"/>
              </w:rPr>
              <w:t>Annual</w:t>
            </w:r>
            <w:r>
              <w:rPr>
                <w:spacing w:val="7"/>
                <w:sz w:val="21"/>
              </w:rPr>
              <w:t xml:space="preserve"> </w:t>
            </w:r>
            <w:r>
              <w:rPr>
                <w:spacing w:val="-2"/>
                <w:sz w:val="21"/>
              </w:rPr>
              <w:t>review</w:t>
            </w:r>
          </w:p>
        </w:tc>
        <w:tc>
          <w:tcPr>
            <w:tcW w:w="2321" w:type="dxa"/>
          </w:tcPr>
          <w:p w14:paraId="7B2D5C0C" w14:textId="77777777" w:rsidR="005E140F" w:rsidRDefault="00000000">
            <w:pPr>
              <w:pStyle w:val="TableParagraph"/>
              <w:rPr>
                <w:sz w:val="21"/>
              </w:rPr>
            </w:pPr>
            <w:r>
              <w:rPr>
                <w:sz w:val="21"/>
              </w:rPr>
              <w:t>16</w:t>
            </w:r>
            <w:r>
              <w:rPr>
                <w:spacing w:val="9"/>
                <w:sz w:val="21"/>
              </w:rPr>
              <w:t xml:space="preserve"> </w:t>
            </w:r>
            <w:r>
              <w:rPr>
                <w:sz w:val="21"/>
              </w:rPr>
              <w:t>September</w:t>
            </w:r>
            <w:r>
              <w:rPr>
                <w:spacing w:val="8"/>
                <w:sz w:val="21"/>
              </w:rPr>
              <w:t xml:space="preserve"> </w:t>
            </w:r>
            <w:r>
              <w:rPr>
                <w:spacing w:val="-4"/>
                <w:sz w:val="21"/>
              </w:rPr>
              <w:t>2020</w:t>
            </w:r>
          </w:p>
        </w:tc>
        <w:tc>
          <w:tcPr>
            <w:tcW w:w="4620" w:type="dxa"/>
          </w:tcPr>
          <w:p w14:paraId="163139FD" w14:textId="77777777" w:rsidR="005E140F" w:rsidRDefault="00000000">
            <w:pPr>
              <w:pStyle w:val="TableParagraph"/>
              <w:ind w:left="102"/>
              <w:rPr>
                <w:sz w:val="21"/>
              </w:rPr>
            </w:pPr>
            <w:r>
              <w:rPr>
                <w:sz w:val="21"/>
              </w:rPr>
              <w:t>Sharyn</w:t>
            </w:r>
            <w:r>
              <w:rPr>
                <w:spacing w:val="7"/>
                <w:sz w:val="21"/>
              </w:rPr>
              <w:t xml:space="preserve"> </w:t>
            </w:r>
            <w:r>
              <w:rPr>
                <w:sz w:val="21"/>
              </w:rPr>
              <w:t>Bennett,</w:t>
            </w:r>
            <w:r>
              <w:rPr>
                <w:spacing w:val="3"/>
                <w:sz w:val="21"/>
              </w:rPr>
              <w:t xml:space="preserve"> </w:t>
            </w:r>
            <w:r>
              <w:rPr>
                <w:sz w:val="21"/>
              </w:rPr>
              <w:t>for</w:t>
            </w:r>
            <w:r>
              <w:rPr>
                <w:spacing w:val="10"/>
                <w:sz w:val="21"/>
              </w:rPr>
              <w:t xml:space="preserve"> </w:t>
            </w:r>
            <w:r>
              <w:rPr>
                <w:sz w:val="21"/>
              </w:rPr>
              <w:t>approval</w:t>
            </w:r>
            <w:r>
              <w:rPr>
                <w:spacing w:val="7"/>
                <w:sz w:val="21"/>
              </w:rPr>
              <w:t xml:space="preserve"> </w:t>
            </w:r>
            <w:r>
              <w:rPr>
                <w:sz w:val="21"/>
              </w:rPr>
              <w:t>by</w:t>
            </w:r>
            <w:r>
              <w:rPr>
                <w:spacing w:val="10"/>
                <w:sz w:val="21"/>
              </w:rPr>
              <w:t xml:space="preserve"> </w:t>
            </w:r>
            <w:r>
              <w:rPr>
                <w:spacing w:val="-5"/>
                <w:sz w:val="21"/>
              </w:rPr>
              <w:t>IMF</w:t>
            </w:r>
          </w:p>
        </w:tc>
      </w:tr>
      <w:tr w:rsidR="005E140F" w14:paraId="59BC8C0F" w14:textId="77777777" w:rsidTr="00580985">
        <w:trPr>
          <w:trHeight w:val="230"/>
        </w:trPr>
        <w:tc>
          <w:tcPr>
            <w:tcW w:w="2217" w:type="dxa"/>
          </w:tcPr>
          <w:p w14:paraId="4BEBE19A" w14:textId="77777777" w:rsidR="005E140F" w:rsidRDefault="00000000">
            <w:pPr>
              <w:pStyle w:val="TableParagraph"/>
              <w:ind w:left="105"/>
              <w:rPr>
                <w:sz w:val="21"/>
              </w:rPr>
            </w:pPr>
            <w:r>
              <w:rPr>
                <w:sz w:val="21"/>
              </w:rPr>
              <w:t>Annual</w:t>
            </w:r>
            <w:r>
              <w:rPr>
                <w:spacing w:val="7"/>
                <w:sz w:val="21"/>
              </w:rPr>
              <w:t xml:space="preserve"> </w:t>
            </w:r>
            <w:r>
              <w:rPr>
                <w:spacing w:val="-2"/>
                <w:sz w:val="21"/>
              </w:rPr>
              <w:t>review</w:t>
            </w:r>
          </w:p>
        </w:tc>
        <w:tc>
          <w:tcPr>
            <w:tcW w:w="2321" w:type="dxa"/>
          </w:tcPr>
          <w:p w14:paraId="333A9E33" w14:textId="77777777" w:rsidR="005E140F" w:rsidRDefault="00000000">
            <w:pPr>
              <w:pStyle w:val="TableParagraph"/>
              <w:rPr>
                <w:sz w:val="21"/>
              </w:rPr>
            </w:pPr>
            <w:r>
              <w:rPr>
                <w:sz w:val="21"/>
              </w:rPr>
              <w:t>22</w:t>
            </w:r>
            <w:r>
              <w:rPr>
                <w:spacing w:val="9"/>
                <w:sz w:val="21"/>
              </w:rPr>
              <w:t xml:space="preserve"> </w:t>
            </w:r>
            <w:r>
              <w:rPr>
                <w:sz w:val="21"/>
              </w:rPr>
              <w:t>September</w:t>
            </w:r>
            <w:r>
              <w:rPr>
                <w:spacing w:val="8"/>
                <w:sz w:val="21"/>
              </w:rPr>
              <w:t xml:space="preserve"> </w:t>
            </w:r>
            <w:r>
              <w:rPr>
                <w:spacing w:val="-4"/>
                <w:sz w:val="21"/>
              </w:rPr>
              <w:t>2021</w:t>
            </w:r>
          </w:p>
        </w:tc>
        <w:tc>
          <w:tcPr>
            <w:tcW w:w="4620" w:type="dxa"/>
          </w:tcPr>
          <w:p w14:paraId="6AD3C86A" w14:textId="77777777" w:rsidR="005E140F" w:rsidRDefault="00000000">
            <w:pPr>
              <w:pStyle w:val="TableParagraph"/>
              <w:ind w:left="102"/>
              <w:rPr>
                <w:sz w:val="21"/>
              </w:rPr>
            </w:pPr>
            <w:r>
              <w:rPr>
                <w:sz w:val="21"/>
              </w:rPr>
              <w:t>Sharyn</w:t>
            </w:r>
            <w:r>
              <w:rPr>
                <w:spacing w:val="7"/>
                <w:sz w:val="21"/>
              </w:rPr>
              <w:t xml:space="preserve"> </w:t>
            </w:r>
            <w:r>
              <w:rPr>
                <w:sz w:val="21"/>
              </w:rPr>
              <w:t>Bennett,</w:t>
            </w:r>
            <w:r>
              <w:rPr>
                <w:spacing w:val="3"/>
                <w:sz w:val="21"/>
              </w:rPr>
              <w:t xml:space="preserve"> </w:t>
            </w:r>
            <w:r>
              <w:rPr>
                <w:sz w:val="21"/>
              </w:rPr>
              <w:t>for</w:t>
            </w:r>
            <w:r>
              <w:rPr>
                <w:spacing w:val="10"/>
                <w:sz w:val="21"/>
              </w:rPr>
              <w:t xml:space="preserve"> </w:t>
            </w:r>
            <w:r>
              <w:rPr>
                <w:sz w:val="21"/>
              </w:rPr>
              <w:t>approval</w:t>
            </w:r>
            <w:r>
              <w:rPr>
                <w:spacing w:val="7"/>
                <w:sz w:val="21"/>
              </w:rPr>
              <w:t xml:space="preserve"> </w:t>
            </w:r>
            <w:r>
              <w:rPr>
                <w:sz w:val="21"/>
              </w:rPr>
              <w:t>by</w:t>
            </w:r>
            <w:r>
              <w:rPr>
                <w:spacing w:val="10"/>
                <w:sz w:val="21"/>
              </w:rPr>
              <w:t xml:space="preserve"> </w:t>
            </w:r>
            <w:r>
              <w:rPr>
                <w:spacing w:val="-5"/>
                <w:sz w:val="21"/>
              </w:rPr>
              <w:t>IMF</w:t>
            </w:r>
          </w:p>
        </w:tc>
      </w:tr>
      <w:tr w:rsidR="005E140F" w14:paraId="7B6C3C20" w14:textId="77777777" w:rsidTr="00580985">
        <w:trPr>
          <w:trHeight w:val="230"/>
        </w:trPr>
        <w:tc>
          <w:tcPr>
            <w:tcW w:w="2217" w:type="dxa"/>
          </w:tcPr>
          <w:p w14:paraId="3155F78A" w14:textId="77777777" w:rsidR="005E140F" w:rsidRDefault="00000000">
            <w:pPr>
              <w:pStyle w:val="TableParagraph"/>
              <w:ind w:left="105"/>
              <w:rPr>
                <w:sz w:val="21"/>
              </w:rPr>
            </w:pPr>
            <w:r>
              <w:rPr>
                <w:sz w:val="21"/>
              </w:rPr>
              <w:t>Annual</w:t>
            </w:r>
            <w:r>
              <w:rPr>
                <w:spacing w:val="7"/>
                <w:sz w:val="21"/>
              </w:rPr>
              <w:t xml:space="preserve"> </w:t>
            </w:r>
            <w:r>
              <w:rPr>
                <w:spacing w:val="-2"/>
                <w:sz w:val="21"/>
              </w:rPr>
              <w:t>review</w:t>
            </w:r>
          </w:p>
        </w:tc>
        <w:tc>
          <w:tcPr>
            <w:tcW w:w="2321" w:type="dxa"/>
          </w:tcPr>
          <w:p w14:paraId="4A0625AD" w14:textId="77777777" w:rsidR="005E140F" w:rsidRDefault="00000000">
            <w:pPr>
              <w:pStyle w:val="TableParagraph"/>
              <w:rPr>
                <w:sz w:val="21"/>
              </w:rPr>
            </w:pPr>
            <w:r>
              <w:rPr>
                <w:sz w:val="21"/>
              </w:rPr>
              <w:t>24</w:t>
            </w:r>
            <w:r>
              <w:rPr>
                <w:spacing w:val="7"/>
                <w:sz w:val="21"/>
              </w:rPr>
              <w:t xml:space="preserve"> </w:t>
            </w:r>
            <w:r>
              <w:rPr>
                <w:sz w:val="21"/>
              </w:rPr>
              <w:t>August</w:t>
            </w:r>
            <w:r>
              <w:rPr>
                <w:spacing w:val="6"/>
                <w:sz w:val="21"/>
              </w:rPr>
              <w:t xml:space="preserve"> </w:t>
            </w:r>
            <w:r>
              <w:rPr>
                <w:spacing w:val="-4"/>
                <w:sz w:val="21"/>
              </w:rPr>
              <w:t>2022</w:t>
            </w:r>
          </w:p>
        </w:tc>
        <w:tc>
          <w:tcPr>
            <w:tcW w:w="4620" w:type="dxa"/>
          </w:tcPr>
          <w:p w14:paraId="68E02EB1" w14:textId="77777777" w:rsidR="005E140F" w:rsidRDefault="00000000">
            <w:pPr>
              <w:pStyle w:val="TableParagraph"/>
              <w:ind w:left="102"/>
              <w:rPr>
                <w:sz w:val="21"/>
              </w:rPr>
            </w:pPr>
            <w:r>
              <w:rPr>
                <w:sz w:val="21"/>
              </w:rPr>
              <w:t>Sharyn</w:t>
            </w:r>
            <w:r>
              <w:rPr>
                <w:spacing w:val="7"/>
                <w:sz w:val="21"/>
              </w:rPr>
              <w:t xml:space="preserve"> </w:t>
            </w:r>
            <w:r>
              <w:rPr>
                <w:sz w:val="21"/>
              </w:rPr>
              <w:t>Bennett,</w:t>
            </w:r>
            <w:r>
              <w:rPr>
                <w:spacing w:val="3"/>
                <w:sz w:val="21"/>
              </w:rPr>
              <w:t xml:space="preserve"> </w:t>
            </w:r>
            <w:r>
              <w:rPr>
                <w:sz w:val="21"/>
              </w:rPr>
              <w:t>for</w:t>
            </w:r>
            <w:r>
              <w:rPr>
                <w:spacing w:val="10"/>
                <w:sz w:val="21"/>
              </w:rPr>
              <w:t xml:space="preserve"> </w:t>
            </w:r>
            <w:r>
              <w:rPr>
                <w:sz w:val="21"/>
              </w:rPr>
              <w:t>approval</w:t>
            </w:r>
            <w:r>
              <w:rPr>
                <w:spacing w:val="7"/>
                <w:sz w:val="21"/>
              </w:rPr>
              <w:t xml:space="preserve"> </w:t>
            </w:r>
            <w:r>
              <w:rPr>
                <w:sz w:val="21"/>
              </w:rPr>
              <w:t>by</w:t>
            </w:r>
            <w:r>
              <w:rPr>
                <w:spacing w:val="10"/>
                <w:sz w:val="21"/>
              </w:rPr>
              <w:t xml:space="preserve"> </w:t>
            </w:r>
            <w:r>
              <w:rPr>
                <w:spacing w:val="-5"/>
                <w:sz w:val="21"/>
              </w:rPr>
              <w:t>IMF</w:t>
            </w:r>
          </w:p>
        </w:tc>
      </w:tr>
      <w:tr w:rsidR="005E140F" w14:paraId="25CBE711" w14:textId="77777777" w:rsidTr="00580985">
        <w:trPr>
          <w:trHeight w:val="230"/>
        </w:trPr>
        <w:tc>
          <w:tcPr>
            <w:tcW w:w="2217" w:type="dxa"/>
          </w:tcPr>
          <w:p w14:paraId="024B9330" w14:textId="77777777" w:rsidR="005E140F" w:rsidRDefault="00000000">
            <w:pPr>
              <w:pStyle w:val="TableParagraph"/>
              <w:spacing w:before="4"/>
              <w:ind w:left="105"/>
              <w:rPr>
                <w:sz w:val="21"/>
              </w:rPr>
            </w:pPr>
            <w:r>
              <w:rPr>
                <w:sz w:val="21"/>
              </w:rPr>
              <w:t>Annual</w:t>
            </w:r>
            <w:r>
              <w:rPr>
                <w:spacing w:val="7"/>
                <w:sz w:val="21"/>
              </w:rPr>
              <w:t xml:space="preserve"> </w:t>
            </w:r>
            <w:r>
              <w:rPr>
                <w:spacing w:val="-2"/>
                <w:sz w:val="21"/>
              </w:rPr>
              <w:t>review</w:t>
            </w:r>
          </w:p>
        </w:tc>
        <w:tc>
          <w:tcPr>
            <w:tcW w:w="2321" w:type="dxa"/>
          </w:tcPr>
          <w:p w14:paraId="285A39C8" w14:textId="77777777" w:rsidR="005E140F" w:rsidRDefault="00000000">
            <w:pPr>
              <w:pStyle w:val="TableParagraph"/>
              <w:spacing w:before="4"/>
              <w:rPr>
                <w:sz w:val="21"/>
              </w:rPr>
            </w:pPr>
            <w:r>
              <w:rPr>
                <w:sz w:val="21"/>
              </w:rPr>
              <w:t>30</w:t>
            </w:r>
            <w:r>
              <w:rPr>
                <w:spacing w:val="7"/>
                <w:sz w:val="21"/>
              </w:rPr>
              <w:t xml:space="preserve"> </w:t>
            </w:r>
            <w:r>
              <w:rPr>
                <w:sz w:val="21"/>
              </w:rPr>
              <w:t>August</w:t>
            </w:r>
            <w:r>
              <w:rPr>
                <w:spacing w:val="6"/>
                <w:sz w:val="21"/>
              </w:rPr>
              <w:t xml:space="preserve"> </w:t>
            </w:r>
            <w:r>
              <w:rPr>
                <w:spacing w:val="-4"/>
                <w:sz w:val="21"/>
              </w:rPr>
              <w:t>2023</w:t>
            </w:r>
          </w:p>
        </w:tc>
        <w:tc>
          <w:tcPr>
            <w:tcW w:w="4620" w:type="dxa"/>
          </w:tcPr>
          <w:p w14:paraId="286780FB" w14:textId="77777777" w:rsidR="005E140F" w:rsidRDefault="00000000">
            <w:pPr>
              <w:pStyle w:val="TableParagraph"/>
              <w:spacing w:before="4"/>
              <w:ind w:left="102"/>
              <w:rPr>
                <w:sz w:val="21"/>
              </w:rPr>
            </w:pPr>
            <w:r>
              <w:rPr>
                <w:sz w:val="21"/>
              </w:rPr>
              <w:t>Sharyn</w:t>
            </w:r>
            <w:r>
              <w:rPr>
                <w:spacing w:val="7"/>
                <w:sz w:val="21"/>
              </w:rPr>
              <w:t xml:space="preserve"> </w:t>
            </w:r>
            <w:r>
              <w:rPr>
                <w:sz w:val="21"/>
              </w:rPr>
              <w:t>Bennett,</w:t>
            </w:r>
            <w:r>
              <w:rPr>
                <w:spacing w:val="3"/>
                <w:sz w:val="21"/>
              </w:rPr>
              <w:t xml:space="preserve"> </w:t>
            </w:r>
            <w:r>
              <w:rPr>
                <w:sz w:val="21"/>
              </w:rPr>
              <w:t>for</w:t>
            </w:r>
            <w:r>
              <w:rPr>
                <w:spacing w:val="10"/>
                <w:sz w:val="21"/>
              </w:rPr>
              <w:t xml:space="preserve"> </w:t>
            </w:r>
            <w:r>
              <w:rPr>
                <w:sz w:val="21"/>
              </w:rPr>
              <w:t>approval</w:t>
            </w:r>
            <w:r>
              <w:rPr>
                <w:spacing w:val="7"/>
                <w:sz w:val="21"/>
              </w:rPr>
              <w:t xml:space="preserve"> </w:t>
            </w:r>
            <w:r>
              <w:rPr>
                <w:sz w:val="21"/>
              </w:rPr>
              <w:t>by</w:t>
            </w:r>
            <w:r>
              <w:rPr>
                <w:spacing w:val="10"/>
                <w:sz w:val="21"/>
              </w:rPr>
              <w:t xml:space="preserve"> </w:t>
            </w:r>
            <w:r>
              <w:rPr>
                <w:spacing w:val="-5"/>
                <w:sz w:val="21"/>
              </w:rPr>
              <w:t>IMF</w:t>
            </w:r>
          </w:p>
        </w:tc>
      </w:tr>
      <w:tr w:rsidR="004272A0" w14:paraId="0C473B49" w14:textId="77777777" w:rsidTr="00580985">
        <w:trPr>
          <w:trHeight w:val="230"/>
        </w:trPr>
        <w:tc>
          <w:tcPr>
            <w:tcW w:w="2217" w:type="dxa"/>
          </w:tcPr>
          <w:p w14:paraId="579415EB" w14:textId="34AE2D5C" w:rsidR="004272A0" w:rsidRDefault="004272A0">
            <w:pPr>
              <w:pStyle w:val="TableParagraph"/>
              <w:spacing w:before="4"/>
              <w:ind w:left="105"/>
              <w:rPr>
                <w:sz w:val="21"/>
              </w:rPr>
            </w:pPr>
            <w:r>
              <w:rPr>
                <w:sz w:val="21"/>
              </w:rPr>
              <w:t>Annual review</w:t>
            </w:r>
          </w:p>
        </w:tc>
        <w:tc>
          <w:tcPr>
            <w:tcW w:w="2321" w:type="dxa"/>
          </w:tcPr>
          <w:p w14:paraId="6719C564" w14:textId="6CCE2ACB" w:rsidR="004272A0" w:rsidRDefault="004272A0">
            <w:pPr>
              <w:pStyle w:val="TableParagraph"/>
              <w:spacing w:before="4"/>
              <w:rPr>
                <w:sz w:val="21"/>
              </w:rPr>
            </w:pPr>
            <w:r>
              <w:rPr>
                <w:sz w:val="21"/>
              </w:rPr>
              <w:t>28 August 2024</w:t>
            </w:r>
          </w:p>
        </w:tc>
        <w:tc>
          <w:tcPr>
            <w:tcW w:w="4620" w:type="dxa"/>
          </w:tcPr>
          <w:p w14:paraId="62B6722E" w14:textId="0A276E7D" w:rsidR="004272A0" w:rsidRDefault="004272A0">
            <w:pPr>
              <w:pStyle w:val="TableParagraph"/>
              <w:spacing w:before="4"/>
              <w:ind w:left="102"/>
              <w:rPr>
                <w:sz w:val="21"/>
              </w:rPr>
            </w:pPr>
            <w:r>
              <w:rPr>
                <w:sz w:val="21"/>
              </w:rPr>
              <w:t>Sharyn Bennett, for approval by IMF</w:t>
            </w:r>
          </w:p>
        </w:tc>
      </w:tr>
    </w:tbl>
    <w:p w14:paraId="1A6C2E67" w14:textId="77777777" w:rsidR="005E140F" w:rsidRDefault="005E140F">
      <w:pPr>
        <w:pStyle w:val="BodyText"/>
        <w:rPr>
          <w:sz w:val="20"/>
        </w:rPr>
      </w:pPr>
    </w:p>
    <w:p w14:paraId="433CD3E0" w14:textId="77777777" w:rsidR="005E140F" w:rsidRDefault="00000000">
      <w:pPr>
        <w:pStyle w:val="Heading1"/>
        <w:numPr>
          <w:ilvl w:val="0"/>
          <w:numId w:val="4"/>
        </w:numPr>
        <w:tabs>
          <w:tab w:val="left" w:pos="1565"/>
        </w:tabs>
        <w:spacing w:before="146"/>
      </w:pPr>
      <w:bookmarkStart w:id="1" w:name="_TOC_250038"/>
      <w:r>
        <w:t>Summary</w:t>
      </w:r>
      <w:r>
        <w:rPr>
          <w:spacing w:val="-14"/>
        </w:rPr>
        <w:t xml:space="preserve"> </w:t>
      </w:r>
      <w:r>
        <w:t>of</w:t>
      </w:r>
      <w:r>
        <w:rPr>
          <w:spacing w:val="-18"/>
        </w:rPr>
        <w:t xml:space="preserve"> </w:t>
      </w:r>
      <w:bookmarkEnd w:id="1"/>
      <w:r>
        <w:rPr>
          <w:spacing w:val="-2"/>
        </w:rPr>
        <w:t>changes</w:t>
      </w:r>
    </w:p>
    <w:p w14:paraId="0F990388" w14:textId="006A5993" w:rsidR="005E140F" w:rsidRDefault="00000000">
      <w:pPr>
        <w:spacing w:before="192"/>
        <w:ind w:left="863"/>
        <w:rPr>
          <w:b/>
          <w:spacing w:val="-4"/>
          <w:sz w:val="21"/>
        </w:rPr>
      </w:pPr>
      <w:r>
        <w:rPr>
          <w:b/>
          <w:sz w:val="21"/>
        </w:rPr>
        <w:t>Annual</w:t>
      </w:r>
      <w:r>
        <w:rPr>
          <w:b/>
          <w:spacing w:val="7"/>
          <w:sz w:val="21"/>
        </w:rPr>
        <w:t xml:space="preserve"> </w:t>
      </w:r>
      <w:r>
        <w:rPr>
          <w:b/>
          <w:sz w:val="21"/>
        </w:rPr>
        <w:t>review</w:t>
      </w:r>
      <w:r>
        <w:rPr>
          <w:b/>
          <w:spacing w:val="5"/>
          <w:sz w:val="21"/>
        </w:rPr>
        <w:t xml:space="preserve"> </w:t>
      </w:r>
      <w:r w:rsidR="004272A0">
        <w:rPr>
          <w:b/>
          <w:sz w:val="21"/>
        </w:rPr>
        <w:t>28</w:t>
      </w:r>
      <w:r>
        <w:rPr>
          <w:b/>
          <w:spacing w:val="10"/>
          <w:sz w:val="21"/>
        </w:rPr>
        <w:t xml:space="preserve"> </w:t>
      </w:r>
      <w:r>
        <w:rPr>
          <w:b/>
          <w:sz w:val="21"/>
        </w:rPr>
        <w:t>August</w:t>
      </w:r>
      <w:r>
        <w:rPr>
          <w:b/>
          <w:spacing w:val="5"/>
          <w:sz w:val="21"/>
        </w:rPr>
        <w:t xml:space="preserve"> </w:t>
      </w:r>
      <w:r>
        <w:rPr>
          <w:b/>
          <w:spacing w:val="-4"/>
          <w:sz w:val="21"/>
        </w:rPr>
        <w:t>202</w:t>
      </w:r>
      <w:r w:rsidR="004272A0">
        <w:rPr>
          <w:b/>
          <w:spacing w:val="-4"/>
          <w:sz w:val="21"/>
        </w:rPr>
        <w:t>4</w:t>
      </w:r>
    </w:p>
    <w:p w14:paraId="79CC3B3D" w14:textId="69E302F8" w:rsidR="004272A0" w:rsidRDefault="004272A0" w:rsidP="004272A0">
      <w:pPr>
        <w:pStyle w:val="ListParagraph"/>
        <w:numPr>
          <w:ilvl w:val="1"/>
          <w:numId w:val="4"/>
        </w:numPr>
        <w:spacing w:before="192"/>
        <w:rPr>
          <w:b/>
          <w:spacing w:val="-4"/>
          <w:sz w:val="21"/>
        </w:rPr>
      </w:pPr>
      <w:r>
        <w:rPr>
          <w:b/>
          <w:spacing w:val="-4"/>
          <w:sz w:val="21"/>
        </w:rPr>
        <w:t xml:space="preserve">Minor changes to dates </w:t>
      </w:r>
      <w:proofErr w:type="spellStart"/>
      <w:r>
        <w:rPr>
          <w:b/>
          <w:spacing w:val="-4"/>
          <w:sz w:val="21"/>
        </w:rPr>
        <w:t>etc</w:t>
      </w:r>
      <w:proofErr w:type="spellEnd"/>
      <w:r>
        <w:rPr>
          <w:b/>
          <w:spacing w:val="-4"/>
          <w:sz w:val="21"/>
        </w:rPr>
        <w:t xml:space="preserve"> in line with the Policy year</w:t>
      </w:r>
    </w:p>
    <w:p w14:paraId="148236D1" w14:textId="4E9AFB35" w:rsidR="00CA7812" w:rsidRDefault="00CA7812" w:rsidP="004272A0">
      <w:pPr>
        <w:pStyle w:val="ListParagraph"/>
        <w:numPr>
          <w:ilvl w:val="1"/>
          <w:numId w:val="4"/>
        </w:numPr>
        <w:spacing w:before="192"/>
        <w:rPr>
          <w:b/>
          <w:spacing w:val="-4"/>
          <w:sz w:val="21"/>
        </w:rPr>
      </w:pPr>
      <w:r>
        <w:rPr>
          <w:b/>
          <w:spacing w:val="-4"/>
          <w:sz w:val="21"/>
        </w:rPr>
        <w:t>Minor changes to phrasing to clarify points which have been raised/misunderstood in the previous year</w:t>
      </w:r>
    </w:p>
    <w:p w14:paraId="5E1AAD6D" w14:textId="77777777" w:rsidR="00EE4467" w:rsidRDefault="00EE4467" w:rsidP="004272A0">
      <w:pPr>
        <w:pStyle w:val="ListParagraph"/>
        <w:numPr>
          <w:ilvl w:val="1"/>
          <w:numId w:val="4"/>
        </w:numPr>
        <w:spacing w:before="192"/>
        <w:rPr>
          <w:b/>
          <w:spacing w:val="-4"/>
          <w:sz w:val="21"/>
        </w:rPr>
      </w:pPr>
      <w:r>
        <w:rPr>
          <w:b/>
          <w:spacing w:val="-4"/>
          <w:sz w:val="21"/>
        </w:rPr>
        <w:t xml:space="preserve">Additional clause under Section 3. Forcible withdrawal of mobility period </w:t>
      </w:r>
    </w:p>
    <w:p w14:paraId="290B839D" w14:textId="72BCA108" w:rsidR="00EE4467" w:rsidRPr="00EE4467" w:rsidRDefault="00EE4467" w:rsidP="00EE4467">
      <w:pPr>
        <w:pStyle w:val="ListParagraph"/>
        <w:numPr>
          <w:ilvl w:val="2"/>
          <w:numId w:val="4"/>
        </w:numPr>
        <w:spacing w:before="192"/>
        <w:ind w:left="2450" w:hanging="352"/>
        <w:rPr>
          <w:bCs/>
          <w:spacing w:val="-4"/>
          <w:sz w:val="21"/>
        </w:rPr>
      </w:pPr>
      <w:r w:rsidRPr="00EE4467">
        <w:rPr>
          <w:bCs/>
          <w:spacing w:val="-4"/>
          <w:sz w:val="21"/>
        </w:rPr>
        <w:t>to highlight potential instances of changes to legislation</w:t>
      </w:r>
      <w:r>
        <w:rPr>
          <w:bCs/>
          <w:spacing w:val="-4"/>
          <w:sz w:val="21"/>
        </w:rPr>
        <w:t>/</w:t>
      </w:r>
      <w:r w:rsidRPr="00EE4467">
        <w:rPr>
          <w:bCs/>
          <w:spacing w:val="-4"/>
          <w:sz w:val="21"/>
        </w:rPr>
        <w:t>policy a</w:t>
      </w:r>
      <w:r>
        <w:rPr>
          <w:bCs/>
          <w:spacing w:val="-4"/>
          <w:sz w:val="21"/>
        </w:rPr>
        <w:t>t</w:t>
      </w:r>
      <w:r w:rsidRPr="00EE4467">
        <w:rPr>
          <w:bCs/>
          <w:spacing w:val="-4"/>
          <w:sz w:val="21"/>
        </w:rPr>
        <w:t xml:space="preserve"> governmental/institutional level, (</w:t>
      </w:r>
      <w:proofErr w:type="spellStart"/>
      <w:r w:rsidRPr="00EE4467">
        <w:rPr>
          <w:bCs/>
          <w:spacing w:val="-4"/>
          <w:sz w:val="21"/>
        </w:rPr>
        <w:t>ie</w:t>
      </w:r>
      <w:proofErr w:type="spellEnd"/>
      <w:r w:rsidRPr="00EE4467">
        <w:rPr>
          <w:bCs/>
          <w:spacing w:val="-4"/>
          <w:sz w:val="21"/>
        </w:rPr>
        <w:t>, immigration rules and restrictions)</w:t>
      </w:r>
    </w:p>
    <w:p w14:paraId="716A891E" w14:textId="7BCE06F3" w:rsidR="00CA7812" w:rsidRDefault="00CA7812" w:rsidP="004272A0">
      <w:pPr>
        <w:pStyle w:val="ListParagraph"/>
        <w:numPr>
          <w:ilvl w:val="1"/>
          <w:numId w:val="4"/>
        </w:numPr>
        <w:spacing w:before="192"/>
        <w:rPr>
          <w:b/>
          <w:spacing w:val="-4"/>
          <w:sz w:val="21"/>
        </w:rPr>
      </w:pPr>
      <w:r>
        <w:rPr>
          <w:b/>
          <w:spacing w:val="-4"/>
          <w:sz w:val="21"/>
        </w:rPr>
        <w:t xml:space="preserve">Full review and edits to Section 5. Applying for Exchange – Selection and Allocation Criteria </w:t>
      </w:r>
      <w:r w:rsidR="009F52F1">
        <w:rPr>
          <w:b/>
          <w:spacing w:val="-4"/>
          <w:sz w:val="21"/>
        </w:rPr>
        <w:t>including:</w:t>
      </w:r>
    </w:p>
    <w:p w14:paraId="1A671F5D" w14:textId="42BBD3AB" w:rsidR="009F52F1" w:rsidRPr="009F52F1" w:rsidRDefault="009F52F1" w:rsidP="009F52F1">
      <w:pPr>
        <w:pStyle w:val="ListParagraph"/>
        <w:numPr>
          <w:ilvl w:val="2"/>
          <w:numId w:val="4"/>
        </w:numPr>
        <w:spacing w:before="192"/>
        <w:ind w:left="2450" w:hanging="352"/>
        <w:rPr>
          <w:bCs/>
          <w:spacing w:val="-4"/>
          <w:sz w:val="21"/>
        </w:rPr>
      </w:pPr>
      <w:r w:rsidRPr="009F52F1">
        <w:rPr>
          <w:bCs/>
          <w:spacing w:val="-4"/>
          <w:sz w:val="21"/>
        </w:rPr>
        <w:t xml:space="preserve">Specific details around the new proportionate allocation of places at </w:t>
      </w:r>
      <w:proofErr w:type="spellStart"/>
      <w:r w:rsidRPr="009F52F1">
        <w:rPr>
          <w:bCs/>
          <w:spacing w:val="-4"/>
          <w:sz w:val="21"/>
        </w:rPr>
        <w:t>uni</w:t>
      </w:r>
      <w:proofErr w:type="spellEnd"/>
      <w:r w:rsidRPr="009F52F1">
        <w:rPr>
          <w:bCs/>
          <w:spacing w:val="-4"/>
          <w:sz w:val="21"/>
        </w:rPr>
        <w:t>-wide partners</w:t>
      </w:r>
    </w:p>
    <w:p w14:paraId="2F5D8B6C" w14:textId="1DC5325E" w:rsidR="009F52F1" w:rsidRPr="009F52F1" w:rsidRDefault="009F52F1" w:rsidP="009F52F1">
      <w:pPr>
        <w:pStyle w:val="ListParagraph"/>
        <w:numPr>
          <w:ilvl w:val="2"/>
          <w:numId w:val="4"/>
        </w:numPr>
        <w:spacing w:before="192"/>
        <w:ind w:left="2450" w:hanging="352"/>
        <w:rPr>
          <w:bCs/>
          <w:spacing w:val="-4"/>
          <w:sz w:val="21"/>
        </w:rPr>
      </w:pPr>
      <w:r>
        <w:rPr>
          <w:bCs/>
          <w:spacing w:val="-4"/>
          <w:sz w:val="21"/>
        </w:rPr>
        <w:t>Notification/reminder</w:t>
      </w:r>
      <w:r w:rsidRPr="009F52F1">
        <w:rPr>
          <w:bCs/>
          <w:spacing w:val="-4"/>
          <w:sz w:val="21"/>
        </w:rPr>
        <w:t xml:space="preserve"> t</w:t>
      </w:r>
      <w:r>
        <w:rPr>
          <w:bCs/>
          <w:spacing w:val="-4"/>
          <w:sz w:val="21"/>
        </w:rPr>
        <w:t>hat</w:t>
      </w:r>
      <w:r w:rsidRPr="009F52F1">
        <w:rPr>
          <w:bCs/>
          <w:spacing w:val="-4"/>
          <w:sz w:val="21"/>
        </w:rPr>
        <w:t xml:space="preserve"> the BA (Hons) International Business Management </w:t>
      </w:r>
      <w:proofErr w:type="spellStart"/>
      <w:r w:rsidRPr="009F52F1">
        <w:rPr>
          <w:bCs/>
          <w:spacing w:val="-4"/>
          <w:sz w:val="21"/>
        </w:rPr>
        <w:t>programme</w:t>
      </w:r>
      <w:proofErr w:type="spellEnd"/>
      <w:r w:rsidRPr="009F52F1">
        <w:rPr>
          <w:bCs/>
          <w:spacing w:val="-4"/>
          <w:sz w:val="21"/>
        </w:rPr>
        <w:t xml:space="preserve"> </w:t>
      </w:r>
      <w:r w:rsidR="00DB08E4">
        <w:rPr>
          <w:bCs/>
          <w:spacing w:val="-4"/>
          <w:sz w:val="21"/>
        </w:rPr>
        <w:t xml:space="preserve">structure </w:t>
      </w:r>
      <w:r w:rsidRPr="009F52F1">
        <w:rPr>
          <w:bCs/>
          <w:spacing w:val="-4"/>
          <w:sz w:val="21"/>
        </w:rPr>
        <w:t>has been reviewed and now permits students to choose either a single trimester or full year exchange in Year 3.</w:t>
      </w:r>
    </w:p>
    <w:p w14:paraId="2D88BE34" w14:textId="7257C1E2" w:rsidR="009F52F1" w:rsidRPr="009F52F1" w:rsidRDefault="009F52F1" w:rsidP="009F52F1">
      <w:pPr>
        <w:pStyle w:val="ListParagraph"/>
        <w:numPr>
          <w:ilvl w:val="2"/>
          <w:numId w:val="4"/>
        </w:numPr>
        <w:spacing w:before="192"/>
        <w:ind w:left="2450" w:hanging="352"/>
        <w:rPr>
          <w:bCs/>
          <w:spacing w:val="-4"/>
          <w:sz w:val="21"/>
        </w:rPr>
      </w:pPr>
      <w:r w:rsidRPr="009F52F1">
        <w:rPr>
          <w:bCs/>
          <w:spacing w:val="-4"/>
          <w:sz w:val="21"/>
        </w:rPr>
        <w:t>Requirement for IBM students to use all 5 preference slots</w:t>
      </w:r>
    </w:p>
    <w:p w14:paraId="175CB04E" w14:textId="7EB1EFFF" w:rsidR="009F52F1" w:rsidRPr="009F52F1" w:rsidRDefault="009F52F1" w:rsidP="009F52F1">
      <w:pPr>
        <w:pStyle w:val="ListParagraph"/>
        <w:numPr>
          <w:ilvl w:val="2"/>
          <w:numId w:val="4"/>
        </w:numPr>
        <w:spacing w:before="192"/>
        <w:ind w:left="2450" w:hanging="352"/>
        <w:rPr>
          <w:bCs/>
          <w:spacing w:val="-4"/>
          <w:sz w:val="21"/>
        </w:rPr>
      </w:pPr>
      <w:r w:rsidRPr="009F52F1">
        <w:rPr>
          <w:bCs/>
          <w:spacing w:val="-4"/>
          <w:sz w:val="21"/>
        </w:rPr>
        <w:lastRenderedPageBreak/>
        <w:t>Clarity that, within the context of the selection and allocation process, the GMT will be fully responsible for allocations – wit</w:t>
      </w:r>
      <w:r>
        <w:rPr>
          <w:bCs/>
          <w:spacing w:val="-4"/>
          <w:sz w:val="21"/>
        </w:rPr>
        <w:t xml:space="preserve">h </w:t>
      </w:r>
      <w:r w:rsidR="00DB08E4">
        <w:rPr>
          <w:bCs/>
          <w:spacing w:val="-4"/>
          <w:sz w:val="21"/>
        </w:rPr>
        <w:t xml:space="preserve">the expectation that PLs for </w:t>
      </w:r>
      <w:proofErr w:type="spellStart"/>
      <w:r w:rsidR="00DB08E4">
        <w:rPr>
          <w:bCs/>
          <w:spacing w:val="-4"/>
          <w:sz w:val="21"/>
        </w:rPr>
        <w:t>programmes</w:t>
      </w:r>
      <w:proofErr w:type="spellEnd"/>
      <w:r w:rsidR="00DB08E4">
        <w:rPr>
          <w:bCs/>
          <w:spacing w:val="-4"/>
          <w:sz w:val="21"/>
        </w:rPr>
        <w:t xml:space="preserve"> with a compulsory embedded study abroad period will provide timely decision-making and support in identifying suitable alternative destinations should a student not be able to be placed at any of their 5 preferences.</w:t>
      </w:r>
    </w:p>
    <w:p w14:paraId="0FCF6627" w14:textId="77777777" w:rsidR="005E140F" w:rsidRDefault="005E140F">
      <w:pPr>
        <w:spacing w:line="280" w:lineRule="auto"/>
        <w:rPr>
          <w:sz w:val="21"/>
        </w:rPr>
        <w:sectPr w:rsidR="005E140F">
          <w:pgSz w:w="11910" w:h="16840"/>
          <w:pgMar w:top="1040" w:right="460" w:bottom="1600" w:left="540" w:header="0" w:footer="1408" w:gutter="0"/>
          <w:cols w:space="720"/>
        </w:sectPr>
      </w:pPr>
    </w:p>
    <w:p w14:paraId="228EB18C" w14:textId="77777777" w:rsidR="005E140F" w:rsidRDefault="005E140F">
      <w:pPr>
        <w:pStyle w:val="BodyText"/>
        <w:spacing w:before="6"/>
        <w:rPr>
          <w:b/>
          <w:sz w:val="8"/>
        </w:rPr>
      </w:pPr>
    </w:p>
    <w:p w14:paraId="0412F38D" w14:textId="77777777" w:rsidR="005E140F" w:rsidRDefault="005E140F">
      <w:pPr>
        <w:pStyle w:val="BodyText"/>
        <w:rPr>
          <w:rFonts w:ascii="Arial MT"/>
          <w:sz w:val="20"/>
        </w:rPr>
      </w:pPr>
    </w:p>
    <w:p w14:paraId="7A4D8931" w14:textId="77777777" w:rsidR="005E140F" w:rsidRDefault="005E140F">
      <w:pPr>
        <w:pStyle w:val="BodyText"/>
        <w:rPr>
          <w:b/>
          <w:sz w:val="20"/>
        </w:rPr>
      </w:pPr>
    </w:p>
    <w:p w14:paraId="0B952506" w14:textId="77777777" w:rsidR="005E140F" w:rsidRDefault="005E140F">
      <w:pPr>
        <w:pStyle w:val="BodyText"/>
        <w:rPr>
          <w:b/>
          <w:sz w:val="20"/>
        </w:rPr>
      </w:pPr>
    </w:p>
    <w:p w14:paraId="73BA1358" w14:textId="77777777" w:rsidR="005E140F" w:rsidRDefault="00000000">
      <w:pPr>
        <w:pStyle w:val="Heading1"/>
        <w:numPr>
          <w:ilvl w:val="0"/>
          <w:numId w:val="4"/>
        </w:numPr>
        <w:tabs>
          <w:tab w:val="left" w:pos="1565"/>
        </w:tabs>
      </w:pPr>
      <w:bookmarkStart w:id="2" w:name="_TOC_250037"/>
      <w:r>
        <w:t>Forcible</w:t>
      </w:r>
      <w:r>
        <w:rPr>
          <w:spacing w:val="-17"/>
        </w:rPr>
        <w:t xml:space="preserve"> </w:t>
      </w:r>
      <w:r>
        <w:t>withdrawal</w:t>
      </w:r>
      <w:r>
        <w:rPr>
          <w:spacing w:val="-17"/>
        </w:rPr>
        <w:t xml:space="preserve"> </w:t>
      </w:r>
      <w:r>
        <w:t>of</w:t>
      </w:r>
      <w:r>
        <w:rPr>
          <w:spacing w:val="-21"/>
        </w:rPr>
        <w:t xml:space="preserve"> </w:t>
      </w:r>
      <w:r>
        <w:t>mobility</w:t>
      </w:r>
      <w:r>
        <w:rPr>
          <w:spacing w:val="-19"/>
        </w:rPr>
        <w:t xml:space="preserve"> </w:t>
      </w:r>
      <w:bookmarkEnd w:id="2"/>
      <w:r>
        <w:rPr>
          <w:spacing w:val="-2"/>
        </w:rPr>
        <w:t>periods</w:t>
      </w:r>
    </w:p>
    <w:p w14:paraId="448511B4" w14:textId="77777777" w:rsidR="005E140F" w:rsidRDefault="00000000">
      <w:pPr>
        <w:pStyle w:val="BodyText"/>
        <w:spacing w:before="189" w:line="280" w:lineRule="auto"/>
        <w:ind w:left="863" w:right="1072"/>
        <w:jc w:val="both"/>
      </w:pPr>
      <w:r>
        <w:t>Edinburgh Napier University and its partner institutions reserve the right to modify, withdraw or cancel student exchanges and other mobility periods in extraordinary circumstances. This will only occur with due consideration of student safety, equality and academic progression matters.</w:t>
      </w:r>
    </w:p>
    <w:p w14:paraId="4004EE3F" w14:textId="77777777" w:rsidR="005E140F" w:rsidRDefault="005E140F">
      <w:pPr>
        <w:pStyle w:val="BodyText"/>
        <w:spacing w:before="8"/>
        <w:rPr>
          <w:sz w:val="24"/>
        </w:rPr>
      </w:pPr>
    </w:p>
    <w:p w14:paraId="1834C825" w14:textId="77777777" w:rsidR="005E140F" w:rsidRDefault="00000000">
      <w:pPr>
        <w:pStyle w:val="BodyText"/>
        <w:ind w:left="863"/>
        <w:jc w:val="both"/>
      </w:pPr>
      <w:r>
        <w:t>These</w:t>
      </w:r>
      <w:r>
        <w:rPr>
          <w:spacing w:val="5"/>
        </w:rPr>
        <w:t xml:space="preserve"> </w:t>
      </w:r>
      <w:r>
        <w:t>include,</w:t>
      </w:r>
      <w:r>
        <w:rPr>
          <w:spacing w:val="8"/>
        </w:rPr>
        <w:t xml:space="preserve"> </w:t>
      </w:r>
      <w:r>
        <w:t>but</w:t>
      </w:r>
      <w:r>
        <w:rPr>
          <w:spacing w:val="9"/>
        </w:rPr>
        <w:t xml:space="preserve"> </w:t>
      </w:r>
      <w:r>
        <w:t>are</w:t>
      </w:r>
      <w:r>
        <w:rPr>
          <w:spacing w:val="5"/>
        </w:rPr>
        <w:t xml:space="preserve"> </w:t>
      </w:r>
      <w:r>
        <w:t>not</w:t>
      </w:r>
      <w:r>
        <w:rPr>
          <w:spacing w:val="6"/>
        </w:rPr>
        <w:t xml:space="preserve"> </w:t>
      </w:r>
      <w:r>
        <w:t>limited</w:t>
      </w:r>
      <w:r>
        <w:rPr>
          <w:spacing w:val="3"/>
        </w:rPr>
        <w:t xml:space="preserve"> </w:t>
      </w:r>
      <w:r>
        <w:rPr>
          <w:spacing w:val="-5"/>
        </w:rPr>
        <w:t>to:</w:t>
      </w:r>
    </w:p>
    <w:p w14:paraId="3BEF0471" w14:textId="77777777" w:rsidR="005E140F" w:rsidRDefault="00000000">
      <w:pPr>
        <w:pStyle w:val="ListParagraph"/>
        <w:numPr>
          <w:ilvl w:val="0"/>
          <w:numId w:val="3"/>
        </w:numPr>
        <w:tabs>
          <w:tab w:val="left" w:pos="1564"/>
          <w:tab w:val="left" w:pos="1565"/>
        </w:tabs>
        <w:spacing w:before="47"/>
        <w:rPr>
          <w:sz w:val="21"/>
        </w:rPr>
      </w:pPr>
      <w:r>
        <w:rPr>
          <w:sz w:val="21"/>
        </w:rPr>
        <w:t>War,</w:t>
      </w:r>
      <w:r>
        <w:rPr>
          <w:spacing w:val="4"/>
          <w:sz w:val="21"/>
        </w:rPr>
        <w:t xml:space="preserve"> </w:t>
      </w:r>
      <w:r>
        <w:rPr>
          <w:sz w:val="21"/>
        </w:rPr>
        <w:t>civil</w:t>
      </w:r>
      <w:r>
        <w:rPr>
          <w:spacing w:val="9"/>
          <w:sz w:val="21"/>
        </w:rPr>
        <w:t xml:space="preserve"> </w:t>
      </w:r>
      <w:r>
        <w:rPr>
          <w:sz w:val="21"/>
        </w:rPr>
        <w:t>unrest,</w:t>
      </w:r>
      <w:r>
        <w:rPr>
          <w:spacing w:val="5"/>
          <w:sz w:val="21"/>
        </w:rPr>
        <w:t xml:space="preserve"> </w:t>
      </w:r>
      <w:r>
        <w:rPr>
          <w:sz w:val="21"/>
        </w:rPr>
        <w:t>terrorist</w:t>
      </w:r>
      <w:r>
        <w:rPr>
          <w:spacing w:val="6"/>
          <w:sz w:val="21"/>
        </w:rPr>
        <w:t xml:space="preserve"> </w:t>
      </w:r>
      <w:r>
        <w:rPr>
          <w:sz w:val="21"/>
        </w:rPr>
        <w:t>or</w:t>
      </w:r>
      <w:r>
        <w:rPr>
          <w:spacing w:val="6"/>
          <w:sz w:val="21"/>
        </w:rPr>
        <w:t xml:space="preserve"> </w:t>
      </w:r>
      <w:r>
        <w:rPr>
          <w:sz w:val="21"/>
        </w:rPr>
        <w:t>other</w:t>
      </w:r>
      <w:r>
        <w:rPr>
          <w:spacing w:val="6"/>
          <w:sz w:val="21"/>
        </w:rPr>
        <w:t xml:space="preserve"> </w:t>
      </w:r>
      <w:r>
        <w:rPr>
          <w:sz w:val="21"/>
        </w:rPr>
        <w:t>such</w:t>
      </w:r>
      <w:r>
        <w:rPr>
          <w:spacing w:val="6"/>
          <w:sz w:val="21"/>
        </w:rPr>
        <w:t xml:space="preserve"> </w:t>
      </w:r>
      <w:r>
        <w:rPr>
          <w:sz w:val="21"/>
        </w:rPr>
        <w:t>activity</w:t>
      </w:r>
      <w:r>
        <w:rPr>
          <w:spacing w:val="7"/>
          <w:sz w:val="21"/>
        </w:rPr>
        <w:t xml:space="preserve"> </w:t>
      </w:r>
      <w:r>
        <w:rPr>
          <w:sz w:val="21"/>
        </w:rPr>
        <w:t>likely</w:t>
      </w:r>
      <w:r>
        <w:rPr>
          <w:spacing w:val="5"/>
          <w:sz w:val="21"/>
        </w:rPr>
        <w:t xml:space="preserve"> </w:t>
      </w:r>
      <w:r>
        <w:rPr>
          <w:sz w:val="21"/>
        </w:rPr>
        <w:t>to</w:t>
      </w:r>
      <w:r>
        <w:rPr>
          <w:spacing w:val="6"/>
          <w:sz w:val="21"/>
        </w:rPr>
        <w:t xml:space="preserve"> </w:t>
      </w:r>
      <w:r>
        <w:rPr>
          <w:sz w:val="21"/>
        </w:rPr>
        <w:t>endanger</w:t>
      </w:r>
      <w:r>
        <w:rPr>
          <w:spacing w:val="8"/>
          <w:sz w:val="21"/>
        </w:rPr>
        <w:t xml:space="preserve"> </w:t>
      </w:r>
      <w:r>
        <w:rPr>
          <w:sz w:val="21"/>
        </w:rPr>
        <w:t>students</w:t>
      </w:r>
      <w:r>
        <w:rPr>
          <w:spacing w:val="5"/>
          <w:sz w:val="21"/>
        </w:rPr>
        <w:t xml:space="preserve"> </w:t>
      </w:r>
      <w:r>
        <w:rPr>
          <w:sz w:val="21"/>
        </w:rPr>
        <w:t>or</w:t>
      </w:r>
      <w:r>
        <w:rPr>
          <w:spacing w:val="6"/>
          <w:sz w:val="21"/>
        </w:rPr>
        <w:t xml:space="preserve"> </w:t>
      </w:r>
      <w:r>
        <w:rPr>
          <w:sz w:val="21"/>
        </w:rPr>
        <w:t>staff</w:t>
      </w:r>
      <w:r>
        <w:rPr>
          <w:spacing w:val="7"/>
          <w:sz w:val="21"/>
        </w:rPr>
        <w:t xml:space="preserve"> </w:t>
      </w:r>
      <w:r>
        <w:rPr>
          <w:spacing w:val="-2"/>
          <w:sz w:val="21"/>
        </w:rPr>
        <w:t>members</w:t>
      </w:r>
    </w:p>
    <w:p w14:paraId="5B8A2416" w14:textId="77777777" w:rsidR="005E140F" w:rsidRDefault="00000000">
      <w:pPr>
        <w:pStyle w:val="ListParagraph"/>
        <w:numPr>
          <w:ilvl w:val="0"/>
          <w:numId w:val="3"/>
        </w:numPr>
        <w:tabs>
          <w:tab w:val="left" w:pos="1564"/>
          <w:tab w:val="left" w:pos="1565"/>
        </w:tabs>
        <w:spacing w:before="44"/>
        <w:rPr>
          <w:sz w:val="21"/>
        </w:rPr>
      </w:pPr>
      <w:r>
        <w:rPr>
          <w:sz w:val="21"/>
        </w:rPr>
        <w:t>Health</w:t>
      </w:r>
      <w:r>
        <w:rPr>
          <w:spacing w:val="10"/>
          <w:sz w:val="21"/>
        </w:rPr>
        <w:t xml:space="preserve"> </w:t>
      </w:r>
      <w:r>
        <w:rPr>
          <w:spacing w:val="-2"/>
          <w:sz w:val="21"/>
        </w:rPr>
        <w:t>crises/pandemics</w:t>
      </w:r>
    </w:p>
    <w:p w14:paraId="5D97534E" w14:textId="77777777" w:rsidR="005E140F" w:rsidRDefault="00000000">
      <w:pPr>
        <w:pStyle w:val="ListParagraph"/>
        <w:numPr>
          <w:ilvl w:val="0"/>
          <w:numId w:val="3"/>
        </w:numPr>
        <w:tabs>
          <w:tab w:val="left" w:pos="1564"/>
          <w:tab w:val="left" w:pos="1565"/>
        </w:tabs>
        <w:spacing w:before="45" w:line="278" w:lineRule="auto"/>
        <w:ind w:right="1008"/>
        <w:rPr>
          <w:sz w:val="21"/>
        </w:rPr>
      </w:pPr>
      <w:r>
        <w:rPr>
          <w:sz w:val="21"/>
        </w:rPr>
        <w:t>Travel guidance and restrictions issued by the UK Government, public health bodies, and similar determinations made by partner institutions/</w:t>
      </w:r>
      <w:proofErr w:type="spellStart"/>
      <w:r>
        <w:rPr>
          <w:sz w:val="21"/>
        </w:rPr>
        <w:t>organisations</w:t>
      </w:r>
      <w:proofErr w:type="spellEnd"/>
      <w:r>
        <w:rPr>
          <w:sz w:val="21"/>
        </w:rPr>
        <w:t xml:space="preserve"> and/or host country governments.</w:t>
      </w:r>
    </w:p>
    <w:p w14:paraId="00879043" w14:textId="42865584" w:rsidR="00A11E9F" w:rsidRDefault="00A11E9F">
      <w:pPr>
        <w:pStyle w:val="ListParagraph"/>
        <w:numPr>
          <w:ilvl w:val="0"/>
          <w:numId w:val="3"/>
        </w:numPr>
        <w:tabs>
          <w:tab w:val="left" w:pos="1564"/>
          <w:tab w:val="left" w:pos="1565"/>
        </w:tabs>
        <w:spacing w:before="45" w:line="278" w:lineRule="auto"/>
        <w:ind w:right="1008"/>
        <w:rPr>
          <w:sz w:val="21"/>
        </w:rPr>
      </w:pPr>
      <w:r>
        <w:rPr>
          <w:sz w:val="21"/>
        </w:rPr>
        <w:t xml:space="preserve">Changes to governmental, regional or institutional policy or legislation </w:t>
      </w:r>
    </w:p>
    <w:p w14:paraId="20F7797D" w14:textId="578C76F1" w:rsidR="00A11E9F" w:rsidRPr="00EE4467" w:rsidRDefault="00A11E9F" w:rsidP="00A11E9F">
      <w:pPr>
        <w:pStyle w:val="ListParagraph"/>
        <w:numPr>
          <w:ilvl w:val="1"/>
          <w:numId w:val="3"/>
        </w:numPr>
        <w:tabs>
          <w:tab w:val="left" w:pos="1564"/>
          <w:tab w:val="left" w:pos="1565"/>
        </w:tabs>
        <w:spacing w:before="45" w:line="278" w:lineRule="auto"/>
        <w:ind w:right="1008"/>
        <w:rPr>
          <w:i/>
          <w:iCs/>
          <w:sz w:val="21"/>
        </w:rPr>
      </w:pPr>
      <w:r w:rsidRPr="00EE4467">
        <w:rPr>
          <w:i/>
          <w:iCs/>
          <w:sz w:val="21"/>
        </w:rPr>
        <w:t xml:space="preserve">For example, Canada has recently introduced limits on </w:t>
      </w:r>
      <w:r w:rsidR="00DD580B" w:rsidRPr="00EE4467">
        <w:rPr>
          <w:i/>
          <w:iCs/>
          <w:sz w:val="21"/>
        </w:rPr>
        <w:t xml:space="preserve">the number of visas it will issue for international students. Each province and institution </w:t>
      </w:r>
      <w:proofErr w:type="gramStart"/>
      <w:r w:rsidR="00DD580B" w:rsidRPr="00EE4467">
        <w:rPr>
          <w:i/>
          <w:iCs/>
          <w:sz w:val="21"/>
        </w:rPr>
        <w:t>is</w:t>
      </w:r>
      <w:proofErr w:type="gramEnd"/>
      <w:r w:rsidR="00DD580B" w:rsidRPr="00EE4467">
        <w:rPr>
          <w:i/>
          <w:iCs/>
          <w:sz w:val="21"/>
        </w:rPr>
        <w:t xml:space="preserve"> allocated a certain number of visas. Whilst students </w:t>
      </w:r>
      <w:proofErr w:type="gramStart"/>
      <w:r w:rsidR="00DD580B" w:rsidRPr="00EE4467">
        <w:rPr>
          <w:i/>
          <w:iCs/>
          <w:sz w:val="21"/>
        </w:rPr>
        <w:t>are able to</w:t>
      </w:r>
      <w:proofErr w:type="gramEnd"/>
      <w:r w:rsidR="00DD580B" w:rsidRPr="00EE4467">
        <w:rPr>
          <w:i/>
          <w:iCs/>
          <w:sz w:val="21"/>
        </w:rPr>
        <w:t xml:space="preserve"> request to study at a Canadian partner for a full academic year, we cannot provide any guarantee</w:t>
      </w:r>
      <w:r w:rsidR="00EE4467" w:rsidRPr="00EE4467">
        <w:rPr>
          <w:i/>
          <w:iCs/>
          <w:sz w:val="21"/>
        </w:rPr>
        <w:t xml:space="preserve">, even after acceptance, that a full year visa </w:t>
      </w:r>
      <w:r w:rsidR="00EE4467">
        <w:rPr>
          <w:i/>
          <w:iCs/>
          <w:sz w:val="21"/>
        </w:rPr>
        <w:t xml:space="preserve">can be sponsored, </w:t>
      </w:r>
      <w:r w:rsidR="00EE4467" w:rsidRPr="00EE4467">
        <w:rPr>
          <w:i/>
          <w:iCs/>
          <w:sz w:val="21"/>
        </w:rPr>
        <w:t>nor can we be held accountable for changes/decisions that subsequently may require a student</w:t>
      </w:r>
      <w:r w:rsidR="00EE4467">
        <w:rPr>
          <w:i/>
          <w:iCs/>
          <w:sz w:val="21"/>
        </w:rPr>
        <w:t xml:space="preserve"> to reduce/cancel their exchange. </w:t>
      </w:r>
    </w:p>
    <w:p w14:paraId="1163C615" w14:textId="77777777" w:rsidR="005E140F" w:rsidRDefault="005E140F">
      <w:pPr>
        <w:pStyle w:val="BodyText"/>
        <w:spacing w:before="11"/>
        <w:rPr>
          <w:sz w:val="24"/>
        </w:rPr>
      </w:pPr>
    </w:p>
    <w:p w14:paraId="37D60A71" w14:textId="57435A83" w:rsidR="004272A0" w:rsidRDefault="00000000" w:rsidP="004272A0">
      <w:pPr>
        <w:pStyle w:val="BodyText"/>
        <w:spacing w:before="1" w:line="283" w:lineRule="auto"/>
        <w:ind w:left="863" w:right="1074"/>
      </w:pPr>
      <w:r>
        <w:t>In a scenario such as this, all efforts will be made to communicate a decision at the earliest opportunity, along with any</w:t>
      </w:r>
      <w:r>
        <w:rPr>
          <w:spacing w:val="27"/>
        </w:rPr>
        <w:t xml:space="preserve"> </w:t>
      </w:r>
      <w:r>
        <w:t>academic mitigation measures to support, as much as possible, student learning</w:t>
      </w:r>
      <w:r>
        <w:rPr>
          <w:spacing w:val="40"/>
        </w:rPr>
        <w:t xml:space="preserve"> </w:t>
      </w:r>
      <w:r>
        <w:t>outcomes and experiences</w:t>
      </w:r>
    </w:p>
    <w:p w14:paraId="30EFF7B8" w14:textId="77777777" w:rsidR="004272A0" w:rsidRDefault="004272A0" w:rsidP="004272A0">
      <w:pPr>
        <w:pStyle w:val="BodyText"/>
        <w:spacing w:before="1" w:line="283" w:lineRule="auto"/>
        <w:ind w:left="863" w:right="1074"/>
      </w:pPr>
    </w:p>
    <w:p w14:paraId="573949B3" w14:textId="6FB3F7F4" w:rsidR="004272A0" w:rsidRDefault="004272A0" w:rsidP="00580985">
      <w:pPr>
        <w:pStyle w:val="BodyText"/>
        <w:spacing w:before="61" w:line="280" w:lineRule="auto"/>
        <w:ind w:left="863" w:right="1074"/>
        <w:sectPr w:rsidR="004272A0">
          <w:pgSz w:w="11910" w:h="16840"/>
          <w:pgMar w:top="1040" w:right="460" w:bottom="1600" w:left="540" w:header="0" w:footer="1408" w:gutter="0"/>
          <w:cols w:space="720"/>
        </w:sectPr>
      </w:pPr>
      <w:r>
        <w:t xml:space="preserve">Additionally, it should be noted that students undertaking an ENU </w:t>
      </w:r>
      <w:proofErr w:type="spellStart"/>
      <w:r>
        <w:t>programme</w:t>
      </w:r>
      <w:proofErr w:type="spellEnd"/>
      <w:r>
        <w:t xml:space="preserve"> involving a compulsory period of mobility will be </w:t>
      </w:r>
      <w:proofErr w:type="spellStart"/>
      <w:r>
        <w:t>prioritised</w:t>
      </w:r>
      <w:proofErr w:type="spellEnd"/>
      <w:r>
        <w:t xml:space="preserve"> for places in the rare event that these students become displaced. This, in exceptional circumstances only, may require the cancellation of non-compulsory exchange </w:t>
      </w:r>
      <w:r>
        <w:rPr>
          <w:spacing w:val="-2"/>
        </w:rPr>
        <w:t>placements</w:t>
      </w:r>
      <w:r w:rsidR="00580985">
        <w:rPr>
          <w:spacing w:val="-2"/>
        </w:rPr>
        <w:t>.</w:t>
      </w:r>
    </w:p>
    <w:p w14:paraId="3662AE02" w14:textId="77777777" w:rsidR="005E140F" w:rsidRDefault="005E140F">
      <w:pPr>
        <w:pStyle w:val="BodyText"/>
        <w:rPr>
          <w:i/>
          <w:sz w:val="20"/>
        </w:rPr>
      </w:pPr>
    </w:p>
    <w:p w14:paraId="02BA5560" w14:textId="77777777" w:rsidR="005E140F" w:rsidRDefault="00000000">
      <w:pPr>
        <w:pStyle w:val="Heading1"/>
        <w:numPr>
          <w:ilvl w:val="0"/>
          <w:numId w:val="4"/>
        </w:numPr>
        <w:tabs>
          <w:tab w:val="left" w:pos="1565"/>
        </w:tabs>
        <w:spacing w:before="141"/>
      </w:pPr>
      <w:bookmarkStart w:id="3" w:name="_TOC_250036"/>
      <w:r>
        <w:t>Funding</w:t>
      </w:r>
      <w:r>
        <w:rPr>
          <w:spacing w:val="-16"/>
        </w:rPr>
        <w:t xml:space="preserve"> </w:t>
      </w:r>
      <w:r>
        <w:t>your</w:t>
      </w:r>
      <w:r>
        <w:rPr>
          <w:spacing w:val="-16"/>
        </w:rPr>
        <w:t xml:space="preserve"> </w:t>
      </w:r>
      <w:bookmarkEnd w:id="3"/>
      <w:r>
        <w:rPr>
          <w:spacing w:val="-2"/>
        </w:rPr>
        <w:t>exchange</w:t>
      </w:r>
    </w:p>
    <w:p w14:paraId="416A04C3" w14:textId="25E329C9" w:rsidR="005E140F" w:rsidRDefault="00000000">
      <w:pPr>
        <w:pStyle w:val="BodyText"/>
        <w:spacing w:before="187" w:line="244" w:lineRule="auto"/>
        <w:ind w:left="863" w:right="927"/>
      </w:pPr>
      <w:r>
        <w:t>Students</w:t>
      </w:r>
      <w:r>
        <w:rPr>
          <w:spacing w:val="28"/>
        </w:rPr>
        <w:t xml:space="preserve"> </w:t>
      </w:r>
      <w:r>
        <w:t>should</w:t>
      </w:r>
      <w:r>
        <w:rPr>
          <w:spacing w:val="21"/>
        </w:rPr>
        <w:t xml:space="preserve"> </w:t>
      </w:r>
      <w:r>
        <w:t>carefully</w:t>
      </w:r>
      <w:r>
        <w:rPr>
          <w:spacing w:val="22"/>
        </w:rPr>
        <w:t xml:space="preserve"> </w:t>
      </w:r>
      <w:r>
        <w:t>consider</w:t>
      </w:r>
      <w:r>
        <w:rPr>
          <w:spacing w:val="27"/>
        </w:rPr>
        <w:t xml:space="preserve"> </w:t>
      </w:r>
      <w:r>
        <w:t>the</w:t>
      </w:r>
      <w:r>
        <w:rPr>
          <w:spacing w:val="24"/>
        </w:rPr>
        <w:t xml:space="preserve"> </w:t>
      </w:r>
      <w:r>
        <w:t>broad</w:t>
      </w:r>
      <w:r>
        <w:rPr>
          <w:spacing w:val="24"/>
        </w:rPr>
        <w:t xml:space="preserve"> </w:t>
      </w:r>
      <w:r>
        <w:t>costs</w:t>
      </w:r>
      <w:r>
        <w:rPr>
          <w:spacing w:val="25"/>
        </w:rPr>
        <w:t xml:space="preserve"> </w:t>
      </w:r>
      <w:r>
        <w:t>associated</w:t>
      </w:r>
      <w:r>
        <w:rPr>
          <w:spacing w:val="24"/>
        </w:rPr>
        <w:t xml:space="preserve"> </w:t>
      </w:r>
      <w:r>
        <w:t>with</w:t>
      </w:r>
      <w:r>
        <w:rPr>
          <w:spacing w:val="21"/>
        </w:rPr>
        <w:t xml:space="preserve"> </w:t>
      </w:r>
      <w:r>
        <w:t>their</w:t>
      </w:r>
      <w:r>
        <w:rPr>
          <w:spacing w:val="27"/>
        </w:rPr>
        <w:t xml:space="preserve"> </w:t>
      </w:r>
      <w:r>
        <w:t>preferred</w:t>
      </w:r>
      <w:r>
        <w:rPr>
          <w:spacing w:val="27"/>
        </w:rPr>
        <w:t xml:space="preserve"> </w:t>
      </w:r>
      <w:r>
        <w:t xml:space="preserve">exchange destinations prior to completing the study abroad application. Guidance is available at: </w:t>
      </w:r>
      <w:r>
        <w:rPr>
          <w:color w:val="0000FF"/>
          <w:u w:val="single" w:color="0000FF"/>
        </w:rPr>
        <w:t>https://my.napier.ac.uk/your-studies/study-abroad/exchange-costs-and-funding</w:t>
      </w:r>
      <w:r>
        <w:rPr>
          <w:color w:val="0000FF"/>
          <w:spacing w:val="56"/>
        </w:rPr>
        <w:t xml:space="preserve"> </w:t>
      </w:r>
      <w:r>
        <w:t>though</w:t>
      </w:r>
      <w:r>
        <w:rPr>
          <w:spacing w:val="61"/>
        </w:rPr>
        <w:t xml:space="preserve"> </w:t>
      </w:r>
      <w:r>
        <w:t>students</w:t>
      </w:r>
      <w:r>
        <w:rPr>
          <w:spacing w:val="80"/>
          <w:w w:val="150"/>
        </w:rPr>
        <w:t xml:space="preserve"> </w:t>
      </w:r>
      <w:r>
        <w:t>should also do their own research as costs can vary greatly depending on personal circumstances and specific locations –</w:t>
      </w:r>
      <w:r>
        <w:rPr>
          <w:spacing w:val="17"/>
        </w:rPr>
        <w:t xml:space="preserve"> </w:t>
      </w:r>
      <w:r>
        <w:t>keeping in mind that the cost of living</w:t>
      </w:r>
      <w:r>
        <w:rPr>
          <w:spacing w:val="16"/>
        </w:rPr>
        <w:t xml:space="preserve"> </w:t>
      </w:r>
      <w:r>
        <w:t>has</w:t>
      </w:r>
      <w:r>
        <w:rPr>
          <w:spacing w:val="16"/>
        </w:rPr>
        <w:t xml:space="preserve"> </w:t>
      </w:r>
      <w:r>
        <w:t>increased across the world. Students need</w:t>
      </w:r>
      <w:r>
        <w:rPr>
          <w:spacing w:val="40"/>
        </w:rPr>
        <w:t xml:space="preserve"> </w:t>
      </w:r>
      <w:r>
        <w:t xml:space="preserve">to be aware that </w:t>
      </w:r>
      <w:r w:rsidR="004272A0">
        <w:t>many</w:t>
      </w:r>
      <w:r>
        <w:t xml:space="preserve"> destinations require evidence that the student </w:t>
      </w:r>
      <w:proofErr w:type="gramStart"/>
      <w:r>
        <w:t>is able to</w:t>
      </w:r>
      <w:proofErr w:type="gramEnd"/>
      <w:r>
        <w:t xml:space="preserve"> support themselves financially whilst on exchange – this is normally a requirement of the HI in order to act as an immigration ‘sponsor’. Historically this has applied to destinations </w:t>
      </w:r>
      <w:proofErr w:type="spellStart"/>
      <w:r>
        <w:t>outwith</w:t>
      </w:r>
      <w:proofErr w:type="spellEnd"/>
      <w:r>
        <w:t xml:space="preserve"> Europe, however many EU countries now require</w:t>
      </w:r>
      <w:r>
        <w:rPr>
          <w:spacing w:val="18"/>
        </w:rPr>
        <w:t xml:space="preserve"> </w:t>
      </w:r>
      <w:r>
        <w:t>UK/non-EU</w:t>
      </w:r>
      <w:r>
        <w:rPr>
          <w:spacing w:val="19"/>
        </w:rPr>
        <w:t xml:space="preserve"> </w:t>
      </w:r>
      <w:r>
        <w:t>students to</w:t>
      </w:r>
      <w:r>
        <w:rPr>
          <w:spacing w:val="18"/>
        </w:rPr>
        <w:t xml:space="preserve"> </w:t>
      </w:r>
      <w:r>
        <w:t>also</w:t>
      </w:r>
      <w:r>
        <w:rPr>
          <w:spacing w:val="18"/>
        </w:rPr>
        <w:t xml:space="preserve"> </w:t>
      </w:r>
      <w:r>
        <w:t>evidence financial capacity</w:t>
      </w:r>
      <w:r>
        <w:rPr>
          <w:spacing w:val="19"/>
        </w:rPr>
        <w:t xml:space="preserve"> </w:t>
      </w:r>
      <w:r>
        <w:t>at</w:t>
      </w:r>
      <w:r>
        <w:rPr>
          <w:spacing w:val="22"/>
        </w:rPr>
        <w:t xml:space="preserve"> </w:t>
      </w:r>
      <w:r>
        <w:t>the</w:t>
      </w:r>
      <w:r>
        <w:rPr>
          <w:spacing w:val="18"/>
        </w:rPr>
        <w:t xml:space="preserve"> </w:t>
      </w:r>
      <w:r>
        <w:t>point</w:t>
      </w:r>
      <w:r>
        <w:rPr>
          <w:spacing w:val="18"/>
        </w:rPr>
        <w:t xml:space="preserve"> </w:t>
      </w:r>
      <w:r>
        <w:t>of</w:t>
      </w:r>
      <w:r>
        <w:rPr>
          <w:spacing w:val="18"/>
        </w:rPr>
        <w:t xml:space="preserve"> </w:t>
      </w:r>
      <w:r>
        <w:t>application to the</w:t>
      </w:r>
      <w:r>
        <w:rPr>
          <w:spacing w:val="23"/>
        </w:rPr>
        <w:t xml:space="preserve"> </w:t>
      </w:r>
      <w:r>
        <w:t>HI</w:t>
      </w:r>
      <w:r>
        <w:rPr>
          <w:spacing w:val="19"/>
        </w:rPr>
        <w:t xml:space="preserve"> </w:t>
      </w:r>
      <w:r>
        <w:t>for the purposes of meeting visa eligibility/sponsorship requirements.</w:t>
      </w:r>
    </w:p>
    <w:p w14:paraId="570755F8" w14:textId="77777777" w:rsidR="005E140F" w:rsidRDefault="005E140F">
      <w:pPr>
        <w:pStyle w:val="BodyText"/>
        <w:spacing w:before="9"/>
        <w:rPr>
          <w:sz w:val="22"/>
        </w:rPr>
      </w:pPr>
    </w:p>
    <w:p w14:paraId="4F79ECF3" w14:textId="77777777" w:rsidR="005E140F" w:rsidRDefault="00000000">
      <w:pPr>
        <w:ind w:left="863"/>
        <w:rPr>
          <w:b/>
          <w:sz w:val="21"/>
        </w:rPr>
      </w:pPr>
      <w:r>
        <w:rPr>
          <w:b/>
          <w:spacing w:val="-2"/>
          <w:sz w:val="21"/>
        </w:rPr>
        <w:t>Turing</w:t>
      </w:r>
    </w:p>
    <w:p w14:paraId="138408A9" w14:textId="3B85F5F8" w:rsidR="005E140F" w:rsidRDefault="00000000">
      <w:pPr>
        <w:pStyle w:val="BodyText"/>
        <w:spacing w:before="6" w:line="244" w:lineRule="auto"/>
        <w:ind w:left="863" w:right="1074"/>
      </w:pPr>
      <w:r>
        <w:t xml:space="preserve">The UK Government’s Turing Scheme seeks to provide grants to students undertaking international mobility activities to a range of destinations. At the time of publishing, it is not known </w:t>
      </w:r>
      <w:r w:rsidR="004272A0">
        <w:t>if/</w:t>
      </w:r>
      <w:r>
        <w:t xml:space="preserve">how the Turing Scheme may be delivered for students going on exchange in academic year </w:t>
      </w:r>
      <w:r w:rsidR="00006F4E">
        <w:t>2025/26</w:t>
      </w:r>
      <w:r>
        <w:t xml:space="preserve">, and which students will be eligible. </w:t>
      </w:r>
      <w:r w:rsidR="00F168AF">
        <w:t xml:space="preserve">Based on prior years, </w:t>
      </w:r>
      <w:r>
        <w:t xml:space="preserve">Turing funding levels are unlikely to be sufficient to provide funding for </w:t>
      </w:r>
      <w:proofErr w:type="gramStart"/>
      <w:r>
        <w:t>the majority of</w:t>
      </w:r>
      <w:proofErr w:type="gramEnd"/>
      <w:r>
        <w:t xml:space="preserve"> students and the anticipated timeline for confirming the funding and undertaking selection will likely not take place until late July/early August </w:t>
      </w:r>
      <w:r w:rsidR="00006F4E">
        <w:t>2025</w:t>
      </w:r>
      <w:r w:rsidR="004272A0">
        <w:t>.</w:t>
      </w:r>
      <w:r>
        <w:t xml:space="preserve"> </w:t>
      </w:r>
      <w:proofErr w:type="gramStart"/>
      <w:r>
        <w:t>Therefore</w:t>
      </w:r>
      <w:proofErr w:type="gramEnd"/>
      <w:r>
        <w:t xml:space="preserve"> students should apply for exchange on the basis</w:t>
      </w:r>
      <w:r>
        <w:rPr>
          <w:spacing w:val="40"/>
        </w:rPr>
        <w:t xml:space="preserve"> </w:t>
      </w:r>
      <w:r>
        <w:t xml:space="preserve">that they </w:t>
      </w:r>
      <w:r w:rsidR="00F168AF">
        <w:t>will need to</w:t>
      </w:r>
      <w:r>
        <w:t xml:space="preserve"> self-fund or source other funding options</w:t>
      </w:r>
      <w:r w:rsidR="00F168AF">
        <w:t>, and budget accordingly</w:t>
      </w:r>
      <w:r>
        <w:t>.</w:t>
      </w:r>
    </w:p>
    <w:p w14:paraId="4B4D01D4" w14:textId="77777777" w:rsidR="005E140F" w:rsidRDefault="005E140F">
      <w:pPr>
        <w:pStyle w:val="BodyText"/>
        <w:spacing w:before="6"/>
      </w:pPr>
    </w:p>
    <w:p w14:paraId="644BF1F6" w14:textId="77777777" w:rsidR="005E140F" w:rsidRDefault="00000000">
      <w:pPr>
        <w:pStyle w:val="BodyText"/>
        <w:spacing w:line="244" w:lineRule="auto"/>
        <w:ind w:left="863" w:right="1074"/>
      </w:pPr>
      <w:r>
        <w:t xml:space="preserve">Information about potential Turing grants and other funding opportunities will be communicated by the Global Mobility Team on the </w:t>
      </w:r>
      <w:proofErr w:type="spellStart"/>
      <w:r>
        <w:t>MyNapier</w:t>
      </w:r>
      <w:proofErr w:type="spellEnd"/>
      <w:r>
        <w:t xml:space="preserve"> link above, on the Study Abroad Moodle page, and sent directly</w:t>
      </w:r>
      <w:r>
        <w:rPr>
          <w:spacing w:val="40"/>
        </w:rPr>
        <w:t xml:space="preserve"> </w:t>
      </w:r>
      <w:r>
        <w:t>via email to exchange applicants after allocations are complete.</w:t>
      </w:r>
    </w:p>
    <w:p w14:paraId="508E634D" w14:textId="77777777" w:rsidR="005E140F" w:rsidRDefault="005E140F">
      <w:pPr>
        <w:pStyle w:val="BodyText"/>
        <w:rPr>
          <w:sz w:val="20"/>
        </w:rPr>
      </w:pPr>
    </w:p>
    <w:p w14:paraId="01846142" w14:textId="77777777" w:rsidR="005E140F" w:rsidRDefault="00000000">
      <w:pPr>
        <w:pStyle w:val="Heading1"/>
        <w:numPr>
          <w:ilvl w:val="0"/>
          <w:numId w:val="4"/>
        </w:numPr>
        <w:tabs>
          <w:tab w:val="left" w:pos="1565"/>
        </w:tabs>
        <w:spacing w:before="142"/>
      </w:pPr>
      <w:bookmarkStart w:id="4" w:name="_TOC_250035"/>
      <w:r>
        <w:t>Applying</w:t>
      </w:r>
      <w:r>
        <w:rPr>
          <w:spacing w:val="-13"/>
        </w:rPr>
        <w:t xml:space="preserve"> </w:t>
      </w:r>
      <w:r>
        <w:t>for</w:t>
      </w:r>
      <w:r>
        <w:rPr>
          <w:spacing w:val="-13"/>
        </w:rPr>
        <w:t xml:space="preserve"> </w:t>
      </w:r>
      <w:r>
        <w:t>an</w:t>
      </w:r>
      <w:r>
        <w:rPr>
          <w:spacing w:val="-13"/>
        </w:rPr>
        <w:t xml:space="preserve"> </w:t>
      </w:r>
      <w:bookmarkEnd w:id="4"/>
      <w:r>
        <w:rPr>
          <w:spacing w:val="-2"/>
        </w:rPr>
        <w:t>exchange</w:t>
      </w:r>
    </w:p>
    <w:p w14:paraId="4E93E41D" w14:textId="77777777" w:rsidR="005E140F" w:rsidRDefault="005E140F">
      <w:pPr>
        <w:pStyle w:val="BodyText"/>
        <w:spacing w:before="1"/>
        <w:rPr>
          <w:b/>
          <w:sz w:val="40"/>
        </w:rPr>
      </w:pPr>
    </w:p>
    <w:p w14:paraId="79C87E90" w14:textId="61EC18F4" w:rsidR="005E140F" w:rsidRDefault="00000000" w:rsidP="00580985">
      <w:pPr>
        <w:pStyle w:val="BodyText"/>
        <w:spacing w:line="283" w:lineRule="auto"/>
        <w:ind w:left="863" w:right="1074"/>
        <w:sectPr w:rsidR="005E140F">
          <w:pgSz w:w="11910" w:h="16840"/>
          <w:pgMar w:top="1040" w:right="460" w:bottom="1600" w:left="540" w:header="0" w:footer="1408" w:gutter="0"/>
          <w:cols w:space="720"/>
        </w:sectPr>
      </w:pPr>
      <w:r>
        <w:t>Students are required to undertake their own detailed research well in advance of the application deadline, including identifying preferred institutions/destinations, costs, academic modules, semester dates, etc</w:t>
      </w:r>
      <w:r w:rsidR="00580985">
        <w:t>.</w:t>
      </w:r>
    </w:p>
    <w:p w14:paraId="4C2330F1" w14:textId="77777777" w:rsidR="005E140F" w:rsidRDefault="00000000" w:rsidP="00580985">
      <w:pPr>
        <w:pStyle w:val="BodyText"/>
        <w:spacing w:before="61" w:line="283" w:lineRule="auto"/>
        <w:ind w:left="720" w:right="1451"/>
      </w:pPr>
      <w:r>
        <w:lastRenderedPageBreak/>
        <w:t>NB: Due to visa restrictions, individual country governance mechanisms, and funding requirements, students should not apply for institutions in their legal country of residence/citizenship.</w:t>
      </w:r>
    </w:p>
    <w:p w14:paraId="7D19637D" w14:textId="77777777" w:rsidR="005E140F" w:rsidRDefault="005E140F">
      <w:pPr>
        <w:pStyle w:val="BodyText"/>
        <w:spacing w:before="4"/>
        <w:rPr>
          <w:sz w:val="24"/>
        </w:rPr>
      </w:pPr>
    </w:p>
    <w:p w14:paraId="520ABFB9" w14:textId="77777777" w:rsidR="005E140F" w:rsidRDefault="00000000">
      <w:pPr>
        <w:pStyle w:val="BodyText"/>
        <w:spacing w:line="280" w:lineRule="auto"/>
        <w:ind w:left="863" w:right="1074"/>
      </w:pPr>
      <w:r>
        <w:t>The ‘</w:t>
      </w:r>
      <w:r>
        <w:rPr>
          <w:color w:val="0000FF"/>
          <w:u w:val="single" w:color="0000FF"/>
        </w:rPr>
        <w:t>Study Abroad’</w:t>
      </w:r>
      <w:r>
        <w:rPr>
          <w:color w:val="0000FF"/>
        </w:rPr>
        <w:t xml:space="preserve"> </w:t>
      </w:r>
      <w:r>
        <w:t xml:space="preserve">section on </w:t>
      </w:r>
      <w:proofErr w:type="spellStart"/>
      <w:r>
        <w:t>MyNapier</w:t>
      </w:r>
      <w:proofErr w:type="spellEnd"/>
      <w:r>
        <w:t xml:space="preserve"> contains most general information, and the Global Mobility</w:t>
      </w:r>
      <w:r>
        <w:rPr>
          <w:spacing w:val="80"/>
        </w:rPr>
        <w:t xml:space="preserve"> </w:t>
      </w:r>
      <w:r>
        <w:t>team (GMT) and ENU Schools run information sessions in the lead up to the application round. The GMT also runs bookable appointments for students requiring individual guidance.</w:t>
      </w:r>
    </w:p>
    <w:p w14:paraId="016A0C3B" w14:textId="77777777" w:rsidR="005E140F" w:rsidRDefault="005E140F">
      <w:pPr>
        <w:pStyle w:val="BodyText"/>
        <w:spacing w:before="10"/>
        <w:rPr>
          <w:sz w:val="24"/>
        </w:rPr>
      </w:pPr>
    </w:p>
    <w:p w14:paraId="5C63D5C0" w14:textId="11EBD764" w:rsidR="005E140F" w:rsidRDefault="00A11E9F">
      <w:pPr>
        <w:ind w:left="863"/>
        <w:rPr>
          <w:b/>
          <w:spacing w:val="-2"/>
          <w:sz w:val="21"/>
        </w:rPr>
      </w:pPr>
      <w:r>
        <w:rPr>
          <w:b/>
          <w:sz w:val="21"/>
        </w:rPr>
        <w:t>Four</w:t>
      </w:r>
      <w:r w:rsidR="00000000">
        <w:rPr>
          <w:b/>
          <w:spacing w:val="6"/>
          <w:sz w:val="21"/>
        </w:rPr>
        <w:t xml:space="preserve"> </w:t>
      </w:r>
      <w:r w:rsidR="00000000">
        <w:rPr>
          <w:b/>
          <w:sz w:val="21"/>
        </w:rPr>
        <w:t>easy</w:t>
      </w:r>
      <w:r w:rsidR="00000000">
        <w:rPr>
          <w:b/>
          <w:spacing w:val="6"/>
          <w:sz w:val="21"/>
        </w:rPr>
        <w:t xml:space="preserve"> </w:t>
      </w:r>
      <w:r w:rsidR="00000000">
        <w:rPr>
          <w:b/>
          <w:sz w:val="21"/>
        </w:rPr>
        <w:t>steps</w:t>
      </w:r>
      <w:r w:rsidR="00000000">
        <w:rPr>
          <w:b/>
          <w:spacing w:val="5"/>
          <w:sz w:val="21"/>
        </w:rPr>
        <w:t xml:space="preserve"> </w:t>
      </w:r>
      <w:r w:rsidR="00000000">
        <w:rPr>
          <w:b/>
          <w:sz w:val="21"/>
        </w:rPr>
        <w:t>to</w:t>
      </w:r>
      <w:r w:rsidR="00000000">
        <w:rPr>
          <w:b/>
          <w:spacing w:val="5"/>
          <w:sz w:val="21"/>
        </w:rPr>
        <w:t xml:space="preserve"> </w:t>
      </w:r>
      <w:r w:rsidR="00000000">
        <w:rPr>
          <w:b/>
          <w:sz w:val="21"/>
        </w:rPr>
        <w:t>Study</w:t>
      </w:r>
      <w:r w:rsidR="00000000">
        <w:rPr>
          <w:b/>
          <w:spacing w:val="6"/>
          <w:sz w:val="21"/>
        </w:rPr>
        <w:t xml:space="preserve"> </w:t>
      </w:r>
      <w:r w:rsidR="00000000">
        <w:rPr>
          <w:b/>
          <w:spacing w:val="-2"/>
          <w:sz w:val="21"/>
        </w:rPr>
        <w:t>Abroad:</w:t>
      </w:r>
    </w:p>
    <w:p w14:paraId="64D92A5B" w14:textId="77777777" w:rsidR="00C84745" w:rsidRDefault="00C84745">
      <w:pPr>
        <w:ind w:left="863"/>
        <w:rPr>
          <w:b/>
          <w:spacing w:val="-2"/>
          <w:sz w:val="21"/>
        </w:rPr>
      </w:pPr>
    </w:p>
    <w:p w14:paraId="1237A9F7" w14:textId="6E5F52C1" w:rsidR="00C84745" w:rsidRDefault="00C84745" w:rsidP="00C84745">
      <w:pPr>
        <w:pStyle w:val="ListParagraph"/>
        <w:numPr>
          <w:ilvl w:val="0"/>
          <w:numId w:val="6"/>
        </w:numPr>
        <w:rPr>
          <w:b/>
          <w:sz w:val="21"/>
        </w:rPr>
      </w:pPr>
      <w:r>
        <w:rPr>
          <w:b/>
          <w:sz w:val="21"/>
        </w:rPr>
        <w:t>Apply online</w:t>
      </w:r>
    </w:p>
    <w:p w14:paraId="641148F8" w14:textId="54E124A1" w:rsidR="00C84745" w:rsidRDefault="00C84745" w:rsidP="00C84745">
      <w:pPr>
        <w:pStyle w:val="ListParagraph"/>
        <w:numPr>
          <w:ilvl w:val="0"/>
          <w:numId w:val="6"/>
        </w:numPr>
        <w:rPr>
          <w:b/>
          <w:sz w:val="21"/>
        </w:rPr>
      </w:pPr>
      <w:proofErr w:type="spellStart"/>
      <w:r>
        <w:rPr>
          <w:b/>
          <w:sz w:val="21"/>
        </w:rPr>
        <w:t>Programme</w:t>
      </w:r>
      <w:proofErr w:type="spellEnd"/>
      <w:r>
        <w:rPr>
          <w:b/>
          <w:sz w:val="21"/>
        </w:rPr>
        <w:t xml:space="preserve"> leader assessment</w:t>
      </w:r>
    </w:p>
    <w:p w14:paraId="51993151" w14:textId="1F0E6DB8" w:rsidR="005E140F" w:rsidRPr="00A11E9F" w:rsidRDefault="00C84745" w:rsidP="00C84745">
      <w:pPr>
        <w:pStyle w:val="ListParagraph"/>
        <w:numPr>
          <w:ilvl w:val="0"/>
          <w:numId w:val="6"/>
        </w:numPr>
        <w:rPr>
          <w:b/>
          <w:sz w:val="20"/>
        </w:rPr>
      </w:pPr>
      <w:r w:rsidRPr="00C84745">
        <w:rPr>
          <w:b/>
          <w:sz w:val="21"/>
        </w:rPr>
        <w:t>Global Mobility Team allocation</w:t>
      </w:r>
    </w:p>
    <w:p w14:paraId="2ABF92CE" w14:textId="020ADFBE" w:rsidR="00A11E9F" w:rsidRPr="00C84745" w:rsidRDefault="00A11E9F" w:rsidP="00C84745">
      <w:pPr>
        <w:pStyle w:val="ListParagraph"/>
        <w:numPr>
          <w:ilvl w:val="0"/>
          <w:numId w:val="6"/>
        </w:numPr>
        <w:rPr>
          <w:b/>
          <w:sz w:val="20"/>
        </w:rPr>
      </w:pPr>
      <w:r>
        <w:rPr>
          <w:b/>
          <w:sz w:val="21"/>
        </w:rPr>
        <w:t>Student applies to Host Institution</w:t>
      </w:r>
    </w:p>
    <w:p w14:paraId="473B8D6C" w14:textId="44A44F6E" w:rsidR="005E140F" w:rsidRDefault="005E140F" w:rsidP="00C84745">
      <w:pPr>
        <w:pStyle w:val="BodyText"/>
        <w:spacing w:before="3"/>
        <w:rPr>
          <w:b/>
          <w:sz w:val="20"/>
        </w:rPr>
      </w:pPr>
    </w:p>
    <w:p w14:paraId="52AD3928" w14:textId="77777777" w:rsidR="005E140F" w:rsidRDefault="00000000">
      <w:pPr>
        <w:pStyle w:val="ListParagraph"/>
        <w:numPr>
          <w:ilvl w:val="0"/>
          <w:numId w:val="2"/>
        </w:numPr>
        <w:tabs>
          <w:tab w:val="left" w:pos="1565"/>
        </w:tabs>
        <w:spacing w:before="178" w:line="280" w:lineRule="auto"/>
        <w:ind w:right="1906"/>
        <w:rPr>
          <w:sz w:val="21"/>
        </w:rPr>
      </w:pPr>
      <w:r>
        <w:rPr>
          <w:sz w:val="21"/>
        </w:rPr>
        <w:t xml:space="preserve">Complete and submit the online Study Abroad Application which can be accessed via: </w:t>
      </w:r>
      <w:r>
        <w:rPr>
          <w:color w:val="0000FF"/>
          <w:spacing w:val="-2"/>
          <w:sz w:val="21"/>
          <w:u w:val="single" w:color="0000FF"/>
        </w:rPr>
        <w:t>https://my.napier.ac.uk/your-studies/study-abroad/application-process</w:t>
      </w:r>
    </w:p>
    <w:p w14:paraId="5A7693F6" w14:textId="77777777" w:rsidR="005E140F" w:rsidRDefault="005E140F">
      <w:pPr>
        <w:pStyle w:val="BodyText"/>
        <w:spacing w:before="9"/>
        <w:rPr>
          <w:sz w:val="19"/>
        </w:rPr>
      </w:pPr>
    </w:p>
    <w:p w14:paraId="12173BCE" w14:textId="77777777" w:rsidR="005E140F" w:rsidRDefault="00000000">
      <w:pPr>
        <w:pStyle w:val="ListParagraph"/>
        <w:numPr>
          <w:ilvl w:val="0"/>
          <w:numId w:val="2"/>
        </w:numPr>
        <w:tabs>
          <w:tab w:val="left" w:pos="1565"/>
        </w:tabs>
        <w:spacing w:before="61" w:line="280" w:lineRule="auto"/>
        <w:ind w:right="1119"/>
        <w:rPr>
          <w:sz w:val="21"/>
        </w:rPr>
      </w:pPr>
      <w:r>
        <w:rPr>
          <w:sz w:val="21"/>
        </w:rPr>
        <w:t xml:space="preserve">Applications received by the deadline are considered for exchange by the designated </w:t>
      </w:r>
      <w:proofErr w:type="spellStart"/>
      <w:r>
        <w:rPr>
          <w:sz w:val="21"/>
        </w:rPr>
        <w:t>Programme</w:t>
      </w:r>
      <w:proofErr w:type="spellEnd"/>
      <w:r>
        <w:rPr>
          <w:sz w:val="21"/>
        </w:rPr>
        <w:t xml:space="preserve"> Leader (PL). The PL is responsible for fully reviewing applications against academic and ambassadorial (personal statement) criteria for exchange.</w:t>
      </w:r>
    </w:p>
    <w:p w14:paraId="205E15D8" w14:textId="77777777" w:rsidR="005E140F" w:rsidRDefault="005E140F">
      <w:pPr>
        <w:pStyle w:val="BodyText"/>
        <w:spacing w:before="10"/>
        <w:rPr>
          <w:sz w:val="24"/>
        </w:rPr>
      </w:pPr>
    </w:p>
    <w:p w14:paraId="5478C84C" w14:textId="2DDF1203" w:rsidR="005E140F" w:rsidRDefault="00000000">
      <w:pPr>
        <w:pStyle w:val="ListParagraph"/>
        <w:numPr>
          <w:ilvl w:val="0"/>
          <w:numId w:val="2"/>
        </w:numPr>
        <w:tabs>
          <w:tab w:val="left" w:pos="1565"/>
        </w:tabs>
        <w:spacing w:line="280" w:lineRule="auto"/>
        <w:ind w:right="958"/>
        <w:rPr>
          <w:sz w:val="21"/>
        </w:rPr>
      </w:pPr>
      <w:r>
        <w:rPr>
          <w:sz w:val="21"/>
        </w:rPr>
        <w:t>Applications approved by PLs are then allocated to host institutions by the GMT. Allocations are solely based on grades at the point of allocation (after the most recent trimester of study results are published), with places allocated in line with student preferences and the number of places available at each host institution (HI).</w:t>
      </w:r>
      <w:r w:rsidR="00F168AF">
        <w:rPr>
          <w:sz w:val="21"/>
        </w:rPr>
        <w:t xml:space="preserve"> </w:t>
      </w:r>
    </w:p>
    <w:p w14:paraId="38A8FABB" w14:textId="77777777" w:rsidR="005E140F" w:rsidRDefault="005E140F">
      <w:pPr>
        <w:pStyle w:val="BodyText"/>
        <w:spacing w:before="10"/>
        <w:rPr>
          <w:sz w:val="24"/>
        </w:rPr>
      </w:pPr>
    </w:p>
    <w:p w14:paraId="45A799B8" w14:textId="77777777" w:rsidR="005E140F" w:rsidRDefault="00000000">
      <w:pPr>
        <w:pStyle w:val="ListParagraph"/>
        <w:numPr>
          <w:ilvl w:val="0"/>
          <w:numId w:val="2"/>
        </w:numPr>
        <w:tabs>
          <w:tab w:val="left" w:pos="1565"/>
        </w:tabs>
        <w:spacing w:line="280" w:lineRule="auto"/>
        <w:ind w:right="956"/>
        <w:rPr>
          <w:sz w:val="21"/>
        </w:rPr>
      </w:pPr>
      <w:r>
        <w:rPr>
          <w:sz w:val="21"/>
        </w:rPr>
        <w:t>The GMT nominates students to the relevant HI, after which the student must apply directly to</w:t>
      </w:r>
      <w:r>
        <w:rPr>
          <w:spacing w:val="40"/>
          <w:sz w:val="21"/>
        </w:rPr>
        <w:t xml:space="preserve"> </w:t>
      </w:r>
      <w:r>
        <w:rPr>
          <w:sz w:val="21"/>
        </w:rPr>
        <w:t>the HI by the HIs deadlines. The HI retains the overarching right to accept or decline applications</w:t>
      </w:r>
      <w:r>
        <w:rPr>
          <w:spacing w:val="40"/>
          <w:sz w:val="21"/>
        </w:rPr>
        <w:t xml:space="preserve"> </w:t>
      </w:r>
      <w:r>
        <w:rPr>
          <w:sz w:val="21"/>
        </w:rPr>
        <w:t>in line with their own entrance requirements (i.e. portfolios, language, study area).</w:t>
      </w:r>
    </w:p>
    <w:p w14:paraId="49C1141D" w14:textId="77777777" w:rsidR="005E140F" w:rsidRDefault="005E140F">
      <w:pPr>
        <w:spacing w:line="280" w:lineRule="auto"/>
        <w:rPr>
          <w:sz w:val="21"/>
        </w:rPr>
        <w:sectPr w:rsidR="005E140F">
          <w:pgSz w:w="11910" w:h="16840"/>
          <w:pgMar w:top="1040" w:right="460" w:bottom="1600" w:left="540" w:header="0" w:footer="1408" w:gutter="0"/>
          <w:cols w:space="720"/>
        </w:sectPr>
      </w:pPr>
    </w:p>
    <w:p w14:paraId="0F2D886F" w14:textId="30D63BB5" w:rsidR="005E140F" w:rsidRDefault="00C84745">
      <w:pPr>
        <w:pStyle w:val="BodyText"/>
        <w:rPr>
          <w:sz w:val="20"/>
        </w:rPr>
      </w:pPr>
      <w:r>
        <w:rPr>
          <w:noProof/>
          <w:sz w:val="20"/>
        </w:rPr>
        <w:lastRenderedPageBreak/>
        <mc:AlternateContent>
          <mc:Choice Requires="wps">
            <w:drawing>
              <wp:anchor distT="0" distB="0" distL="114300" distR="114300" simplePos="0" relativeHeight="15734272" behindDoc="0" locked="0" layoutInCell="1" allowOverlap="1" wp14:anchorId="25BD4E5F" wp14:editId="6A523EC9">
                <wp:simplePos x="0" y="0"/>
                <wp:positionH relativeFrom="column">
                  <wp:posOffset>142875</wp:posOffset>
                </wp:positionH>
                <wp:positionV relativeFrom="paragraph">
                  <wp:posOffset>130175</wp:posOffset>
                </wp:positionV>
                <wp:extent cx="95250" cy="165735"/>
                <wp:effectExtent l="0" t="0" r="0" b="5715"/>
                <wp:wrapNone/>
                <wp:docPr id="3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615E" w14:textId="77777777" w:rsidR="005E140F" w:rsidRDefault="00000000">
                            <w:pPr>
                              <w:spacing w:line="260" w:lineRule="exact"/>
                              <w:rPr>
                                <w:rFonts w:ascii="Arial MT"/>
                                <w:sz w:val="23"/>
                              </w:rPr>
                            </w:pPr>
                            <w:r>
                              <w:rPr>
                                <w:rFonts w:ascii="Arial MT"/>
                                <w:color w:val="FFFFFF"/>
                                <w:w w:val="101"/>
                                <w:sz w:val="23"/>
                              </w:rPr>
                              <w:t>8</w:t>
                            </w:r>
                          </w:p>
                        </w:txbxContent>
                      </wps:txbx>
                      <wps:bodyPr rot="0" vert="horz" wrap="square" lIns="0" tIns="0" rIns="0" bIns="0" anchor="t" anchorCtr="0" upright="1">
                        <a:noAutofit/>
                      </wps:bodyPr>
                    </wps:wsp>
                  </a:graphicData>
                </a:graphic>
              </wp:anchor>
            </w:drawing>
          </mc:Choice>
          <mc:Fallback>
            <w:pict>
              <v:shapetype w14:anchorId="25BD4E5F" id="_x0000_t202" coordsize="21600,21600" o:spt="202" path="m,l,21600r21600,l21600,xe">
                <v:stroke joinstyle="miter"/>
                <v:path gradientshapeok="t" o:connecttype="rect"/>
              </v:shapetype>
              <v:shape id="docshape40" o:spid="_x0000_s1026" type="#_x0000_t202" style="position:absolute;margin-left:11.25pt;margin-top:10.25pt;width:7.5pt;height:13.05pt;z-index:1573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" filled="f" stroked="f">
                <v:textbox inset="0,0,0,0">
                  <w:txbxContent>
                    <w:p w14:paraId="3F7D615E" w14:textId="77777777" w:rsidR="005E140F" w:rsidRDefault="00000000">
                      <w:pPr>
                        <w:spacing w:line="260" w:lineRule="exact"/>
                        <w:rPr>
                          <w:rFonts w:ascii="Arial MT"/>
                          <w:sz w:val="23"/>
                        </w:rPr>
                      </w:pPr>
                      <w:r>
                        <w:rPr>
                          <w:rFonts w:ascii="Arial MT"/>
                          <w:color w:val="FFFFFF"/>
                          <w:w w:val="101"/>
                          <w:sz w:val="23"/>
                        </w:rPr>
                        <w:t>8</w:t>
                      </w:r>
                    </w:p>
                  </w:txbxContent>
                </v:textbox>
              </v:shape>
            </w:pict>
          </mc:Fallback>
        </mc:AlternateContent>
      </w:r>
    </w:p>
    <w:p w14:paraId="60D7D361" w14:textId="77777777" w:rsidR="005E140F" w:rsidRDefault="005E140F">
      <w:pPr>
        <w:pStyle w:val="BodyText"/>
        <w:rPr>
          <w:sz w:val="20"/>
        </w:rPr>
      </w:pPr>
    </w:p>
    <w:p w14:paraId="52D50DE6" w14:textId="77777777" w:rsidR="005E140F" w:rsidRDefault="005E140F">
      <w:pPr>
        <w:pStyle w:val="BodyText"/>
        <w:rPr>
          <w:sz w:val="20"/>
        </w:rPr>
      </w:pPr>
    </w:p>
    <w:p w14:paraId="52830C57" w14:textId="77777777" w:rsidR="005E140F" w:rsidRDefault="005E140F">
      <w:pPr>
        <w:pStyle w:val="BodyText"/>
        <w:spacing w:before="9"/>
        <w:rPr>
          <w:sz w:val="23"/>
        </w:rPr>
      </w:pPr>
    </w:p>
    <w:p w14:paraId="087D5301" w14:textId="4E7F1B6B" w:rsidR="005E140F" w:rsidRDefault="00C84745" w:rsidP="00C84745">
      <w:pPr>
        <w:pStyle w:val="Heading2"/>
        <w:spacing w:before="38"/>
      </w:pPr>
      <w:r>
        <w:t xml:space="preserve">Selection </w:t>
      </w:r>
      <w:r w:rsidR="004153C8">
        <w:t>and</w:t>
      </w:r>
      <w:r w:rsidR="004153C8">
        <w:rPr>
          <w:spacing w:val="-4"/>
        </w:rPr>
        <w:t xml:space="preserve"> </w:t>
      </w:r>
      <w:r w:rsidR="004153C8">
        <w:t>Allocation</w:t>
      </w:r>
      <w:r w:rsidR="004153C8">
        <w:rPr>
          <w:spacing w:val="1"/>
        </w:rPr>
        <w:t xml:space="preserve"> </w:t>
      </w:r>
      <w:r w:rsidR="004153C8">
        <w:rPr>
          <w:spacing w:val="-2"/>
        </w:rPr>
        <w:t>Criteria</w:t>
      </w:r>
    </w:p>
    <w:p w14:paraId="4AE60855" w14:textId="77777777" w:rsidR="005E140F" w:rsidRDefault="00000000">
      <w:pPr>
        <w:pStyle w:val="BodyText"/>
        <w:spacing w:before="178" w:line="280" w:lineRule="auto"/>
        <w:ind w:left="863" w:right="927"/>
      </w:pPr>
      <w:r>
        <w:t>Places</w:t>
      </w:r>
      <w:r>
        <w:rPr>
          <w:spacing w:val="13"/>
        </w:rPr>
        <w:t xml:space="preserve"> </w:t>
      </w:r>
      <w:r>
        <w:t>will</w:t>
      </w:r>
      <w:r>
        <w:rPr>
          <w:spacing w:val="16"/>
        </w:rPr>
        <w:t xml:space="preserve"> </w:t>
      </w:r>
      <w:r>
        <w:t>only</w:t>
      </w:r>
      <w:r>
        <w:rPr>
          <w:spacing w:val="16"/>
        </w:rPr>
        <w:t xml:space="preserve"> </w:t>
      </w:r>
      <w:r>
        <w:t>be</w:t>
      </w:r>
      <w:r>
        <w:rPr>
          <w:spacing w:val="17"/>
        </w:rPr>
        <w:t xml:space="preserve"> </w:t>
      </w:r>
      <w:r>
        <w:t>allocated</w:t>
      </w:r>
      <w:r>
        <w:rPr>
          <w:spacing w:val="17"/>
        </w:rPr>
        <w:t xml:space="preserve"> </w:t>
      </w:r>
      <w:r>
        <w:t>to</w:t>
      </w:r>
      <w:r>
        <w:rPr>
          <w:spacing w:val="20"/>
        </w:rPr>
        <w:t xml:space="preserve"> </w:t>
      </w:r>
      <w:r>
        <w:t>students</w:t>
      </w:r>
      <w:r>
        <w:rPr>
          <w:spacing w:val="16"/>
        </w:rPr>
        <w:t xml:space="preserve"> </w:t>
      </w:r>
      <w:r>
        <w:t>who</w:t>
      </w:r>
      <w:r>
        <w:rPr>
          <w:spacing w:val="17"/>
        </w:rPr>
        <w:t xml:space="preserve"> </w:t>
      </w:r>
      <w:r>
        <w:t>have</w:t>
      </w:r>
      <w:r>
        <w:rPr>
          <w:spacing w:val="17"/>
        </w:rPr>
        <w:t xml:space="preserve"> </w:t>
      </w:r>
      <w:r>
        <w:t>been</w:t>
      </w:r>
      <w:r>
        <w:rPr>
          <w:spacing w:val="17"/>
        </w:rPr>
        <w:t xml:space="preserve"> </w:t>
      </w:r>
      <w:r>
        <w:t>approved</w:t>
      </w:r>
      <w:r>
        <w:rPr>
          <w:spacing w:val="17"/>
        </w:rPr>
        <w:t xml:space="preserve"> </w:t>
      </w:r>
      <w:r>
        <w:t>by</w:t>
      </w:r>
      <w:r>
        <w:rPr>
          <w:spacing w:val="19"/>
        </w:rPr>
        <w:t xml:space="preserve"> </w:t>
      </w:r>
      <w:r>
        <w:t>their</w:t>
      </w:r>
      <w:r>
        <w:rPr>
          <w:spacing w:val="17"/>
        </w:rPr>
        <w:t xml:space="preserve"> </w:t>
      </w:r>
      <w:proofErr w:type="spellStart"/>
      <w:r>
        <w:t>programme</w:t>
      </w:r>
      <w:proofErr w:type="spellEnd"/>
      <w:r>
        <w:rPr>
          <w:spacing w:val="17"/>
        </w:rPr>
        <w:t xml:space="preserve"> </w:t>
      </w:r>
      <w:r>
        <w:t>leader.</w:t>
      </w:r>
      <w:r>
        <w:rPr>
          <w:spacing w:val="80"/>
        </w:rPr>
        <w:t xml:space="preserve"> </w:t>
      </w:r>
      <w:r>
        <w:t>As</w:t>
      </w:r>
      <w:r>
        <w:rPr>
          <w:spacing w:val="13"/>
        </w:rPr>
        <w:t xml:space="preserve"> </w:t>
      </w:r>
      <w:r>
        <w:t xml:space="preserve">part of your </w:t>
      </w:r>
      <w:proofErr w:type="gramStart"/>
      <w:r>
        <w:t>application</w:t>
      </w:r>
      <w:proofErr w:type="gramEnd"/>
      <w:r>
        <w:t xml:space="preserve"> you need to give evidence of your suitability for exchange by demonstrating why you would be a positive ambassador and details of any research you have taken into your selected </w:t>
      </w:r>
      <w:r>
        <w:rPr>
          <w:spacing w:val="-2"/>
        </w:rPr>
        <w:t>destination(s).</w:t>
      </w:r>
    </w:p>
    <w:p w14:paraId="75DA7CD7" w14:textId="77777777" w:rsidR="005E140F" w:rsidRDefault="00000000">
      <w:pPr>
        <w:spacing w:before="3" w:line="280" w:lineRule="auto"/>
        <w:ind w:left="863" w:right="1074"/>
        <w:rPr>
          <w:i/>
          <w:sz w:val="21"/>
        </w:rPr>
      </w:pPr>
      <w:r>
        <w:rPr>
          <w:i/>
          <w:sz w:val="21"/>
        </w:rPr>
        <w:t>Schools/School Support</w:t>
      </w:r>
      <w:r>
        <w:rPr>
          <w:i/>
          <w:spacing w:val="23"/>
          <w:sz w:val="21"/>
        </w:rPr>
        <w:t xml:space="preserve"> </w:t>
      </w:r>
      <w:r>
        <w:rPr>
          <w:i/>
          <w:sz w:val="21"/>
        </w:rPr>
        <w:t>Service</w:t>
      </w:r>
      <w:r>
        <w:rPr>
          <w:i/>
          <w:spacing w:val="26"/>
          <w:sz w:val="21"/>
        </w:rPr>
        <w:t xml:space="preserve"> </w:t>
      </w:r>
      <w:r>
        <w:rPr>
          <w:i/>
          <w:sz w:val="21"/>
        </w:rPr>
        <w:t>are</w:t>
      </w:r>
      <w:r>
        <w:rPr>
          <w:i/>
          <w:spacing w:val="23"/>
          <w:sz w:val="21"/>
        </w:rPr>
        <w:t xml:space="preserve"> </w:t>
      </w:r>
      <w:r>
        <w:rPr>
          <w:i/>
          <w:sz w:val="21"/>
        </w:rPr>
        <w:t>responsible</w:t>
      </w:r>
      <w:r>
        <w:rPr>
          <w:i/>
          <w:spacing w:val="26"/>
          <w:sz w:val="21"/>
        </w:rPr>
        <w:t xml:space="preserve"> </w:t>
      </w:r>
      <w:r>
        <w:rPr>
          <w:i/>
          <w:sz w:val="21"/>
        </w:rPr>
        <w:t>for</w:t>
      </w:r>
      <w:r>
        <w:rPr>
          <w:i/>
          <w:spacing w:val="24"/>
          <w:sz w:val="21"/>
        </w:rPr>
        <w:t xml:space="preserve"> </w:t>
      </w:r>
      <w:r>
        <w:rPr>
          <w:i/>
          <w:sz w:val="21"/>
        </w:rPr>
        <w:t>ensuring</w:t>
      </w:r>
      <w:r>
        <w:rPr>
          <w:i/>
          <w:spacing w:val="24"/>
          <w:sz w:val="21"/>
        </w:rPr>
        <w:t xml:space="preserve"> </w:t>
      </w:r>
      <w:r>
        <w:rPr>
          <w:i/>
          <w:sz w:val="21"/>
        </w:rPr>
        <w:t>that</w:t>
      </w:r>
      <w:r>
        <w:rPr>
          <w:i/>
          <w:spacing w:val="27"/>
          <w:sz w:val="21"/>
        </w:rPr>
        <w:t xml:space="preserve"> </w:t>
      </w:r>
      <w:r>
        <w:rPr>
          <w:i/>
          <w:sz w:val="21"/>
        </w:rPr>
        <w:t>student</w:t>
      </w:r>
      <w:r>
        <w:rPr>
          <w:i/>
          <w:spacing w:val="27"/>
          <w:sz w:val="21"/>
        </w:rPr>
        <w:t xml:space="preserve"> </w:t>
      </w:r>
      <w:r>
        <w:rPr>
          <w:i/>
          <w:sz w:val="21"/>
        </w:rPr>
        <w:t>grades</w:t>
      </w:r>
      <w:r>
        <w:rPr>
          <w:i/>
          <w:spacing w:val="21"/>
          <w:sz w:val="21"/>
        </w:rPr>
        <w:t xml:space="preserve"> </w:t>
      </w:r>
      <w:r>
        <w:rPr>
          <w:i/>
          <w:sz w:val="21"/>
        </w:rPr>
        <w:t>are</w:t>
      </w:r>
      <w:r>
        <w:rPr>
          <w:i/>
          <w:spacing w:val="26"/>
          <w:sz w:val="21"/>
        </w:rPr>
        <w:t xml:space="preserve"> </w:t>
      </w:r>
      <w:r>
        <w:rPr>
          <w:i/>
          <w:sz w:val="21"/>
        </w:rPr>
        <w:t>complete</w:t>
      </w:r>
      <w:r>
        <w:rPr>
          <w:i/>
          <w:spacing w:val="25"/>
          <w:sz w:val="21"/>
        </w:rPr>
        <w:t xml:space="preserve"> </w:t>
      </w:r>
      <w:r>
        <w:rPr>
          <w:i/>
          <w:sz w:val="21"/>
        </w:rPr>
        <w:t>and correct at the point of results publication as these grades form the core basis on which student exchange allocations are made.</w:t>
      </w:r>
    </w:p>
    <w:p w14:paraId="59F44DBF" w14:textId="77777777" w:rsidR="005E140F" w:rsidRDefault="005E140F">
      <w:pPr>
        <w:pStyle w:val="BodyText"/>
        <w:spacing w:before="12"/>
        <w:rPr>
          <w:i/>
          <w:sz w:val="24"/>
        </w:rPr>
      </w:pPr>
    </w:p>
    <w:p w14:paraId="0C578C28" w14:textId="77777777" w:rsidR="005E140F" w:rsidRDefault="00000000">
      <w:pPr>
        <w:ind w:left="863"/>
        <w:rPr>
          <w:b/>
          <w:sz w:val="21"/>
        </w:rPr>
      </w:pPr>
      <w:r>
        <w:rPr>
          <w:b/>
          <w:sz w:val="21"/>
        </w:rPr>
        <w:t>Allocations</w:t>
      </w:r>
      <w:r>
        <w:rPr>
          <w:b/>
          <w:spacing w:val="2"/>
          <w:sz w:val="21"/>
        </w:rPr>
        <w:t xml:space="preserve"> </w:t>
      </w:r>
      <w:r>
        <w:rPr>
          <w:b/>
          <w:sz w:val="21"/>
        </w:rPr>
        <w:t>will</w:t>
      </w:r>
      <w:r>
        <w:rPr>
          <w:b/>
          <w:spacing w:val="9"/>
          <w:sz w:val="21"/>
        </w:rPr>
        <w:t xml:space="preserve"> </w:t>
      </w:r>
      <w:r>
        <w:rPr>
          <w:b/>
          <w:sz w:val="21"/>
        </w:rPr>
        <w:t>primarily</w:t>
      </w:r>
      <w:r>
        <w:rPr>
          <w:b/>
          <w:spacing w:val="7"/>
          <w:sz w:val="21"/>
        </w:rPr>
        <w:t xml:space="preserve"> </w:t>
      </w:r>
      <w:r>
        <w:rPr>
          <w:b/>
          <w:sz w:val="21"/>
        </w:rPr>
        <w:t>be</w:t>
      </w:r>
      <w:r>
        <w:rPr>
          <w:b/>
          <w:spacing w:val="7"/>
          <w:sz w:val="21"/>
        </w:rPr>
        <w:t xml:space="preserve"> </w:t>
      </w:r>
      <w:r>
        <w:rPr>
          <w:b/>
          <w:sz w:val="21"/>
        </w:rPr>
        <w:t>made</w:t>
      </w:r>
      <w:r>
        <w:rPr>
          <w:b/>
          <w:spacing w:val="9"/>
          <w:sz w:val="21"/>
        </w:rPr>
        <w:t xml:space="preserve"> </w:t>
      </w:r>
      <w:r>
        <w:rPr>
          <w:b/>
          <w:sz w:val="21"/>
        </w:rPr>
        <w:t>based</w:t>
      </w:r>
      <w:r>
        <w:rPr>
          <w:b/>
          <w:spacing w:val="7"/>
          <w:sz w:val="21"/>
        </w:rPr>
        <w:t xml:space="preserve"> </w:t>
      </w:r>
      <w:r>
        <w:rPr>
          <w:b/>
          <w:spacing w:val="-5"/>
          <w:sz w:val="21"/>
        </w:rPr>
        <w:t>on:</w:t>
      </w:r>
    </w:p>
    <w:p w14:paraId="15A88000" w14:textId="77777777" w:rsidR="005E140F" w:rsidRDefault="005E140F">
      <w:pPr>
        <w:pStyle w:val="BodyText"/>
        <w:spacing w:before="2"/>
        <w:rPr>
          <w:b/>
          <w:sz w:val="28"/>
        </w:rPr>
      </w:pPr>
    </w:p>
    <w:p w14:paraId="7C432C94" w14:textId="4BDD0048" w:rsidR="005E140F" w:rsidRDefault="00000000" w:rsidP="00DB08E4">
      <w:pPr>
        <w:pStyle w:val="ListParagraph"/>
        <w:numPr>
          <w:ilvl w:val="1"/>
          <w:numId w:val="2"/>
        </w:numPr>
        <w:tabs>
          <w:tab w:val="left" w:pos="1564"/>
          <w:tab w:val="left" w:pos="1565"/>
        </w:tabs>
        <w:spacing w:line="280" w:lineRule="auto"/>
        <w:ind w:left="1214" w:right="1072"/>
        <w:rPr>
          <w:sz w:val="21"/>
        </w:rPr>
      </w:pPr>
      <w:r>
        <w:rPr>
          <w:sz w:val="21"/>
        </w:rPr>
        <w:t xml:space="preserve">A </w:t>
      </w:r>
      <w:r w:rsidR="00A11E9F">
        <w:rPr>
          <w:sz w:val="21"/>
        </w:rPr>
        <w:t>student’s</w:t>
      </w:r>
      <w:r>
        <w:rPr>
          <w:sz w:val="21"/>
        </w:rPr>
        <w:t xml:space="preserve"> academic average </w:t>
      </w:r>
      <w:r w:rsidR="00EF66FD">
        <w:rPr>
          <w:sz w:val="21"/>
        </w:rPr>
        <w:t xml:space="preserve">(across all studies/modules from commencement of their </w:t>
      </w:r>
      <w:proofErr w:type="spellStart"/>
      <w:r w:rsidR="00EF66FD">
        <w:rPr>
          <w:sz w:val="21"/>
        </w:rPr>
        <w:t>programme</w:t>
      </w:r>
      <w:proofErr w:type="spellEnd"/>
      <w:r w:rsidR="00EF66FD">
        <w:rPr>
          <w:sz w:val="21"/>
        </w:rPr>
        <w:t xml:space="preserve">, up to and including </w:t>
      </w:r>
      <w:r w:rsidR="00A11E9F">
        <w:rPr>
          <w:sz w:val="21"/>
        </w:rPr>
        <w:t xml:space="preserve">the </w:t>
      </w:r>
      <w:r w:rsidR="00EF66FD">
        <w:rPr>
          <w:sz w:val="21"/>
        </w:rPr>
        <w:t xml:space="preserve">most recent marks </w:t>
      </w:r>
      <w:r w:rsidR="00A11E9F">
        <w:rPr>
          <w:sz w:val="21"/>
        </w:rPr>
        <w:t xml:space="preserve">(at </w:t>
      </w:r>
      <w:r>
        <w:rPr>
          <w:sz w:val="21"/>
        </w:rPr>
        <w:t xml:space="preserve">the point of </w:t>
      </w:r>
      <w:r w:rsidR="00EF66FD">
        <w:rPr>
          <w:sz w:val="21"/>
        </w:rPr>
        <w:t>allocation</w:t>
      </w:r>
      <w:r w:rsidR="00A11E9F">
        <w:rPr>
          <w:sz w:val="21"/>
        </w:rPr>
        <w:t>)</w:t>
      </w:r>
      <w:r>
        <w:rPr>
          <w:sz w:val="21"/>
        </w:rPr>
        <w:t xml:space="preserve">, in line with preferences (after results from the most recently completed trimester are published). For example, in the event that there are two places at a </w:t>
      </w:r>
      <w:proofErr w:type="gramStart"/>
      <w:r>
        <w:rPr>
          <w:sz w:val="21"/>
        </w:rPr>
        <w:t>HI</w:t>
      </w:r>
      <w:proofErr w:type="gramEnd"/>
      <w:r>
        <w:rPr>
          <w:sz w:val="21"/>
        </w:rPr>
        <w:t xml:space="preserve"> but three students have selected a HI as their 1</w:t>
      </w:r>
      <w:r>
        <w:rPr>
          <w:sz w:val="21"/>
          <w:vertAlign w:val="superscript"/>
        </w:rPr>
        <w:t>st</w:t>
      </w:r>
      <w:r>
        <w:rPr>
          <w:sz w:val="21"/>
        </w:rPr>
        <w:t xml:space="preserve"> preference, in most cases (and factoring in other noted criteria) the two students with the highest grade averages would be allocated the available places. The 3</w:t>
      </w:r>
      <w:r>
        <w:rPr>
          <w:sz w:val="21"/>
          <w:vertAlign w:val="superscript"/>
        </w:rPr>
        <w:t>rd</w:t>
      </w:r>
      <w:r>
        <w:rPr>
          <w:sz w:val="21"/>
        </w:rPr>
        <w:t xml:space="preserve"> student would then be considered for their subsequent HI preferences, in competition with others, and so forth – until an allocation is made, or all preferences are exhausted, whichever comes first.</w:t>
      </w:r>
    </w:p>
    <w:p w14:paraId="38122CE4" w14:textId="77777777" w:rsidR="005E140F" w:rsidRDefault="005E140F" w:rsidP="00DB08E4">
      <w:pPr>
        <w:pStyle w:val="BodyText"/>
        <w:spacing w:before="11"/>
        <w:rPr>
          <w:sz w:val="24"/>
        </w:rPr>
      </w:pPr>
    </w:p>
    <w:p w14:paraId="2C50FBE0" w14:textId="77777777" w:rsidR="005E140F" w:rsidRDefault="00000000" w:rsidP="00DB08E4">
      <w:pPr>
        <w:pStyle w:val="ListParagraph"/>
        <w:numPr>
          <w:ilvl w:val="1"/>
          <w:numId w:val="2"/>
        </w:numPr>
        <w:tabs>
          <w:tab w:val="left" w:pos="1564"/>
          <w:tab w:val="left" w:pos="1565"/>
        </w:tabs>
        <w:ind w:left="1214"/>
        <w:rPr>
          <w:sz w:val="21"/>
        </w:rPr>
      </w:pPr>
      <w:r>
        <w:rPr>
          <w:sz w:val="21"/>
        </w:rPr>
        <w:t>Linguistic</w:t>
      </w:r>
      <w:r>
        <w:rPr>
          <w:spacing w:val="7"/>
          <w:sz w:val="21"/>
        </w:rPr>
        <w:t xml:space="preserve"> </w:t>
      </w:r>
      <w:r>
        <w:rPr>
          <w:sz w:val="21"/>
        </w:rPr>
        <w:t>ability</w:t>
      </w:r>
      <w:r>
        <w:rPr>
          <w:spacing w:val="6"/>
          <w:sz w:val="21"/>
        </w:rPr>
        <w:t xml:space="preserve"> </w:t>
      </w:r>
      <w:r>
        <w:rPr>
          <w:sz w:val="21"/>
        </w:rPr>
        <w:t>(if</w:t>
      </w:r>
      <w:r>
        <w:rPr>
          <w:spacing w:val="6"/>
          <w:sz w:val="21"/>
        </w:rPr>
        <w:t xml:space="preserve"> </w:t>
      </w:r>
      <w:r>
        <w:rPr>
          <w:sz w:val="21"/>
        </w:rPr>
        <w:t>relevant</w:t>
      </w:r>
      <w:r>
        <w:rPr>
          <w:spacing w:val="5"/>
          <w:sz w:val="21"/>
        </w:rPr>
        <w:t xml:space="preserve"> </w:t>
      </w:r>
      <w:r>
        <w:rPr>
          <w:sz w:val="21"/>
        </w:rPr>
        <w:t>to</w:t>
      </w:r>
      <w:r>
        <w:rPr>
          <w:spacing w:val="6"/>
          <w:sz w:val="21"/>
        </w:rPr>
        <w:t xml:space="preserve"> </w:t>
      </w:r>
      <w:r>
        <w:rPr>
          <w:sz w:val="21"/>
        </w:rPr>
        <w:t>your</w:t>
      </w:r>
      <w:r>
        <w:rPr>
          <w:spacing w:val="7"/>
          <w:sz w:val="21"/>
        </w:rPr>
        <w:t xml:space="preserve"> </w:t>
      </w:r>
      <w:r>
        <w:rPr>
          <w:spacing w:val="-2"/>
          <w:sz w:val="21"/>
        </w:rPr>
        <w:t>destination)</w:t>
      </w:r>
    </w:p>
    <w:p w14:paraId="39DB7A12" w14:textId="77777777" w:rsidR="005E140F" w:rsidRDefault="005E140F">
      <w:pPr>
        <w:pStyle w:val="BodyText"/>
        <w:spacing w:before="3"/>
      </w:pPr>
    </w:p>
    <w:p w14:paraId="33E6D922" w14:textId="77777777" w:rsidR="005E140F" w:rsidRDefault="00000000">
      <w:pPr>
        <w:ind w:left="863"/>
        <w:rPr>
          <w:b/>
          <w:sz w:val="21"/>
        </w:rPr>
      </w:pPr>
      <w:r>
        <w:rPr>
          <w:b/>
          <w:sz w:val="21"/>
        </w:rPr>
        <w:t>Where</w:t>
      </w:r>
      <w:r>
        <w:rPr>
          <w:b/>
          <w:spacing w:val="8"/>
          <w:sz w:val="21"/>
        </w:rPr>
        <w:t xml:space="preserve"> </w:t>
      </w:r>
      <w:r>
        <w:rPr>
          <w:b/>
          <w:sz w:val="21"/>
        </w:rPr>
        <w:t>there</w:t>
      </w:r>
      <w:r>
        <w:rPr>
          <w:b/>
          <w:spacing w:val="6"/>
          <w:sz w:val="21"/>
        </w:rPr>
        <w:t xml:space="preserve"> </w:t>
      </w:r>
      <w:r>
        <w:rPr>
          <w:b/>
          <w:sz w:val="21"/>
        </w:rPr>
        <w:t>is</w:t>
      </w:r>
      <w:r>
        <w:rPr>
          <w:b/>
          <w:spacing w:val="3"/>
          <w:sz w:val="21"/>
        </w:rPr>
        <w:t xml:space="preserve"> </w:t>
      </w:r>
      <w:r>
        <w:rPr>
          <w:b/>
          <w:sz w:val="21"/>
        </w:rPr>
        <w:t>competition</w:t>
      </w:r>
      <w:r>
        <w:rPr>
          <w:b/>
          <w:spacing w:val="7"/>
          <w:sz w:val="21"/>
        </w:rPr>
        <w:t xml:space="preserve"> </w:t>
      </w:r>
      <w:r>
        <w:rPr>
          <w:b/>
          <w:sz w:val="21"/>
        </w:rPr>
        <w:t>for</w:t>
      </w:r>
      <w:r>
        <w:rPr>
          <w:b/>
          <w:spacing w:val="10"/>
          <w:sz w:val="21"/>
        </w:rPr>
        <w:t xml:space="preserve"> </w:t>
      </w:r>
      <w:r>
        <w:rPr>
          <w:b/>
          <w:sz w:val="21"/>
        </w:rPr>
        <w:t>places</w:t>
      </w:r>
      <w:r>
        <w:rPr>
          <w:b/>
          <w:spacing w:val="7"/>
          <w:sz w:val="21"/>
        </w:rPr>
        <w:t xml:space="preserve"> </w:t>
      </w:r>
      <w:r>
        <w:rPr>
          <w:b/>
          <w:sz w:val="21"/>
        </w:rPr>
        <w:t>additional</w:t>
      </w:r>
      <w:r>
        <w:rPr>
          <w:b/>
          <w:spacing w:val="7"/>
          <w:sz w:val="21"/>
        </w:rPr>
        <w:t xml:space="preserve"> </w:t>
      </w:r>
      <w:r>
        <w:rPr>
          <w:b/>
          <w:sz w:val="21"/>
        </w:rPr>
        <w:t>selection</w:t>
      </w:r>
      <w:r>
        <w:rPr>
          <w:b/>
          <w:spacing w:val="5"/>
          <w:sz w:val="21"/>
        </w:rPr>
        <w:t xml:space="preserve"> </w:t>
      </w:r>
      <w:r>
        <w:rPr>
          <w:b/>
          <w:sz w:val="21"/>
        </w:rPr>
        <w:t>criteria</w:t>
      </w:r>
      <w:r>
        <w:rPr>
          <w:b/>
          <w:spacing w:val="8"/>
          <w:sz w:val="21"/>
        </w:rPr>
        <w:t xml:space="preserve"> </w:t>
      </w:r>
      <w:r>
        <w:rPr>
          <w:b/>
          <w:sz w:val="21"/>
        </w:rPr>
        <w:t>may</w:t>
      </w:r>
      <w:r>
        <w:rPr>
          <w:b/>
          <w:spacing w:val="6"/>
          <w:sz w:val="21"/>
        </w:rPr>
        <w:t xml:space="preserve"> </w:t>
      </w:r>
      <w:r>
        <w:rPr>
          <w:b/>
          <w:sz w:val="21"/>
        </w:rPr>
        <w:t>be</w:t>
      </w:r>
      <w:r>
        <w:rPr>
          <w:b/>
          <w:spacing w:val="8"/>
          <w:sz w:val="21"/>
        </w:rPr>
        <w:t xml:space="preserve"> </w:t>
      </w:r>
      <w:r>
        <w:rPr>
          <w:b/>
          <w:spacing w:val="-2"/>
          <w:sz w:val="21"/>
        </w:rPr>
        <w:t>applied:</w:t>
      </w:r>
    </w:p>
    <w:p w14:paraId="3A24C9F7" w14:textId="77777777" w:rsidR="005E140F" w:rsidRDefault="005E140F">
      <w:pPr>
        <w:pStyle w:val="BodyText"/>
        <w:spacing w:before="2"/>
        <w:rPr>
          <w:b/>
        </w:rPr>
      </w:pPr>
    </w:p>
    <w:p w14:paraId="26806D4E" w14:textId="082A0618" w:rsidR="005E140F" w:rsidRDefault="00000000" w:rsidP="00DB08E4">
      <w:pPr>
        <w:pStyle w:val="ListParagraph"/>
        <w:numPr>
          <w:ilvl w:val="0"/>
          <w:numId w:val="7"/>
        </w:numPr>
        <w:tabs>
          <w:tab w:val="left" w:pos="1564"/>
          <w:tab w:val="left" w:pos="1565"/>
        </w:tabs>
        <w:spacing w:line="280" w:lineRule="auto"/>
        <w:ind w:left="1223" w:right="966"/>
        <w:rPr>
          <w:sz w:val="21"/>
        </w:rPr>
      </w:pPr>
      <w:r w:rsidRPr="00725822">
        <w:rPr>
          <w:b/>
          <w:sz w:val="21"/>
        </w:rPr>
        <w:t>Compulsory or optional study abroad period.</w:t>
      </w:r>
      <w:r w:rsidR="00725822">
        <w:rPr>
          <w:sz w:val="21"/>
        </w:rPr>
        <w:t xml:space="preserve"> </w:t>
      </w:r>
      <w:r w:rsidR="00E436E3">
        <w:rPr>
          <w:sz w:val="21"/>
        </w:rPr>
        <w:t xml:space="preserve">Prior to the allocations process, places at our </w:t>
      </w:r>
      <w:proofErr w:type="spellStart"/>
      <w:r w:rsidR="00E436E3">
        <w:rPr>
          <w:sz w:val="21"/>
        </w:rPr>
        <w:t>uni</w:t>
      </w:r>
      <w:proofErr w:type="spellEnd"/>
      <w:r w:rsidR="00E436E3">
        <w:rPr>
          <w:sz w:val="21"/>
        </w:rPr>
        <w:t xml:space="preserve">-wide partners will be split proportionately (based on total number of applications) between compulsory and non-compulsory. For example, if International Business Management applications comprise 30% of the total number of applications received, approx. 30% of the </w:t>
      </w:r>
      <w:proofErr w:type="spellStart"/>
      <w:r w:rsidR="00E436E3">
        <w:rPr>
          <w:sz w:val="21"/>
        </w:rPr>
        <w:t>uni</w:t>
      </w:r>
      <w:proofErr w:type="spellEnd"/>
      <w:r w:rsidR="00E436E3">
        <w:rPr>
          <w:sz w:val="21"/>
        </w:rPr>
        <w:t>-wide places available will be ring-fenced for IBM</w:t>
      </w:r>
      <w:r w:rsidR="00005A14">
        <w:rPr>
          <w:sz w:val="21"/>
        </w:rPr>
        <w:t xml:space="preserve">, with the same approach for DMIDG and non-compulsory exchanges. General business places will also be prioritized for IBM students, but students from other Business (non-IBM) disciplines will be considered for </w:t>
      </w:r>
      <w:proofErr w:type="spellStart"/>
      <w:r w:rsidR="00005A14">
        <w:rPr>
          <w:sz w:val="21"/>
        </w:rPr>
        <w:t>uni</w:t>
      </w:r>
      <w:proofErr w:type="spellEnd"/>
      <w:r w:rsidR="00005A14">
        <w:rPr>
          <w:sz w:val="21"/>
        </w:rPr>
        <w:t>-wide places from the non-compulsory portion.</w:t>
      </w:r>
      <w:r w:rsidR="00E436E3">
        <w:rPr>
          <w:sz w:val="21"/>
        </w:rPr>
        <w:t xml:space="preserve">  </w:t>
      </w:r>
    </w:p>
    <w:p w14:paraId="61426FA3" w14:textId="77777777" w:rsidR="00DB08E4" w:rsidRDefault="00DB08E4" w:rsidP="00DB08E4">
      <w:pPr>
        <w:pStyle w:val="ListParagraph"/>
        <w:tabs>
          <w:tab w:val="left" w:pos="1564"/>
          <w:tab w:val="left" w:pos="1565"/>
        </w:tabs>
        <w:spacing w:line="280" w:lineRule="auto"/>
        <w:ind w:left="503" w:right="966" w:firstLine="0"/>
        <w:rPr>
          <w:sz w:val="17"/>
        </w:rPr>
      </w:pPr>
    </w:p>
    <w:p w14:paraId="27EDFF10" w14:textId="3BFDF07C" w:rsidR="005E140F" w:rsidRDefault="00000000" w:rsidP="00DB08E4">
      <w:pPr>
        <w:pStyle w:val="ListParagraph"/>
        <w:numPr>
          <w:ilvl w:val="0"/>
          <w:numId w:val="7"/>
        </w:numPr>
        <w:tabs>
          <w:tab w:val="left" w:pos="1564"/>
          <w:tab w:val="left" w:pos="1565"/>
        </w:tabs>
        <w:spacing w:line="278" w:lineRule="auto"/>
        <w:ind w:left="1223" w:right="1069"/>
        <w:rPr>
          <w:sz w:val="21"/>
        </w:rPr>
      </w:pPr>
      <w:r>
        <w:rPr>
          <w:b/>
          <w:sz w:val="21"/>
        </w:rPr>
        <w:t>Year of study.</w:t>
      </w:r>
      <w:r>
        <w:rPr>
          <w:b/>
          <w:spacing w:val="40"/>
          <w:sz w:val="21"/>
        </w:rPr>
        <w:t xml:space="preserve"> </w:t>
      </w:r>
      <w:r>
        <w:rPr>
          <w:sz w:val="21"/>
        </w:rPr>
        <w:t xml:space="preserve">Year 2 students studying courses which do not allow a period of study abroad in third year, </w:t>
      </w:r>
      <w:r w:rsidR="00E436E3" w:rsidRPr="00CA7812">
        <w:rPr>
          <w:i/>
          <w:iCs/>
          <w:sz w:val="21"/>
        </w:rPr>
        <w:t>may</w:t>
      </w:r>
      <w:r>
        <w:rPr>
          <w:sz w:val="21"/>
        </w:rPr>
        <w:t xml:space="preserve"> be </w:t>
      </w:r>
      <w:proofErr w:type="spellStart"/>
      <w:r>
        <w:rPr>
          <w:sz w:val="21"/>
        </w:rPr>
        <w:t>prioritised</w:t>
      </w:r>
      <w:proofErr w:type="spellEnd"/>
      <w:r>
        <w:rPr>
          <w:sz w:val="21"/>
        </w:rPr>
        <w:t xml:space="preserve"> over Year 1 students applying to go on exchange in Year 2.</w:t>
      </w:r>
    </w:p>
    <w:p w14:paraId="705EC55A" w14:textId="77777777" w:rsidR="005E140F" w:rsidRDefault="005E140F">
      <w:pPr>
        <w:pStyle w:val="BodyText"/>
        <w:spacing w:before="11"/>
        <w:rPr>
          <w:sz w:val="17"/>
        </w:rPr>
      </w:pPr>
    </w:p>
    <w:p w14:paraId="21DE6654" w14:textId="6AF2177C" w:rsidR="00725822" w:rsidRDefault="00DB08E4" w:rsidP="00580985">
      <w:pPr>
        <w:ind w:left="863"/>
        <w:rPr>
          <w:b/>
          <w:spacing w:val="-2"/>
          <w:sz w:val="21"/>
        </w:rPr>
      </w:pPr>
      <w:r>
        <w:rPr>
          <w:b/>
          <w:sz w:val="21"/>
        </w:rPr>
        <w:t>BA (Hons) IBM</w:t>
      </w:r>
      <w:r>
        <w:rPr>
          <w:b/>
          <w:spacing w:val="6"/>
          <w:sz w:val="21"/>
        </w:rPr>
        <w:t xml:space="preserve"> </w:t>
      </w:r>
      <w:r>
        <w:rPr>
          <w:b/>
          <w:sz w:val="21"/>
        </w:rPr>
        <w:t>students</w:t>
      </w:r>
      <w:r>
        <w:rPr>
          <w:b/>
          <w:spacing w:val="12"/>
          <w:sz w:val="21"/>
        </w:rPr>
        <w:t xml:space="preserve"> </w:t>
      </w:r>
      <w:r>
        <w:rPr>
          <w:b/>
          <w:spacing w:val="-2"/>
          <w:sz w:val="21"/>
        </w:rPr>
        <w:t>(IMPORTANT)</w:t>
      </w:r>
    </w:p>
    <w:p w14:paraId="5D7566F3" w14:textId="4F3A9E53" w:rsidR="00725822" w:rsidRPr="00580985" w:rsidRDefault="00725822" w:rsidP="00580985">
      <w:pPr>
        <w:pStyle w:val="BodyText"/>
        <w:spacing w:before="178" w:line="280" w:lineRule="auto"/>
        <w:ind w:left="863" w:right="927"/>
      </w:pPr>
      <w:r w:rsidRPr="00580985">
        <w:t xml:space="preserve">As a compulsory element of their </w:t>
      </w:r>
      <w:proofErr w:type="spellStart"/>
      <w:r w:rsidRPr="00580985">
        <w:t>programme</w:t>
      </w:r>
      <w:proofErr w:type="spellEnd"/>
      <w:r w:rsidRPr="00580985">
        <w:t xml:space="preserve">, students studying on BA (Hons) International Business Management are required to undertake a period of exchange as part of their 3rd year studies. For academic year 2025/26, students can select to study abroad at one of our partner universities for either the full academic year or one single semester.  All students will be required to note 5 preferences on their application, any applications submitted without 5 preferences listed will be returned to the applicant for amendment. </w:t>
      </w:r>
    </w:p>
    <w:p w14:paraId="3B650F91" w14:textId="77777777" w:rsidR="00DB08E4" w:rsidRPr="00580985" w:rsidRDefault="00DB08E4" w:rsidP="00580985">
      <w:pPr>
        <w:pStyle w:val="BodyText"/>
        <w:spacing w:before="178" w:line="280" w:lineRule="auto"/>
        <w:ind w:left="863" w:right="927"/>
      </w:pPr>
    </w:p>
    <w:p w14:paraId="0D8C9A8A" w14:textId="2E0D447C" w:rsidR="00725822" w:rsidRPr="00580985" w:rsidRDefault="00725822" w:rsidP="00580985">
      <w:pPr>
        <w:pStyle w:val="BodyText"/>
        <w:spacing w:before="178" w:line="280" w:lineRule="auto"/>
        <w:ind w:left="863" w:right="927"/>
      </w:pPr>
      <w:r w:rsidRPr="00580985">
        <w:t>The GMT will be responsible for all allocations in the first instance</w:t>
      </w:r>
      <w:r w:rsidR="00224A18" w:rsidRPr="00580985">
        <w:t xml:space="preserve">, however, support from the </w:t>
      </w:r>
      <w:proofErr w:type="spellStart"/>
      <w:r w:rsidR="00224A18" w:rsidRPr="00580985">
        <w:t>programme</w:t>
      </w:r>
      <w:proofErr w:type="spellEnd"/>
      <w:r w:rsidR="00224A18" w:rsidRPr="00580985">
        <w:t xml:space="preserve"> team may be sought in the event we are unable to allocate a student to any of their listed preferences (in line with the allocation criteria previously noted). If this occurs, please note you may be allocated to a host/country which was not listed on your application after consultation of suitability with the </w:t>
      </w:r>
      <w:proofErr w:type="spellStart"/>
      <w:r w:rsidR="00224A18" w:rsidRPr="00580985">
        <w:t>programme</w:t>
      </w:r>
      <w:proofErr w:type="spellEnd"/>
      <w:r w:rsidR="00224A18" w:rsidRPr="00580985">
        <w:t xml:space="preserve"> team. </w:t>
      </w:r>
    </w:p>
    <w:p w14:paraId="29FCE286" w14:textId="77777777" w:rsidR="005E140F" w:rsidRDefault="005E140F">
      <w:pPr>
        <w:spacing w:line="280" w:lineRule="auto"/>
        <w:sectPr w:rsidR="005E140F">
          <w:pgSz w:w="11910" w:h="16840"/>
          <w:pgMar w:top="1040" w:right="460" w:bottom="1600" w:left="540" w:header="0" w:footer="1408" w:gutter="0"/>
          <w:cols w:space="720"/>
        </w:sectPr>
      </w:pPr>
    </w:p>
    <w:p w14:paraId="4DE24769" w14:textId="13C106E2" w:rsidR="005E140F" w:rsidRDefault="005E140F" w:rsidP="00A11E9F">
      <w:pPr>
        <w:pStyle w:val="BodyText"/>
        <w:spacing w:before="61" w:line="283" w:lineRule="auto"/>
        <w:ind w:right="1451"/>
      </w:pPr>
    </w:p>
    <w:p w14:paraId="4FB6E5F8" w14:textId="77777777" w:rsidR="005E140F" w:rsidRDefault="005E140F">
      <w:pPr>
        <w:pStyle w:val="BodyText"/>
        <w:spacing w:before="9"/>
        <w:rPr>
          <w:sz w:val="17"/>
        </w:rPr>
      </w:pPr>
    </w:p>
    <w:p w14:paraId="36A14724" w14:textId="77777777" w:rsidR="005E140F" w:rsidRDefault="00000000">
      <w:pPr>
        <w:pStyle w:val="Heading2"/>
        <w:spacing w:before="1"/>
      </w:pPr>
      <w:r>
        <w:rPr>
          <w:spacing w:val="-2"/>
        </w:rPr>
        <w:t>Appeals</w:t>
      </w:r>
    </w:p>
    <w:p w14:paraId="64330711" w14:textId="77777777" w:rsidR="005E140F" w:rsidRDefault="005E140F">
      <w:pPr>
        <w:pStyle w:val="BodyText"/>
        <w:spacing w:before="2"/>
        <w:rPr>
          <w:b/>
          <w:sz w:val="22"/>
        </w:rPr>
      </w:pPr>
    </w:p>
    <w:p w14:paraId="14A312F6" w14:textId="77777777" w:rsidR="005E140F" w:rsidRDefault="00000000">
      <w:pPr>
        <w:pStyle w:val="BodyText"/>
        <w:spacing w:line="280" w:lineRule="auto"/>
        <w:ind w:left="863" w:right="960"/>
      </w:pPr>
      <w:r>
        <w:t xml:space="preserve">Participation in the student exchange </w:t>
      </w:r>
      <w:proofErr w:type="spellStart"/>
      <w:r>
        <w:t>programme</w:t>
      </w:r>
      <w:proofErr w:type="spellEnd"/>
      <w:r>
        <w:t xml:space="preserve"> is competitive, with allocations criteria being largely grades-based. The onus is therefore on students to read this policy and understand the criteria and processes before applying for exchange. Students are required to confirm that they have read this policy prior to submitting their application.</w:t>
      </w:r>
    </w:p>
    <w:p w14:paraId="4F1B1D8A" w14:textId="77777777" w:rsidR="005E140F" w:rsidRDefault="005E140F">
      <w:pPr>
        <w:pStyle w:val="BodyText"/>
        <w:spacing w:before="11"/>
        <w:rPr>
          <w:sz w:val="17"/>
        </w:rPr>
      </w:pPr>
    </w:p>
    <w:p w14:paraId="5E491D7C" w14:textId="77777777" w:rsidR="005E140F" w:rsidRDefault="00000000">
      <w:pPr>
        <w:pStyle w:val="BodyText"/>
        <w:spacing w:line="280" w:lineRule="auto"/>
        <w:ind w:left="863" w:right="1135"/>
      </w:pPr>
      <w:r>
        <w:t>The GMT undertake appropriate sample checking to avoid mistakes, and in the rare event a genuine mistake has been made contrary to the criteria and process, the GMT will do as much as possible to rectify the matter. Grade averages are calculated by the GMT at the point of ENUs official results publication date each trimester, and the GMT cannot know or be held responsible if there are missing/incorrect grades which may subsequently be used in the allocation process.</w:t>
      </w:r>
    </w:p>
    <w:p w14:paraId="35FCFC88" w14:textId="77777777" w:rsidR="005E140F" w:rsidRDefault="005E140F">
      <w:pPr>
        <w:pStyle w:val="BodyText"/>
        <w:spacing w:before="11"/>
        <w:rPr>
          <w:sz w:val="17"/>
        </w:rPr>
      </w:pPr>
    </w:p>
    <w:p w14:paraId="4570C91E" w14:textId="77777777" w:rsidR="005E140F" w:rsidRDefault="00000000">
      <w:pPr>
        <w:pStyle w:val="BodyText"/>
        <w:spacing w:before="1" w:line="280" w:lineRule="auto"/>
        <w:ind w:left="863" w:right="1074"/>
      </w:pPr>
      <w:r>
        <w:t>The only basis for an appeal/review of an outcome pertaining to an exchange allocation would be in the event a student has genuine reason to believe that the allocations process and selection criteria itself have not been applied as advertised. In these cases, students can contact the GMT (studyabroad@napier.ac.uk) if they wish to query the outcome, at which point the relevant records will be thoroughly checked, however, if there is no error made in line with the published criteria, this ends</w:t>
      </w:r>
      <w:r>
        <w:rPr>
          <w:spacing w:val="40"/>
        </w:rPr>
        <w:t xml:space="preserve"> </w:t>
      </w:r>
      <w:r>
        <w:t>the appeal.</w:t>
      </w:r>
    </w:p>
    <w:p w14:paraId="12E06A54" w14:textId="77777777" w:rsidR="005E140F" w:rsidRDefault="005E140F">
      <w:pPr>
        <w:pStyle w:val="BodyText"/>
        <w:spacing w:before="11"/>
        <w:rPr>
          <w:sz w:val="17"/>
        </w:rPr>
      </w:pPr>
    </w:p>
    <w:p w14:paraId="465BD79B" w14:textId="77777777" w:rsidR="005E140F" w:rsidRDefault="00000000">
      <w:pPr>
        <w:pStyle w:val="BodyText"/>
        <w:spacing w:line="278" w:lineRule="auto"/>
        <w:ind w:left="863" w:right="1074"/>
      </w:pPr>
      <w:r>
        <w:t xml:space="preserve">It should also be noted that due to the inter-related allocation process (where one decision impacts all subsequent outcomes) we cannot specify in any </w:t>
      </w:r>
      <w:proofErr w:type="gramStart"/>
      <w:r>
        <w:t>great detail</w:t>
      </w:r>
      <w:proofErr w:type="gramEnd"/>
      <w:r>
        <w:t xml:space="preserve"> why a student has not been successful in</w:t>
      </w:r>
    </w:p>
    <w:p w14:paraId="4C6B2CE6" w14:textId="77777777" w:rsidR="005E140F" w:rsidRDefault="005E140F">
      <w:pPr>
        <w:spacing w:line="278" w:lineRule="auto"/>
        <w:sectPr w:rsidR="005E140F">
          <w:pgSz w:w="11910" w:h="16840"/>
          <w:pgMar w:top="1040" w:right="460" w:bottom="1600" w:left="540" w:header="0" w:footer="1408" w:gutter="0"/>
          <w:cols w:space="720"/>
        </w:sectPr>
      </w:pPr>
    </w:p>
    <w:p w14:paraId="46A65A5B" w14:textId="77777777" w:rsidR="005E140F" w:rsidRDefault="005E140F">
      <w:pPr>
        <w:pStyle w:val="BodyText"/>
        <w:spacing w:before="6"/>
        <w:rPr>
          <w:sz w:val="8"/>
        </w:rPr>
      </w:pPr>
    </w:p>
    <w:p w14:paraId="527B7142" w14:textId="77777777" w:rsidR="005E140F" w:rsidRDefault="005E140F">
      <w:pPr>
        <w:pStyle w:val="BodyText"/>
        <w:rPr>
          <w:rFonts w:ascii="Arial MT"/>
          <w:sz w:val="20"/>
        </w:rPr>
      </w:pPr>
    </w:p>
    <w:p w14:paraId="64B4D9CD" w14:textId="77777777" w:rsidR="005E140F" w:rsidRDefault="005E140F">
      <w:pPr>
        <w:pStyle w:val="BodyText"/>
        <w:spacing w:before="9"/>
        <w:rPr>
          <w:rFonts w:ascii="Arial MT"/>
          <w:sz w:val="26"/>
        </w:rPr>
      </w:pPr>
    </w:p>
    <w:p w14:paraId="09146BBC" w14:textId="77777777" w:rsidR="005E140F" w:rsidRDefault="00000000">
      <w:pPr>
        <w:pStyle w:val="BodyText"/>
        <w:spacing w:before="61" w:line="283" w:lineRule="auto"/>
        <w:ind w:left="863" w:right="1074"/>
      </w:pPr>
      <w:r>
        <w:t>being placed at a particular institution, or at all. For example, the GMT cannot advise what grade a student needed to get a place as this could present a data protection/privacy risk for another student.</w:t>
      </w:r>
    </w:p>
    <w:p w14:paraId="6F75D21A" w14:textId="77777777" w:rsidR="005E140F" w:rsidRDefault="005E140F">
      <w:pPr>
        <w:pStyle w:val="BodyText"/>
        <w:rPr>
          <w:sz w:val="20"/>
        </w:rPr>
      </w:pPr>
    </w:p>
    <w:p w14:paraId="160A223D" w14:textId="77777777" w:rsidR="005E140F" w:rsidRDefault="005E140F">
      <w:pPr>
        <w:pStyle w:val="BodyText"/>
        <w:rPr>
          <w:sz w:val="20"/>
        </w:rPr>
      </w:pPr>
    </w:p>
    <w:p w14:paraId="1DD03C21" w14:textId="77777777" w:rsidR="005E140F" w:rsidRDefault="00000000">
      <w:pPr>
        <w:pStyle w:val="Heading2"/>
        <w:spacing w:before="158"/>
      </w:pPr>
      <w:bookmarkStart w:id="5" w:name="_TOC_250034"/>
      <w:r>
        <w:t>Completing</w:t>
      </w:r>
      <w:r>
        <w:rPr>
          <w:spacing w:val="2"/>
        </w:rPr>
        <w:t xml:space="preserve"> </w:t>
      </w:r>
      <w:r>
        <w:t>the</w:t>
      </w:r>
      <w:r>
        <w:rPr>
          <w:spacing w:val="-1"/>
        </w:rPr>
        <w:t xml:space="preserve"> </w:t>
      </w:r>
      <w:r>
        <w:t>application</w:t>
      </w:r>
      <w:r>
        <w:rPr>
          <w:spacing w:val="-1"/>
        </w:rPr>
        <w:t xml:space="preserve"> </w:t>
      </w:r>
      <w:bookmarkEnd w:id="5"/>
      <w:r>
        <w:rPr>
          <w:spacing w:val="-4"/>
        </w:rPr>
        <w:t>form</w:t>
      </w:r>
    </w:p>
    <w:p w14:paraId="589F79C8" w14:textId="77777777" w:rsidR="005E140F" w:rsidRDefault="00000000">
      <w:pPr>
        <w:pStyle w:val="BodyText"/>
        <w:spacing w:before="178" w:line="280" w:lineRule="auto"/>
        <w:ind w:left="863" w:right="1074"/>
      </w:pPr>
      <w:r>
        <w:t xml:space="preserve">Applications must be completed in full and submitted by the advertised deadline (normally mid- November of the year prior to exchange). </w:t>
      </w:r>
      <w:r>
        <w:rPr>
          <w:u w:val="single"/>
        </w:rPr>
        <w:t>Late applications will not normally be permitted and will be at</w:t>
      </w:r>
      <w:r>
        <w:t xml:space="preserve"> </w:t>
      </w:r>
      <w:r>
        <w:rPr>
          <w:u w:val="single"/>
        </w:rPr>
        <w:t>the discretion of the Global Mobility team.</w:t>
      </w:r>
    </w:p>
    <w:p w14:paraId="790FC58B" w14:textId="77777777" w:rsidR="005E140F" w:rsidRDefault="005E140F">
      <w:pPr>
        <w:pStyle w:val="BodyText"/>
        <w:spacing w:before="9"/>
        <w:rPr>
          <w:sz w:val="19"/>
        </w:rPr>
      </w:pPr>
    </w:p>
    <w:p w14:paraId="6D1A682B" w14:textId="77777777" w:rsidR="005E140F" w:rsidRDefault="00000000">
      <w:pPr>
        <w:pStyle w:val="BodyText"/>
        <w:spacing w:before="61" w:line="280" w:lineRule="auto"/>
        <w:ind w:left="863" w:right="1074"/>
      </w:pPr>
      <w:r>
        <w:t>Students must research host institution options fully prior to applying as it is not possible to change preferences or request additional preferences once applications are submitted. Up to five HI’s can be selected on the application form and should be listed in order of preference.</w:t>
      </w:r>
    </w:p>
    <w:p w14:paraId="291B316F" w14:textId="77777777" w:rsidR="005E140F" w:rsidRDefault="005E140F">
      <w:pPr>
        <w:pStyle w:val="BodyText"/>
        <w:spacing w:before="10"/>
        <w:rPr>
          <w:sz w:val="24"/>
        </w:rPr>
      </w:pPr>
    </w:p>
    <w:p w14:paraId="134433E3" w14:textId="77777777" w:rsidR="005E140F" w:rsidRDefault="00000000">
      <w:pPr>
        <w:pStyle w:val="BodyText"/>
        <w:spacing w:line="280" w:lineRule="auto"/>
        <w:ind w:left="863" w:right="1074"/>
      </w:pPr>
      <w:r>
        <w:t xml:space="preserve">The GMT is under no </w:t>
      </w:r>
      <w:proofErr w:type="gramStart"/>
      <w:r>
        <w:t>obligation, but</w:t>
      </w:r>
      <w:proofErr w:type="gramEnd"/>
      <w:r>
        <w:t xml:space="preserve"> reserves the right to offer additional options not listed as a preference in the event that the first five preferences are not available. It should be noted that students who are offered alternative destinations will have a very short timeline to consider alternatives.</w:t>
      </w:r>
    </w:p>
    <w:p w14:paraId="3A8746A9" w14:textId="77777777" w:rsidR="005E140F" w:rsidRDefault="005E140F">
      <w:pPr>
        <w:pStyle w:val="BodyText"/>
        <w:spacing w:before="9"/>
        <w:rPr>
          <w:sz w:val="24"/>
        </w:rPr>
      </w:pPr>
    </w:p>
    <w:p w14:paraId="72AE87E6" w14:textId="77777777" w:rsidR="005E140F" w:rsidRDefault="00000000">
      <w:pPr>
        <w:pStyle w:val="BodyText"/>
        <w:spacing w:before="1" w:line="283" w:lineRule="auto"/>
        <w:ind w:left="863" w:right="1451"/>
      </w:pPr>
      <w:r>
        <w:t xml:space="preserve">Students not approved by their PL for exchange, or who are unable to be allocated to a preferred institution, are welcome to consider applying again through the Exchange Clearing round (normally April), or the following year (if </w:t>
      </w:r>
      <w:proofErr w:type="gramStart"/>
      <w:r>
        <w:t>possible</w:t>
      </w:r>
      <w:proofErr w:type="gramEnd"/>
      <w:r>
        <w:t xml:space="preserve"> within </w:t>
      </w:r>
      <w:proofErr w:type="spellStart"/>
      <w:r>
        <w:t>Programme</w:t>
      </w:r>
      <w:proofErr w:type="spellEnd"/>
      <w:r>
        <w:t xml:space="preserve"> structures).</w:t>
      </w:r>
    </w:p>
    <w:p w14:paraId="2CA07FD6" w14:textId="77777777" w:rsidR="005E140F" w:rsidRDefault="005E140F">
      <w:pPr>
        <w:pStyle w:val="BodyText"/>
        <w:spacing w:before="1"/>
        <w:rPr>
          <w:sz w:val="24"/>
        </w:rPr>
      </w:pPr>
    </w:p>
    <w:p w14:paraId="24550332" w14:textId="77777777" w:rsidR="005E140F" w:rsidRDefault="00000000">
      <w:pPr>
        <w:pStyle w:val="BodyText"/>
        <w:spacing w:before="1" w:line="280" w:lineRule="auto"/>
        <w:ind w:left="863" w:right="949"/>
      </w:pPr>
      <w:r>
        <w:t>ENU encourages all students to consider undertaking an international experience during their studies. Students</w:t>
      </w:r>
      <w:r>
        <w:rPr>
          <w:spacing w:val="26"/>
        </w:rPr>
        <w:t xml:space="preserve"> </w:t>
      </w:r>
      <w:r>
        <w:t>with</w:t>
      </w:r>
      <w:r>
        <w:rPr>
          <w:spacing w:val="21"/>
        </w:rPr>
        <w:t xml:space="preserve"> </w:t>
      </w:r>
      <w:r>
        <w:t>special</w:t>
      </w:r>
      <w:r>
        <w:rPr>
          <w:spacing w:val="20"/>
        </w:rPr>
        <w:t xml:space="preserve"> </w:t>
      </w:r>
      <w:r>
        <w:t>needs</w:t>
      </w:r>
      <w:r>
        <w:rPr>
          <w:spacing w:val="23"/>
        </w:rPr>
        <w:t xml:space="preserve"> </w:t>
      </w:r>
      <w:r>
        <w:t>resulting</w:t>
      </w:r>
      <w:r>
        <w:rPr>
          <w:spacing w:val="20"/>
        </w:rPr>
        <w:t xml:space="preserve"> </w:t>
      </w:r>
      <w:r>
        <w:t>from</w:t>
      </w:r>
      <w:r>
        <w:rPr>
          <w:spacing w:val="21"/>
        </w:rPr>
        <w:t xml:space="preserve"> </w:t>
      </w:r>
      <w:r>
        <w:t>physical</w:t>
      </w:r>
      <w:r>
        <w:rPr>
          <w:spacing w:val="20"/>
        </w:rPr>
        <w:t xml:space="preserve"> </w:t>
      </w:r>
      <w:r>
        <w:t>or</w:t>
      </w:r>
      <w:r>
        <w:rPr>
          <w:spacing w:val="21"/>
        </w:rPr>
        <w:t xml:space="preserve"> </w:t>
      </w:r>
      <w:r>
        <w:t>mental</w:t>
      </w:r>
      <w:r>
        <w:rPr>
          <w:spacing w:val="24"/>
        </w:rPr>
        <w:t xml:space="preserve"> </w:t>
      </w:r>
      <w:r>
        <w:t>health</w:t>
      </w:r>
      <w:r>
        <w:rPr>
          <w:spacing w:val="18"/>
        </w:rPr>
        <w:t xml:space="preserve"> </w:t>
      </w:r>
      <w:r>
        <w:t>concerns</w:t>
      </w:r>
      <w:r>
        <w:rPr>
          <w:spacing w:val="23"/>
        </w:rPr>
        <w:t xml:space="preserve"> </w:t>
      </w:r>
      <w:r>
        <w:t>are</w:t>
      </w:r>
      <w:r>
        <w:rPr>
          <w:spacing w:val="24"/>
        </w:rPr>
        <w:t xml:space="preserve"> </w:t>
      </w:r>
      <w:r>
        <w:t>strongly</w:t>
      </w:r>
      <w:r>
        <w:rPr>
          <w:spacing w:val="20"/>
        </w:rPr>
        <w:t xml:space="preserve"> </w:t>
      </w:r>
      <w:r>
        <w:t xml:space="preserve">encouraged to declare this fully in the application. This is to ensure that students have considered the implications specific to their circumstances, but importantly will allow GMT to work with the student, HI and ENU Wellbeing and Inclusion team to identify and work together to ensure that the exchange will be suitable for the student’s needs. It must be </w:t>
      </w:r>
      <w:proofErr w:type="spellStart"/>
      <w:r>
        <w:t>recognised</w:t>
      </w:r>
      <w:proofErr w:type="spellEnd"/>
      <w:r>
        <w:t xml:space="preserve"> that HIs are required to provide exchange students with support equivalent to that offered to their own </w:t>
      </w:r>
      <w:proofErr w:type="gramStart"/>
      <w:r>
        <w:t>students, but</w:t>
      </w:r>
      <w:proofErr w:type="gramEnd"/>
      <w:r>
        <w:t xml:space="preserve"> cannot guarantee an identical support structure as is offered at ENU. Therefore, early and full declaration of additional support needs is crucial.</w:t>
      </w:r>
    </w:p>
    <w:p w14:paraId="6C684F75" w14:textId="77777777" w:rsidR="005E140F" w:rsidRDefault="005E140F">
      <w:pPr>
        <w:pStyle w:val="BodyText"/>
        <w:spacing w:before="12"/>
        <w:rPr>
          <w:sz w:val="24"/>
        </w:rPr>
      </w:pPr>
    </w:p>
    <w:p w14:paraId="78BD217A" w14:textId="77777777" w:rsidR="005E140F" w:rsidRDefault="00000000">
      <w:pPr>
        <w:pStyle w:val="BodyText"/>
        <w:spacing w:line="280" w:lineRule="auto"/>
        <w:ind w:left="863" w:right="1451"/>
      </w:pPr>
      <w:r>
        <w:t xml:space="preserve">The GMT/Schools cannot provide expert advice </w:t>
      </w:r>
      <w:proofErr w:type="gramStart"/>
      <w:r>
        <w:t>with regard to</w:t>
      </w:r>
      <w:proofErr w:type="gramEnd"/>
      <w:r>
        <w:t xml:space="preserve"> special needs. The Wellbeing and Inclusion team should be contacted directly if students wish to discuss their specific needs prior to applying for exchange.</w:t>
      </w:r>
    </w:p>
    <w:p w14:paraId="0ABA4DC5" w14:textId="77777777" w:rsidR="005E140F" w:rsidRDefault="005E140F">
      <w:pPr>
        <w:pStyle w:val="BodyText"/>
        <w:spacing w:before="9"/>
        <w:rPr>
          <w:sz w:val="24"/>
        </w:rPr>
      </w:pPr>
    </w:p>
    <w:p w14:paraId="26A770EE" w14:textId="779FA746" w:rsidR="005E140F" w:rsidRDefault="00000000" w:rsidP="00C84745">
      <w:pPr>
        <w:pStyle w:val="BodyText"/>
        <w:spacing w:before="1" w:line="280" w:lineRule="auto"/>
        <w:ind w:left="863" w:right="1074"/>
        <w:sectPr w:rsidR="005E140F">
          <w:pgSz w:w="11910" w:h="16840"/>
          <w:pgMar w:top="1040" w:right="460" w:bottom="1600" w:left="540" w:header="0" w:footer="1408" w:gutter="0"/>
          <w:cols w:space="720"/>
        </w:sectPr>
      </w:pPr>
      <w:r>
        <w:t>In selecting HI preferences, students should consider personal circumstances related to equality and societal norms in a potential host country. Concerns regarding equality and diversity scenarios should be raised with the GMT prior to applying so that guidance can be provided.</w:t>
      </w:r>
    </w:p>
    <w:p w14:paraId="00A4276B" w14:textId="77777777" w:rsidR="005E140F" w:rsidRDefault="005E140F">
      <w:pPr>
        <w:pStyle w:val="BodyText"/>
        <w:spacing w:before="6"/>
        <w:rPr>
          <w:sz w:val="8"/>
        </w:rPr>
      </w:pPr>
    </w:p>
    <w:p w14:paraId="00825124" w14:textId="77777777" w:rsidR="005E140F" w:rsidRDefault="005E140F">
      <w:pPr>
        <w:pStyle w:val="BodyText"/>
        <w:rPr>
          <w:rFonts w:ascii="Arial MT"/>
          <w:sz w:val="20"/>
        </w:rPr>
      </w:pPr>
    </w:p>
    <w:p w14:paraId="226F91BB" w14:textId="77777777" w:rsidR="005E140F" w:rsidRDefault="005E140F">
      <w:pPr>
        <w:pStyle w:val="BodyText"/>
        <w:rPr>
          <w:rFonts w:ascii="Arial MT"/>
          <w:sz w:val="20"/>
        </w:rPr>
      </w:pPr>
    </w:p>
    <w:p w14:paraId="2D36853F" w14:textId="77777777" w:rsidR="005E140F" w:rsidRDefault="005E140F">
      <w:pPr>
        <w:pStyle w:val="BodyText"/>
        <w:rPr>
          <w:rFonts w:ascii="Arial MT"/>
          <w:sz w:val="20"/>
        </w:rPr>
      </w:pPr>
    </w:p>
    <w:p w14:paraId="1FA2821A" w14:textId="77777777" w:rsidR="005E140F" w:rsidRDefault="005E140F">
      <w:pPr>
        <w:pStyle w:val="BodyText"/>
        <w:spacing w:before="4"/>
        <w:rPr>
          <w:rFonts w:ascii="Arial MT"/>
          <w:sz w:val="18"/>
        </w:rPr>
      </w:pPr>
    </w:p>
    <w:p w14:paraId="3865EC79" w14:textId="77777777" w:rsidR="005E140F" w:rsidRDefault="00000000">
      <w:pPr>
        <w:pStyle w:val="BodyText"/>
        <w:spacing w:line="280" w:lineRule="auto"/>
        <w:ind w:left="863" w:right="1013"/>
      </w:pPr>
      <w:r>
        <w:t>All students completing an exchange application are agreeing to the retention and use of their personal data for the express purpose of managing the exchange, from application through to reporting and record-keeping.</w:t>
      </w:r>
      <w:r>
        <w:rPr>
          <w:spacing w:val="29"/>
        </w:rPr>
        <w:t xml:space="preserve"> </w:t>
      </w:r>
      <w:r>
        <w:t>Standard General</w:t>
      </w:r>
      <w:r>
        <w:rPr>
          <w:spacing w:val="26"/>
        </w:rPr>
        <w:t xml:space="preserve"> </w:t>
      </w:r>
      <w:r>
        <w:t>Data Protection</w:t>
      </w:r>
      <w:r>
        <w:rPr>
          <w:spacing w:val="27"/>
        </w:rPr>
        <w:t xml:space="preserve"> </w:t>
      </w:r>
      <w:r>
        <w:t>Regulations</w:t>
      </w:r>
      <w:r>
        <w:rPr>
          <w:spacing w:val="26"/>
        </w:rPr>
        <w:t xml:space="preserve"> </w:t>
      </w:r>
      <w:proofErr w:type="gramStart"/>
      <w:r>
        <w:t>apply,</w:t>
      </w:r>
      <w:proofErr w:type="gramEnd"/>
      <w:r>
        <w:t xml:space="preserve"> however it must be</w:t>
      </w:r>
      <w:r>
        <w:rPr>
          <w:spacing w:val="33"/>
        </w:rPr>
        <w:t xml:space="preserve"> </w:t>
      </w:r>
      <w:proofErr w:type="spellStart"/>
      <w:r>
        <w:t>recognised</w:t>
      </w:r>
      <w:proofErr w:type="spellEnd"/>
      <w:r>
        <w:t xml:space="preserve"> that retention and use of data</w:t>
      </w:r>
      <w:r>
        <w:rPr>
          <w:spacing w:val="14"/>
        </w:rPr>
        <w:t xml:space="preserve"> </w:t>
      </w:r>
      <w:r>
        <w:t>is</w:t>
      </w:r>
      <w:r>
        <w:rPr>
          <w:spacing w:val="13"/>
        </w:rPr>
        <w:t xml:space="preserve"> </w:t>
      </w:r>
      <w:r>
        <w:t>subject to ENU</w:t>
      </w:r>
      <w:r>
        <w:rPr>
          <w:spacing w:val="13"/>
        </w:rPr>
        <w:t xml:space="preserve"> </w:t>
      </w:r>
      <w:r>
        <w:t>policy,</w:t>
      </w:r>
      <w:r>
        <w:rPr>
          <w:spacing w:val="14"/>
        </w:rPr>
        <w:t xml:space="preserve"> </w:t>
      </w:r>
      <w:r>
        <w:t>and</w:t>
      </w:r>
      <w:r>
        <w:rPr>
          <w:spacing w:val="14"/>
        </w:rPr>
        <w:t xml:space="preserve"> </w:t>
      </w:r>
      <w:r>
        <w:t>may</w:t>
      </w:r>
      <w:r>
        <w:rPr>
          <w:spacing w:val="15"/>
        </w:rPr>
        <w:t xml:space="preserve"> </w:t>
      </w:r>
      <w:r>
        <w:t>also entail your data being held by the</w:t>
      </w:r>
      <w:r>
        <w:rPr>
          <w:spacing w:val="40"/>
        </w:rPr>
        <w:t xml:space="preserve"> </w:t>
      </w:r>
      <w:r>
        <w:t>HI and funding bodies. This means that identifiable data related to the exchange may be retained for up to seven years after the exchange period.</w:t>
      </w:r>
    </w:p>
    <w:p w14:paraId="392DAD4F" w14:textId="77777777" w:rsidR="005E140F" w:rsidRDefault="005E140F">
      <w:pPr>
        <w:pStyle w:val="BodyText"/>
        <w:spacing w:before="10"/>
        <w:rPr>
          <w:sz w:val="24"/>
        </w:rPr>
      </w:pPr>
    </w:p>
    <w:p w14:paraId="285E70E3" w14:textId="77777777" w:rsidR="005E140F" w:rsidRDefault="00000000">
      <w:pPr>
        <w:ind w:left="863"/>
        <w:rPr>
          <w:b/>
          <w:sz w:val="21"/>
        </w:rPr>
      </w:pPr>
      <w:r>
        <w:rPr>
          <w:b/>
          <w:spacing w:val="-4"/>
          <w:sz w:val="21"/>
        </w:rPr>
        <w:t>ISEP</w:t>
      </w:r>
    </w:p>
    <w:p w14:paraId="4A1D8F5A" w14:textId="77777777" w:rsidR="005E140F" w:rsidRDefault="00000000">
      <w:pPr>
        <w:pStyle w:val="BodyText"/>
        <w:spacing w:before="44" w:line="283" w:lineRule="auto"/>
        <w:ind w:left="863" w:right="1074"/>
      </w:pPr>
      <w:r>
        <w:t>Students applying to undertake an exchange through ISEP (</w:t>
      </w:r>
      <w:r>
        <w:rPr>
          <w:color w:val="0000FF"/>
          <w:u w:val="single" w:color="0000FF"/>
        </w:rPr>
        <w:t>https://</w:t>
      </w:r>
      <w:hyperlink r:id="rId11">
        <w:r>
          <w:rPr>
            <w:color w:val="0000FF"/>
            <w:u w:val="single" w:color="0000FF"/>
          </w:rPr>
          <w:t>www.isepstudyabroad.org/</w:t>
        </w:r>
        <w:r>
          <w:t>)</w:t>
        </w:r>
      </w:hyperlink>
      <w:r>
        <w:t xml:space="preserve"> must still complete the application to study abroad through ENU. Students are not permitted to study abroad through ISEP to one of ENUs direct exchange partner HIs.</w:t>
      </w:r>
    </w:p>
    <w:p w14:paraId="6B115632" w14:textId="77777777" w:rsidR="005E140F" w:rsidRDefault="005E140F">
      <w:pPr>
        <w:pStyle w:val="BodyText"/>
        <w:spacing w:before="2"/>
        <w:rPr>
          <w:sz w:val="28"/>
        </w:rPr>
      </w:pPr>
    </w:p>
    <w:p w14:paraId="1324A897" w14:textId="77777777" w:rsidR="005E140F" w:rsidRDefault="00000000">
      <w:pPr>
        <w:pStyle w:val="Heading2"/>
      </w:pPr>
      <w:bookmarkStart w:id="6" w:name="_TOC_250033"/>
      <w:r>
        <w:t>Academic</w:t>
      </w:r>
      <w:r>
        <w:rPr>
          <w:spacing w:val="-1"/>
        </w:rPr>
        <w:t xml:space="preserve"> </w:t>
      </w:r>
      <w:r>
        <w:t>aspects</w:t>
      </w:r>
      <w:r>
        <w:rPr>
          <w:spacing w:val="-1"/>
        </w:rPr>
        <w:t xml:space="preserve"> </w:t>
      </w:r>
      <w:r>
        <w:t>of</w:t>
      </w:r>
      <w:r>
        <w:rPr>
          <w:spacing w:val="-3"/>
        </w:rPr>
        <w:t xml:space="preserve"> </w:t>
      </w:r>
      <w:r>
        <w:t>your</w:t>
      </w:r>
      <w:bookmarkEnd w:id="6"/>
      <w:r>
        <w:rPr>
          <w:spacing w:val="-2"/>
        </w:rPr>
        <w:t xml:space="preserve"> exchange</w:t>
      </w:r>
    </w:p>
    <w:p w14:paraId="0064560B" w14:textId="77777777" w:rsidR="005E140F" w:rsidRDefault="005E140F">
      <w:pPr>
        <w:pStyle w:val="BodyText"/>
        <w:spacing w:before="4"/>
        <w:rPr>
          <w:b/>
          <w:sz w:val="30"/>
        </w:rPr>
      </w:pPr>
    </w:p>
    <w:p w14:paraId="2445856B" w14:textId="77777777" w:rsidR="005E140F" w:rsidRDefault="00000000">
      <w:pPr>
        <w:pStyle w:val="Heading3"/>
      </w:pPr>
      <w:bookmarkStart w:id="7" w:name="_TOC_250032"/>
      <w:bookmarkEnd w:id="7"/>
      <w:r>
        <w:rPr>
          <w:color w:val="424242"/>
          <w:spacing w:val="-2"/>
        </w:rPr>
        <w:t>Credit</w:t>
      </w:r>
    </w:p>
    <w:p w14:paraId="1A1C0DCD" w14:textId="3A8F9E29" w:rsidR="005E140F" w:rsidRDefault="00000000">
      <w:pPr>
        <w:pStyle w:val="BodyText"/>
        <w:spacing w:before="133" w:line="280" w:lineRule="auto"/>
        <w:ind w:left="863" w:right="933"/>
      </w:pPr>
      <w:r>
        <w:t>Schools are responsible for determining and publishing credit/grade conversion models to students prior to</w:t>
      </w:r>
      <w:r>
        <w:rPr>
          <w:spacing w:val="17"/>
        </w:rPr>
        <w:t xml:space="preserve"> </w:t>
      </w:r>
      <w:r>
        <w:t>the</w:t>
      </w:r>
      <w:r>
        <w:rPr>
          <w:spacing w:val="23"/>
        </w:rPr>
        <w:t xml:space="preserve"> </w:t>
      </w:r>
      <w:r>
        <w:t>exchange</w:t>
      </w:r>
      <w:r>
        <w:rPr>
          <w:spacing w:val="20"/>
        </w:rPr>
        <w:t xml:space="preserve"> </w:t>
      </w:r>
      <w:r>
        <w:t>period.</w:t>
      </w:r>
      <w:r>
        <w:rPr>
          <w:spacing w:val="22"/>
        </w:rPr>
        <w:t xml:space="preserve"> </w:t>
      </w:r>
      <w:r>
        <w:t>An</w:t>
      </w:r>
      <w:r>
        <w:rPr>
          <w:spacing w:val="17"/>
        </w:rPr>
        <w:t xml:space="preserve"> </w:t>
      </w:r>
      <w:r>
        <w:t>indicative</w:t>
      </w:r>
      <w:r>
        <w:rPr>
          <w:spacing w:val="17"/>
        </w:rPr>
        <w:t xml:space="preserve"> </w:t>
      </w:r>
      <w:r>
        <w:t>credit</w:t>
      </w:r>
      <w:r>
        <w:rPr>
          <w:spacing w:val="20"/>
        </w:rPr>
        <w:t xml:space="preserve"> </w:t>
      </w:r>
      <w:r>
        <w:t>load</w:t>
      </w:r>
      <w:r>
        <w:rPr>
          <w:spacing w:val="17"/>
        </w:rPr>
        <w:t xml:space="preserve"> </w:t>
      </w:r>
      <w:r>
        <w:t>for most</w:t>
      </w:r>
      <w:r>
        <w:rPr>
          <w:spacing w:val="25"/>
        </w:rPr>
        <w:t xml:space="preserve"> </w:t>
      </w:r>
      <w:r>
        <w:t>HIs</w:t>
      </w:r>
      <w:r>
        <w:rPr>
          <w:spacing w:val="19"/>
        </w:rPr>
        <w:t xml:space="preserve"> </w:t>
      </w:r>
      <w:r>
        <w:t>is</w:t>
      </w:r>
      <w:r>
        <w:rPr>
          <w:spacing w:val="22"/>
        </w:rPr>
        <w:t xml:space="preserve"> </w:t>
      </w:r>
      <w:r>
        <w:t>available</w:t>
      </w:r>
      <w:r>
        <w:rPr>
          <w:spacing w:val="23"/>
        </w:rPr>
        <w:t xml:space="preserve"> </w:t>
      </w:r>
      <w:r>
        <w:t xml:space="preserve">at </w:t>
      </w:r>
      <w:hyperlink r:id="rId12" w:history="1">
        <w:r w:rsidRPr="00EF66FD">
          <w:rPr>
            <w:rStyle w:val="Hyperlink"/>
          </w:rPr>
          <w:t>https://my.napier.ac.uk/your-studies/study-abroad/exchange-credit-requirements</w:t>
        </w:r>
      </w:hyperlink>
      <w:r>
        <w:t>.</w:t>
      </w:r>
      <w:r>
        <w:rPr>
          <w:spacing w:val="29"/>
        </w:rPr>
        <w:t xml:space="preserve"> </w:t>
      </w:r>
      <w:r>
        <w:t>Credit</w:t>
      </w:r>
      <w:r>
        <w:rPr>
          <w:spacing w:val="27"/>
        </w:rPr>
        <w:t xml:space="preserve"> </w:t>
      </w:r>
      <w:r>
        <w:t>from</w:t>
      </w:r>
      <w:r>
        <w:rPr>
          <w:spacing w:val="80"/>
          <w:w w:val="150"/>
        </w:rPr>
        <w:t xml:space="preserve"> </w:t>
      </w:r>
      <w:r>
        <w:t xml:space="preserve">exchange will normally be transferred in line with the </w:t>
      </w:r>
      <w:hyperlink r:id="rId13" w:history="1">
        <w:r w:rsidRPr="00EF66FD">
          <w:rPr>
            <w:rStyle w:val="Hyperlink"/>
          </w:rPr>
          <w:t>Credit Conversion paper</w:t>
        </w:r>
      </w:hyperlink>
      <w:r>
        <w:t>, as relevant to the ENU degree. Any queries/concerns related to credit should be directed to the nominated PL in the first</w:t>
      </w:r>
      <w:r>
        <w:rPr>
          <w:spacing w:val="40"/>
        </w:rPr>
        <w:t xml:space="preserve"> </w:t>
      </w:r>
      <w:r>
        <w:rPr>
          <w:spacing w:val="-2"/>
        </w:rPr>
        <w:t>instance.</w:t>
      </w:r>
    </w:p>
    <w:p w14:paraId="414A2E9D" w14:textId="77777777" w:rsidR="005E140F" w:rsidRDefault="005E140F">
      <w:pPr>
        <w:pStyle w:val="BodyText"/>
        <w:spacing w:before="7"/>
        <w:rPr>
          <w:sz w:val="25"/>
        </w:rPr>
      </w:pPr>
    </w:p>
    <w:p w14:paraId="55EB1F44" w14:textId="77777777" w:rsidR="005E140F" w:rsidRDefault="00000000">
      <w:pPr>
        <w:pStyle w:val="Heading3"/>
        <w:spacing w:before="1"/>
      </w:pPr>
      <w:bookmarkStart w:id="8" w:name="_TOC_250031"/>
      <w:r>
        <w:rPr>
          <w:color w:val="424242"/>
        </w:rPr>
        <w:t>Module</w:t>
      </w:r>
      <w:r>
        <w:rPr>
          <w:color w:val="424242"/>
          <w:spacing w:val="1"/>
        </w:rPr>
        <w:t xml:space="preserve"> </w:t>
      </w:r>
      <w:bookmarkEnd w:id="8"/>
      <w:r>
        <w:rPr>
          <w:color w:val="424242"/>
          <w:spacing w:val="-2"/>
        </w:rPr>
        <w:t>choices</w:t>
      </w:r>
    </w:p>
    <w:p w14:paraId="381B5290" w14:textId="77777777" w:rsidR="005E140F" w:rsidRDefault="00000000">
      <w:pPr>
        <w:pStyle w:val="BodyText"/>
        <w:spacing w:before="133" w:line="280" w:lineRule="auto"/>
        <w:ind w:left="863" w:right="1074"/>
      </w:pPr>
      <w:r>
        <w:t>The</w:t>
      </w:r>
      <w:r>
        <w:rPr>
          <w:spacing w:val="24"/>
        </w:rPr>
        <w:t xml:space="preserve"> </w:t>
      </w:r>
      <w:r>
        <w:t>relevant</w:t>
      </w:r>
      <w:r>
        <w:rPr>
          <w:spacing w:val="21"/>
        </w:rPr>
        <w:t xml:space="preserve"> </w:t>
      </w:r>
      <w:r>
        <w:t>PL</w:t>
      </w:r>
      <w:r>
        <w:rPr>
          <w:spacing w:val="22"/>
        </w:rPr>
        <w:t xml:space="preserve"> </w:t>
      </w:r>
      <w:r>
        <w:t>is</w:t>
      </w:r>
      <w:r>
        <w:rPr>
          <w:spacing w:val="25"/>
        </w:rPr>
        <w:t xml:space="preserve"> </w:t>
      </w:r>
      <w:r>
        <w:t>responsible</w:t>
      </w:r>
      <w:r>
        <w:rPr>
          <w:spacing w:val="24"/>
        </w:rPr>
        <w:t xml:space="preserve"> </w:t>
      </w:r>
      <w:r>
        <w:t>for</w:t>
      </w:r>
      <w:r>
        <w:rPr>
          <w:spacing w:val="21"/>
        </w:rPr>
        <w:t xml:space="preserve"> </w:t>
      </w:r>
      <w:r>
        <w:t>guiding students on making suitable</w:t>
      </w:r>
      <w:r>
        <w:rPr>
          <w:spacing w:val="21"/>
        </w:rPr>
        <w:t xml:space="preserve"> </w:t>
      </w:r>
      <w:r>
        <w:t>exchange</w:t>
      </w:r>
      <w:r>
        <w:rPr>
          <w:spacing w:val="21"/>
        </w:rPr>
        <w:t xml:space="preserve"> </w:t>
      </w:r>
      <w:r>
        <w:t>module</w:t>
      </w:r>
      <w:r>
        <w:rPr>
          <w:spacing w:val="24"/>
        </w:rPr>
        <w:t xml:space="preserve"> </w:t>
      </w:r>
      <w:r>
        <w:t xml:space="preserve">selections before and during the </w:t>
      </w:r>
      <w:proofErr w:type="gramStart"/>
      <w:r>
        <w:t>exchange, and</w:t>
      </w:r>
      <w:proofErr w:type="gramEnd"/>
      <w:r>
        <w:t xml:space="preserve"> assisting with reintroduction back to the ENU </w:t>
      </w:r>
      <w:proofErr w:type="spellStart"/>
      <w:r>
        <w:t>programme</w:t>
      </w:r>
      <w:proofErr w:type="spellEnd"/>
      <w:r>
        <w:t xml:space="preserve"> after the exchange</w:t>
      </w:r>
      <w:r>
        <w:rPr>
          <w:spacing w:val="21"/>
        </w:rPr>
        <w:t xml:space="preserve"> </w:t>
      </w:r>
      <w:r>
        <w:t>period.</w:t>
      </w:r>
      <w:r>
        <w:rPr>
          <w:spacing w:val="19"/>
        </w:rPr>
        <w:t xml:space="preserve"> </w:t>
      </w:r>
      <w:r>
        <w:t>It</w:t>
      </w:r>
      <w:r>
        <w:rPr>
          <w:spacing w:val="15"/>
        </w:rPr>
        <w:t xml:space="preserve"> </w:t>
      </w:r>
      <w:r>
        <w:t>is</w:t>
      </w:r>
      <w:r>
        <w:rPr>
          <w:spacing w:val="19"/>
        </w:rPr>
        <w:t xml:space="preserve"> </w:t>
      </w:r>
      <w:r>
        <w:t>each</w:t>
      </w:r>
      <w:r>
        <w:rPr>
          <w:spacing w:val="15"/>
        </w:rPr>
        <w:t xml:space="preserve"> </w:t>
      </w:r>
      <w:r>
        <w:t>student’s</w:t>
      </w:r>
      <w:r>
        <w:rPr>
          <w:spacing w:val="19"/>
        </w:rPr>
        <w:t xml:space="preserve"> </w:t>
      </w:r>
      <w:r>
        <w:t>responsibility</w:t>
      </w:r>
      <w:r>
        <w:rPr>
          <w:spacing w:val="19"/>
        </w:rPr>
        <w:t xml:space="preserve"> </w:t>
      </w:r>
      <w:r>
        <w:t>to</w:t>
      </w:r>
      <w:r>
        <w:rPr>
          <w:spacing w:val="21"/>
        </w:rPr>
        <w:t xml:space="preserve"> </w:t>
      </w:r>
      <w:r>
        <w:t>review</w:t>
      </w:r>
      <w:r>
        <w:rPr>
          <w:spacing w:val="22"/>
        </w:rPr>
        <w:t xml:space="preserve"> </w:t>
      </w:r>
      <w:r>
        <w:t>the</w:t>
      </w:r>
      <w:r>
        <w:rPr>
          <w:spacing w:val="18"/>
        </w:rPr>
        <w:t xml:space="preserve"> </w:t>
      </w:r>
      <w:r>
        <w:t>possible</w:t>
      </w:r>
      <w:r>
        <w:rPr>
          <w:spacing w:val="18"/>
        </w:rPr>
        <w:t xml:space="preserve"> </w:t>
      </w:r>
      <w:r>
        <w:t>modules</w:t>
      </w:r>
      <w:r>
        <w:rPr>
          <w:spacing w:val="17"/>
        </w:rPr>
        <w:t xml:space="preserve"> </w:t>
      </w:r>
      <w:r>
        <w:t>available</w:t>
      </w:r>
      <w:r>
        <w:rPr>
          <w:spacing w:val="18"/>
        </w:rPr>
        <w:t xml:space="preserve"> </w:t>
      </w:r>
      <w:r>
        <w:t>at</w:t>
      </w:r>
      <w:r>
        <w:rPr>
          <w:spacing w:val="15"/>
        </w:rPr>
        <w:t xml:space="preserve"> </w:t>
      </w:r>
      <w:r>
        <w:t>the</w:t>
      </w:r>
      <w:r>
        <w:rPr>
          <w:spacing w:val="21"/>
        </w:rPr>
        <w:t xml:space="preserve"> </w:t>
      </w:r>
      <w:r>
        <w:t xml:space="preserve">HI and to provide details to the PL </w:t>
      </w:r>
      <w:proofErr w:type="gramStart"/>
      <w:r>
        <w:t>in order to</w:t>
      </w:r>
      <w:proofErr w:type="gramEnd"/>
      <w:r>
        <w:t xml:space="preserve"> facilitate due approval of the exchange modules.</w:t>
      </w:r>
    </w:p>
    <w:p w14:paraId="0B3B3682" w14:textId="77777777" w:rsidR="005E140F" w:rsidRDefault="005E140F">
      <w:pPr>
        <w:pStyle w:val="BodyText"/>
        <w:spacing w:before="7"/>
        <w:rPr>
          <w:sz w:val="25"/>
        </w:rPr>
      </w:pPr>
    </w:p>
    <w:p w14:paraId="79A6C4AF" w14:textId="77777777" w:rsidR="005E140F" w:rsidRDefault="00000000">
      <w:pPr>
        <w:pStyle w:val="Heading3"/>
      </w:pPr>
      <w:bookmarkStart w:id="9" w:name="_TOC_250030"/>
      <w:r>
        <w:rPr>
          <w:color w:val="424242"/>
        </w:rPr>
        <w:t>Students</w:t>
      </w:r>
      <w:r>
        <w:rPr>
          <w:color w:val="424242"/>
          <w:spacing w:val="3"/>
        </w:rPr>
        <w:t xml:space="preserve"> </w:t>
      </w:r>
      <w:r>
        <w:rPr>
          <w:color w:val="424242"/>
        </w:rPr>
        <w:t>carrying</w:t>
      </w:r>
      <w:r>
        <w:rPr>
          <w:color w:val="424242"/>
          <w:spacing w:val="4"/>
        </w:rPr>
        <w:t xml:space="preserve"> </w:t>
      </w:r>
      <w:bookmarkEnd w:id="9"/>
      <w:r>
        <w:rPr>
          <w:color w:val="424242"/>
          <w:spacing w:val="-4"/>
        </w:rPr>
        <w:t>fails</w:t>
      </w:r>
    </w:p>
    <w:p w14:paraId="0DD454E7" w14:textId="77777777" w:rsidR="005E140F" w:rsidRDefault="00000000">
      <w:pPr>
        <w:pStyle w:val="BodyText"/>
        <w:spacing w:before="133" w:line="280" w:lineRule="auto"/>
        <w:ind w:left="863" w:right="1074"/>
      </w:pPr>
      <w:r>
        <w:t xml:space="preserve">Students carrying fails at the point of application will, as per normal process, be referred directly to the </w:t>
      </w:r>
      <w:proofErr w:type="spellStart"/>
      <w:r>
        <w:t>programme</w:t>
      </w:r>
      <w:proofErr w:type="spellEnd"/>
      <w:r>
        <w:t xml:space="preserve"> leader as part of the initial approval process.</w:t>
      </w:r>
    </w:p>
    <w:p w14:paraId="25C9E7FA" w14:textId="77777777" w:rsidR="005E140F" w:rsidRDefault="005E140F">
      <w:pPr>
        <w:pStyle w:val="BodyText"/>
        <w:spacing w:before="10"/>
        <w:rPr>
          <w:sz w:val="24"/>
        </w:rPr>
      </w:pPr>
    </w:p>
    <w:p w14:paraId="4DD5354A" w14:textId="77777777" w:rsidR="005E140F" w:rsidRDefault="00000000">
      <w:pPr>
        <w:pStyle w:val="BodyText"/>
        <w:spacing w:line="280" w:lineRule="auto"/>
        <w:ind w:left="863" w:right="1135"/>
      </w:pPr>
      <w:r>
        <w:t xml:space="preserve">If your academic failure occurs after you have been allocated a study abroad place, your </w:t>
      </w:r>
      <w:proofErr w:type="spellStart"/>
      <w:r>
        <w:t>Programme</w:t>
      </w:r>
      <w:proofErr w:type="spellEnd"/>
      <w:r>
        <w:t xml:space="preserve"> Leader will be required to approve whether you are permitted to go.</w:t>
      </w:r>
    </w:p>
    <w:p w14:paraId="076A3F10" w14:textId="77777777" w:rsidR="005E140F" w:rsidRDefault="005E140F">
      <w:pPr>
        <w:spacing w:line="280" w:lineRule="auto"/>
        <w:sectPr w:rsidR="005E140F">
          <w:pgSz w:w="11910" w:h="16840"/>
          <w:pgMar w:top="1040" w:right="460" w:bottom="1600" w:left="540" w:header="0" w:footer="1408" w:gutter="0"/>
          <w:cols w:space="720"/>
        </w:sectPr>
      </w:pPr>
    </w:p>
    <w:p w14:paraId="120200DD" w14:textId="77777777" w:rsidR="005E140F" w:rsidRDefault="005E140F">
      <w:pPr>
        <w:pStyle w:val="BodyText"/>
        <w:spacing w:before="6"/>
        <w:rPr>
          <w:sz w:val="8"/>
        </w:rPr>
      </w:pPr>
    </w:p>
    <w:p w14:paraId="64A3804E" w14:textId="77777777" w:rsidR="005E140F" w:rsidRDefault="005E140F">
      <w:pPr>
        <w:pStyle w:val="BodyText"/>
        <w:rPr>
          <w:rFonts w:ascii="Arial MT"/>
          <w:sz w:val="20"/>
        </w:rPr>
      </w:pPr>
    </w:p>
    <w:p w14:paraId="6F7E1590" w14:textId="77777777" w:rsidR="005E140F" w:rsidRDefault="005E140F">
      <w:pPr>
        <w:pStyle w:val="BodyText"/>
        <w:spacing w:before="9"/>
        <w:rPr>
          <w:rFonts w:ascii="Arial MT"/>
          <w:sz w:val="26"/>
        </w:rPr>
      </w:pPr>
    </w:p>
    <w:p w14:paraId="530E1E5C" w14:textId="37266BE7" w:rsidR="005E140F" w:rsidRDefault="00000000">
      <w:pPr>
        <w:spacing w:before="61" w:line="283" w:lineRule="auto"/>
        <w:ind w:left="863" w:right="1451"/>
        <w:rPr>
          <w:b/>
          <w:sz w:val="21"/>
        </w:rPr>
      </w:pPr>
      <w:r>
        <w:rPr>
          <w:b/>
          <w:sz w:val="21"/>
        </w:rPr>
        <w:t xml:space="preserve">It will be at the discretion of the </w:t>
      </w:r>
      <w:proofErr w:type="spellStart"/>
      <w:r>
        <w:rPr>
          <w:b/>
          <w:sz w:val="21"/>
        </w:rPr>
        <w:t>programme</w:t>
      </w:r>
      <w:proofErr w:type="spellEnd"/>
      <w:r>
        <w:rPr>
          <w:b/>
          <w:sz w:val="21"/>
        </w:rPr>
        <w:t xml:space="preserve"> leader whether students with failed modules can be considered for a study abroad period</w:t>
      </w:r>
      <w:r w:rsidR="00CA7812">
        <w:rPr>
          <w:b/>
          <w:sz w:val="21"/>
        </w:rPr>
        <w:t>, keeping in mind that ENU is obligated to its partners to only support applications from students in good academic standing.</w:t>
      </w:r>
    </w:p>
    <w:p w14:paraId="5FAFA2BC" w14:textId="77777777" w:rsidR="005E140F" w:rsidRDefault="005E140F">
      <w:pPr>
        <w:pStyle w:val="BodyText"/>
        <w:rPr>
          <w:b/>
          <w:sz w:val="25"/>
        </w:rPr>
      </w:pPr>
    </w:p>
    <w:p w14:paraId="7002F50A" w14:textId="77777777" w:rsidR="005E140F" w:rsidRDefault="00000000">
      <w:pPr>
        <w:pStyle w:val="Heading3"/>
      </w:pPr>
      <w:bookmarkStart w:id="10" w:name="_TOC_250029"/>
      <w:r>
        <w:rPr>
          <w:color w:val="424242"/>
        </w:rPr>
        <w:t>Exchange</w:t>
      </w:r>
      <w:r>
        <w:rPr>
          <w:color w:val="424242"/>
          <w:spacing w:val="4"/>
        </w:rPr>
        <w:t xml:space="preserve"> </w:t>
      </w:r>
      <w:bookmarkEnd w:id="10"/>
      <w:r>
        <w:rPr>
          <w:color w:val="424242"/>
          <w:spacing w:val="-2"/>
        </w:rPr>
        <w:t>periods</w:t>
      </w:r>
    </w:p>
    <w:p w14:paraId="3C7F6C4E" w14:textId="77777777" w:rsidR="005E140F" w:rsidRDefault="00000000">
      <w:pPr>
        <w:pStyle w:val="BodyText"/>
        <w:spacing w:before="135" w:line="278" w:lineRule="auto"/>
        <w:ind w:left="863" w:right="1451"/>
      </w:pPr>
      <w:r>
        <w:t xml:space="preserve">Timing and duration of an exchange is at the discretion of the PL, in line with </w:t>
      </w:r>
      <w:proofErr w:type="spellStart"/>
      <w:r>
        <w:t>programme</w:t>
      </w:r>
      <w:proofErr w:type="spellEnd"/>
      <w:r>
        <w:t xml:space="preserve"> structures. Students should seek guidance from their PL well in advance to start planning their exchange.</w:t>
      </w:r>
    </w:p>
    <w:p w14:paraId="7F6AC6EC" w14:textId="77777777" w:rsidR="005E140F" w:rsidRDefault="005E140F">
      <w:pPr>
        <w:pStyle w:val="BodyText"/>
        <w:spacing w:before="11"/>
        <w:rPr>
          <w:sz w:val="25"/>
        </w:rPr>
      </w:pPr>
    </w:p>
    <w:p w14:paraId="3E5E3CBA" w14:textId="77777777" w:rsidR="005E140F" w:rsidRDefault="00000000">
      <w:pPr>
        <w:pStyle w:val="Heading3"/>
      </w:pPr>
      <w:bookmarkStart w:id="11" w:name="_TOC_250028"/>
      <w:r>
        <w:rPr>
          <w:color w:val="424242"/>
        </w:rPr>
        <w:t>Direct</w:t>
      </w:r>
      <w:r>
        <w:rPr>
          <w:color w:val="424242"/>
          <w:spacing w:val="3"/>
        </w:rPr>
        <w:t xml:space="preserve"> </w:t>
      </w:r>
      <w:bookmarkEnd w:id="11"/>
      <w:r>
        <w:rPr>
          <w:color w:val="424242"/>
          <w:spacing w:val="-2"/>
        </w:rPr>
        <w:t>entrants</w:t>
      </w:r>
    </w:p>
    <w:p w14:paraId="404C821D" w14:textId="5E4253E3" w:rsidR="005E140F" w:rsidRDefault="00224A18">
      <w:pPr>
        <w:pStyle w:val="BodyText"/>
        <w:spacing w:before="133" w:line="280" w:lineRule="auto"/>
        <w:ind w:left="863" w:right="1157"/>
      </w:pPr>
      <w:r>
        <w:t>Direct entrants are required to apply in the clearing application round, which is normally open from late April to late May. Access to exchanges for direct entrants is at the discretion of the PL. Schools should contact GMT to discuss this well in advance of each intake. Approved placements for direct entrants will be conditional on satisfactory academic progress leading up to the exchange period, which will require proactive</w:t>
      </w:r>
      <w:r>
        <w:rPr>
          <w:spacing w:val="80"/>
        </w:rPr>
        <w:t xml:space="preserve"> </w:t>
      </w:r>
      <w:r>
        <w:t>review from the PL who will need to advise the student and the GMT should the student not meet the required academic standard prior to departure.</w:t>
      </w:r>
    </w:p>
    <w:p w14:paraId="77DE4A7F" w14:textId="106E7452" w:rsidR="00E37362" w:rsidRDefault="00E37362" w:rsidP="00E37362">
      <w:pPr>
        <w:pStyle w:val="BodyText"/>
        <w:spacing w:before="133" w:line="280" w:lineRule="auto"/>
        <w:ind w:left="863" w:right="1157"/>
      </w:pPr>
      <w:r>
        <w:t xml:space="preserve">Any student who is joining ENU as a direct entrant and wishes to apply for exchange must contact </w:t>
      </w:r>
      <w:proofErr w:type="gramStart"/>
      <w:r>
        <w:t>the  GMT</w:t>
      </w:r>
      <w:proofErr w:type="gramEnd"/>
      <w:r>
        <w:t xml:space="preserve"> team via email to obtain an electronic application form and application guidance.</w:t>
      </w:r>
    </w:p>
    <w:p w14:paraId="52286482" w14:textId="77777777" w:rsidR="005E140F" w:rsidRDefault="005E140F">
      <w:pPr>
        <w:pStyle w:val="BodyText"/>
        <w:spacing w:before="7"/>
        <w:rPr>
          <w:sz w:val="25"/>
        </w:rPr>
      </w:pPr>
    </w:p>
    <w:p w14:paraId="72A49E20" w14:textId="77777777" w:rsidR="005E140F" w:rsidRDefault="00000000">
      <w:pPr>
        <w:pStyle w:val="Heading3"/>
      </w:pPr>
      <w:bookmarkStart w:id="12" w:name="_TOC_250027"/>
      <w:r>
        <w:rPr>
          <w:color w:val="424242"/>
        </w:rPr>
        <w:t>Exchange</w:t>
      </w:r>
      <w:r>
        <w:rPr>
          <w:color w:val="424242"/>
          <w:spacing w:val="4"/>
        </w:rPr>
        <w:t xml:space="preserve"> </w:t>
      </w:r>
      <w:bookmarkEnd w:id="12"/>
      <w:r>
        <w:rPr>
          <w:color w:val="424242"/>
          <w:spacing w:val="-2"/>
        </w:rPr>
        <w:t>Clearing</w:t>
      </w:r>
    </w:p>
    <w:p w14:paraId="305315BB" w14:textId="77777777" w:rsidR="005E140F" w:rsidRDefault="00000000">
      <w:pPr>
        <w:pStyle w:val="BodyText"/>
        <w:spacing w:before="131" w:line="280" w:lineRule="auto"/>
        <w:ind w:left="863" w:right="1157"/>
      </w:pPr>
      <w:r>
        <w:t>The Exchange Clearing application round normally opens in April. This round is only for Trimester 2 exchanges</w:t>
      </w:r>
      <w:r>
        <w:rPr>
          <w:spacing w:val="25"/>
        </w:rPr>
        <w:t xml:space="preserve"> </w:t>
      </w:r>
      <w:r>
        <w:t>and exchange destination options are limited to the small number of places remaining</w:t>
      </w:r>
      <w:r>
        <w:rPr>
          <w:spacing w:val="80"/>
        </w:rPr>
        <w:t xml:space="preserve"> </w:t>
      </w:r>
      <w:r>
        <w:t>unfilled during the initial application round. Clearing places are only available to students who were not allocated a place in the main application round. Places available through Clearing are very limited and may not offer opportunities for students from all ENU disciplines.</w:t>
      </w:r>
    </w:p>
    <w:p w14:paraId="7E75742E" w14:textId="77777777" w:rsidR="005E140F" w:rsidRDefault="005E140F">
      <w:pPr>
        <w:pStyle w:val="BodyText"/>
        <w:rPr>
          <w:sz w:val="25"/>
        </w:rPr>
      </w:pPr>
    </w:p>
    <w:p w14:paraId="7AF71353" w14:textId="77777777" w:rsidR="005E140F" w:rsidRDefault="00000000">
      <w:pPr>
        <w:pStyle w:val="BodyText"/>
        <w:spacing w:line="280" w:lineRule="auto"/>
        <w:ind w:left="863" w:right="1074"/>
      </w:pPr>
      <w:r>
        <w:t xml:space="preserve">The only exception to this is students of Product Design. Product Design students planning to undertake an exchange in Trimester 2 of the following academic year may apply during the clearing period </w:t>
      </w:r>
      <w:proofErr w:type="gramStart"/>
      <w:r>
        <w:t>as long</w:t>
      </w:r>
      <w:r>
        <w:rPr>
          <w:spacing w:val="80"/>
        </w:rPr>
        <w:t xml:space="preserve"> </w:t>
      </w:r>
      <w:r>
        <w:t>as</w:t>
      </w:r>
      <w:proofErr w:type="gramEnd"/>
      <w:r>
        <w:t xml:space="preserve"> the intended HI is a Product Design-specific partner institution. Product Design students do not have</w:t>
      </w:r>
      <w:r>
        <w:rPr>
          <w:spacing w:val="80"/>
        </w:rPr>
        <w:t xml:space="preserve"> </w:t>
      </w:r>
      <w:r>
        <w:t>to apply during the main application round (October-December) unless they wish to study at a HI in competition with ENU students from other disciplines.</w:t>
      </w:r>
    </w:p>
    <w:p w14:paraId="73AD58DA" w14:textId="77777777" w:rsidR="005E140F" w:rsidRDefault="005E140F">
      <w:pPr>
        <w:pStyle w:val="BodyText"/>
        <w:rPr>
          <w:sz w:val="25"/>
        </w:rPr>
      </w:pPr>
    </w:p>
    <w:p w14:paraId="5C368D38" w14:textId="77777777" w:rsidR="005E140F" w:rsidRDefault="00000000">
      <w:pPr>
        <w:pStyle w:val="BodyText"/>
        <w:spacing w:line="278" w:lineRule="auto"/>
        <w:ind w:left="863" w:right="1074"/>
      </w:pPr>
      <w:r>
        <w:t>On rare occasions, new exchange partnerships may be created mid-year. Places on these exchanges are only available to Clearing applicants in that year.</w:t>
      </w:r>
    </w:p>
    <w:p w14:paraId="33D47815" w14:textId="77777777" w:rsidR="005E140F" w:rsidRDefault="005E140F">
      <w:pPr>
        <w:pStyle w:val="BodyText"/>
        <w:rPr>
          <w:sz w:val="25"/>
        </w:rPr>
      </w:pPr>
    </w:p>
    <w:p w14:paraId="790F9631" w14:textId="77777777" w:rsidR="005E140F" w:rsidRDefault="00000000">
      <w:pPr>
        <w:pStyle w:val="BodyText"/>
        <w:spacing w:line="280" w:lineRule="auto"/>
        <w:ind w:left="863" w:right="1451"/>
      </w:pPr>
      <w:r>
        <w:t xml:space="preserve">Students already allocated to a HI in the main exchange application round will not be permitted to cancel their current place in </w:t>
      </w:r>
      <w:proofErr w:type="spellStart"/>
      <w:r>
        <w:t>favour</w:t>
      </w:r>
      <w:proofErr w:type="spellEnd"/>
      <w:r>
        <w:t xml:space="preserve"> of re-applying for another in the Clearing round.</w:t>
      </w:r>
    </w:p>
    <w:p w14:paraId="6601CA76" w14:textId="77777777" w:rsidR="005E140F" w:rsidRDefault="005E140F">
      <w:pPr>
        <w:pStyle w:val="BodyText"/>
        <w:spacing w:before="10"/>
        <w:rPr>
          <w:sz w:val="24"/>
        </w:rPr>
      </w:pPr>
    </w:p>
    <w:p w14:paraId="6DC10A06" w14:textId="77777777" w:rsidR="005E140F" w:rsidRDefault="00000000">
      <w:pPr>
        <w:pStyle w:val="BodyText"/>
        <w:spacing w:line="280" w:lineRule="auto"/>
        <w:ind w:left="863" w:right="1074"/>
      </w:pPr>
      <w:r>
        <w:t>In rare circumstances, the Clearing round may raise instances of current students and direct entrants competing</w:t>
      </w:r>
      <w:r>
        <w:rPr>
          <w:spacing w:val="21"/>
        </w:rPr>
        <w:t xml:space="preserve"> </w:t>
      </w:r>
      <w:r>
        <w:t>for</w:t>
      </w:r>
      <w:r>
        <w:rPr>
          <w:spacing w:val="17"/>
        </w:rPr>
        <w:t xml:space="preserve"> </w:t>
      </w:r>
      <w:r>
        <w:t>limited places</w:t>
      </w:r>
      <w:r>
        <w:rPr>
          <w:spacing w:val="18"/>
        </w:rPr>
        <w:t xml:space="preserve"> </w:t>
      </w:r>
      <w:r>
        <w:t>at the</w:t>
      </w:r>
      <w:r>
        <w:rPr>
          <w:spacing w:val="17"/>
        </w:rPr>
        <w:t xml:space="preserve"> </w:t>
      </w:r>
      <w:r>
        <w:t>same</w:t>
      </w:r>
      <w:r>
        <w:rPr>
          <w:spacing w:val="19"/>
        </w:rPr>
        <w:t xml:space="preserve"> </w:t>
      </w:r>
      <w:r>
        <w:t>HIs, which would</w:t>
      </w:r>
      <w:r>
        <w:rPr>
          <w:spacing w:val="17"/>
        </w:rPr>
        <w:t xml:space="preserve"> </w:t>
      </w:r>
      <w:r>
        <w:t>limit</w:t>
      </w:r>
      <w:r>
        <w:rPr>
          <w:spacing w:val="17"/>
        </w:rPr>
        <w:t xml:space="preserve"> </w:t>
      </w:r>
      <w:r>
        <w:t>the</w:t>
      </w:r>
      <w:r>
        <w:rPr>
          <w:spacing w:val="19"/>
        </w:rPr>
        <w:t xml:space="preserve"> </w:t>
      </w:r>
      <w:r>
        <w:t>ability</w:t>
      </w:r>
      <w:r>
        <w:rPr>
          <w:spacing w:val="21"/>
        </w:rPr>
        <w:t xml:space="preserve"> </w:t>
      </w:r>
      <w:r>
        <w:t>for</w:t>
      </w:r>
      <w:r>
        <w:rPr>
          <w:spacing w:val="19"/>
        </w:rPr>
        <w:t xml:space="preserve"> </w:t>
      </w:r>
      <w:r>
        <w:t>allocation to</w:t>
      </w:r>
      <w:r>
        <w:rPr>
          <w:spacing w:val="19"/>
        </w:rPr>
        <w:t xml:space="preserve"> </w:t>
      </w:r>
      <w:r>
        <w:t>be undertaken equitably on a grade average basis. In these cases, more weight will be given to the personal statement section (‘Reason I want to study at…’), along with consideration as to the potential</w:t>
      </w:r>
    </w:p>
    <w:p w14:paraId="21AA7D5F" w14:textId="77777777" w:rsidR="005E140F" w:rsidRDefault="005E140F">
      <w:pPr>
        <w:spacing w:line="280" w:lineRule="auto"/>
        <w:sectPr w:rsidR="005E140F">
          <w:pgSz w:w="11910" w:h="16840"/>
          <w:pgMar w:top="1040" w:right="460" w:bottom="1600" w:left="540" w:header="0" w:footer="1408" w:gutter="0"/>
          <w:cols w:space="720"/>
        </w:sectPr>
      </w:pPr>
    </w:p>
    <w:p w14:paraId="24985C49" w14:textId="77777777" w:rsidR="005E140F" w:rsidRDefault="005E140F">
      <w:pPr>
        <w:pStyle w:val="BodyText"/>
        <w:spacing w:before="6"/>
        <w:rPr>
          <w:sz w:val="8"/>
        </w:rPr>
      </w:pPr>
    </w:p>
    <w:p w14:paraId="550267B5" w14:textId="77777777" w:rsidR="005E140F" w:rsidRDefault="005E140F">
      <w:pPr>
        <w:pStyle w:val="BodyText"/>
        <w:rPr>
          <w:rFonts w:ascii="Arial MT"/>
          <w:sz w:val="20"/>
        </w:rPr>
      </w:pPr>
    </w:p>
    <w:p w14:paraId="58516976" w14:textId="77777777" w:rsidR="005E140F" w:rsidRDefault="005E140F">
      <w:pPr>
        <w:pStyle w:val="BodyText"/>
        <w:spacing w:before="9"/>
        <w:rPr>
          <w:rFonts w:ascii="Arial MT"/>
          <w:sz w:val="26"/>
        </w:rPr>
      </w:pPr>
    </w:p>
    <w:p w14:paraId="4647C47C" w14:textId="77777777" w:rsidR="005E140F" w:rsidRDefault="00000000">
      <w:pPr>
        <w:pStyle w:val="BodyText"/>
        <w:spacing w:before="61" w:line="283" w:lineRule="auto"/>
        <w:ind w:left="863" w:right="1451"/>
      </w:pPr>
      <w:r>
        <w:t xml:space="preserve">opportunity for applicants to apply for an exchange the following year. In all cases such as this, the Global Mobility team will engage with the relevant </w:t>
      </w:r>
      <w:proofErr w:type="spellStart"/>
      <w:r>
        <w:t>Programme</w:t>
      </w:r>
      <w:proofErr w:type="spellEnd"/>
      <w:r>
        <w:t xml:space="preserve"> leaders to make a Panel decision.</w:t>
      </w:r>
    </w:p>
    <w:p w14:paraId="4A49A31C" w14:textId="77777777" w:rsidR="005E140F" w:rsidRDefault="005E140F">
      <w:pPr>
        <w:pStyle w:val="BodyText"/>
        <w:rPr>
          <w:sz w:val="20"/>
        </w:rPr>
      </w:pPr>
    </w:p>
    <w:p w14:paraId="06034FC1" w14:textId="77777777" w:rsidR="005E140F" w:rsidRDefault="00000000">
      <w:pPr>
        <w:pStyle w:val="Heading1"/>
        <w:numPr>
          <w:ilvl w:val="0"/>
          <w:numId w:val="4"/>
        </w:numPr>
        <w:tabs>
          <w:tab w:val="left" w:pos="1565"/>
        </w:tabs>
        <w:spacing w:before="139"/>
      </w:pPr>
      <w:bookmarkStart w:id="13" w:name="_TOC_250026"/>
      <w:r>
        <w:t>Before</w:t>
      </w:r>
      <w:r>
        <w:rPr>
          <w:spacing w:val="-17"/>
        </w:rPr>
        <w:t xml:space="preserve"> </w:t>
      </w:r>
      <w:r>
        <w:t>the</w:t>
      </w:r>
      <w:r>
        <w:rPr>
          <w:spacing w:val="-10"/>
        </w:rPr>
        <w:t xml:space="preserve"> </w:t>
      </w:r>
      <w:bookmarkEnd w:id="13"/>
      <w:r>
        <w:rPr>
          <w:spacing w:val="-2"/>
        </w:rPr>
        <w:t>exchange</w:t>
      </w:r>
    </w:p>
    <w:p w14:paraId="481745C7" w14:textId="77777777" w:rsidR="005E140F" w:rsidRDefault="005E140F">
      <w:pPr>
        <w:pStyle w:val="BodyText"/>
        <w:spacing w:before="8"/>
        <w:rPr>
          <w:b/>
          <w:sz w:val="34"/>
        </w:rPr>
      </w:pPr>
    </w:p>
    <w:p w14:paraId="3FDCB2A4" w14:textId="77777777" w:rsidR="005E140F" w:rsidRDefault="00000000">
      <w:pPr>
        <w:pStyle w:val="Heading2"/>
      </w:pPr>
      <w:bookmarkStart w:id="14" w:name="_TOC_250025"/>
      <w:r>
        <w:t>Nomination</w:t>
      </w:r>
      <w:r>
        <w:rPr>
          <w:spacing w:val="-8"/>
        </w:rPr>
        <w:t xml:space="preserve"> </w:t>
      </w:r>
      <w:r>
        <w:t>and</w:t>
      </w:r>
      <w:r>
        <w:rPr>
          <w:spacing w:val="-2"/>
        </w:rPr>
        <w:t xml:space="preserve"> </w:t>
      </w:r>
      <w:r>
        <w:t>application to</w:t>
      </w:r>
      <w:r>
        <w:rPr>
          <w:spacing w:val="1"/>
        </w:rPr>
        <w:t xml:space="preserve"> </w:t>
      </w:r>
      <w:r>
        <w:t>host</w:t>
      </w:r>
      <w:r>
        <w:rPr>
          <w:spacing w:val="1"/>
        </w:rPr>
        <w:t xml:space="preserve"> </w:t>
      </w:r>
      <w:bookmarkEnd w:id="14"/>
      <w:r>
        <w:rPr>
          <w:spacing w:val="-2"/>
        </w:rPr>
        <w:t>university</w:t>
      </w:r>
    </w:p>
    <w:p w14:paraId="10BE2522" w14:textId="77777777" w:rsidR="005E140F" w:rsidRDefault="00000000">
      <w:pPr>
        <w:pStyle w:val="BodyText"/>
        <w:spacing w:before="175" w:line="280" w:lineRule="auto"/>
        <w:ind w:left="863" w:right="1013"/>
      </w:pPr>
      <w:r>
        <w:t>After</w:t>
      </w:r>
      <w:r>
        <w:rPr>
          <w:spacing w:val="16"/>
        </w:rPr>
        <w:t xml:space="preserve"> </w:t>
      </w:r>
      <w:r>
        <w:t>a</w:t>
      </w:r>
      <w:r>
        <w:rPr>
          <w:spacing w:val="19"/>
        </w:rPr>
        <w:t xml:space="preserve"> </w:t>
      </w:r>
      <w:r>
        <w:t>student has been</w:t>
      </w:r>
      <w:r>
        <w:rPr>
          <w:spacing w:val="16"/>
        </w:rPr>
        <w:t xml:space="preserve"> </w:t>
      </w:r>
      <w:r>
        <w:t>approved</w:t>
      </w:r>
      <w:r>
        <w:rPr>
          <w:spacing w:val="19"/>
        </w:rPr>
        <w:t xml:space="preserve"> </w:t>
      </w:r>
      <w:r>
        <w:t>by</w:t>
      </w:r>
      <w:r>
        <w:rPr>
          <w:spacing w:val="20"/>
        </w:rPr>
        <w:t xml:space="preserve"> </w:t>
      </w:r>
      <w:r>
        <w:t>their PL</w:t>
      </w:r>
      <w:r>
        <w:rPr>
          <w:spacing w:val="21"/>
        </w:rPr>
        <w:t xml:space="preserve"> </w:t>
      </w:r>
      <w:r>
        <w:t>for</w:t>
      </w:r>
      <w:r>
        <w:rPr>
          <w:spacing w:val="16"/>
        </w:rPr>
        <w:t xml:space="preserve"> </w:t>
      </w:r>
      <w:r>
        <w:t>exchange,</w:t>
      </w:r>
      <w:r>
        <w:rPr>
          <w:spacing w:val="14"/>
        </w:rPr>
        <w:t xml:space="preserve"> </w:t>
      </w:r>
      <w:r>
        <w:t>the</w:t>
      </w:r>
      <w:r>
        <w:rPr>
          <w:spacing w:val="19"/>
        </w:rPr>
        <w:t xml:space="preserve"> </w:t>
      </w:r>
      <w:r>
        <w:t>GMT will</w:t>
      </w:r>
      <w:r>
        <w:rPr>
          <w:spacing w:val="19"/>
        </w:rPr>
        <w:t xml:space="preserve"> </w:t>
      </w:r>
      <w:r>
        <w:t>review</w:t>
      </w:r>
      <w:r>
        <w:rPr>
          <w:spacing w:val="16"/>
        </w:rPr>
        <w:t xml:space="preserve"> </w:t>
      </w:r>
      <w:r>
        <w:t>and</w:t>
      </w:r>
      <w:r>
        <w:rPr>
          <w:spacing w:val="19"/>
        </w:rPr>
        <w:t xml:space="preserve"> </w:t>
      </w:r>
      <w:r>
        <w:t>allocate</w:t>
      </w:r>
      <w:r>
        <w:rPr>
          <w:spacing w:val="16"/>
        </w:rPr>
        <w:t xml:space="preserve"> </w:t>
      </w:r>
      <w:r>
        <w:t>students to places at HIs. Students will be notified of their allocated institution via email. Following allocation, the GMT will nominate students to the</w:t>
      </w:r>
      <w:r>
        <w:rPr>
          <w:spacing w:val="19"/>
        </w:rPr>
        <w:t xml:space="preserve"> </w:t>
      </w:r>
      <w:r>
        <w:t>HI. ‘Nominate’ means a</w:t>
      </w:r>
      <w:r>
        <w:rPr>
          <w:spacing w:val="22"/>
        </w:rPr>
        <w:t xml:space="preserve"> </w:t>
      </w:r>
      <w:r>
        <w:t>formal notification to the</w:t>
      </w:r>
      <w:r>
        <w:rPr>
          <w:spacing w:val="19"/>
        </w:rPr>
        <w:t xml:space="preserve"> </w:t>
      </w:r>
      <w:r>
        <w:t>HI that</w:t>
      </w:r>
      <w:r>
        <w:rPr>
          <w:spacing w:val="20"/>
        </w:rPr>
        <w:t xml:space="preserve"> </w:t>
      </w:r>
      <w:r>
        <w:t>a</w:t>
      </w:r>
      <w:r>
        <w:rPr>
          <w:spacing w:val="19"/>
        </w:rPr>
        <w:t xml:space="preserve"> </w:t>
      </w:r>
      <w:r>
        <w:t xml:space="preserve">student has been selected by ENU to apply to the HI under the exchange </w:t>
      </w:r>
      <w:proofErr w:type="spellStart"/>
      <w:r>
        <w:t>programme</w:t>
      </w:r>
      <w:proofErr w:type="spellEnd"/>
      <w:r>
        <w:t>.</w:t>
      </w:r>
    </w:p>
    <w:p w14:paraId="69A33DE0" w14:textId="77777777" w:rsidR="005E140F" w:rsidRDefault="00000000">
      <w:pPr>
        <w:pStyle w:val="BodyText"/>
        <w:spacing w:before="5" w:line="280" w:lineRule="auto"/>
        <w:ind w:left="863" w:right="1451"/>
      </w:pPr>
      <w:r>
        <w:t xml:space="preserve">It is the students’ responsibility to follow the HI’s direct application instructions and adhere to their </w:t>
      </w:r>
      <w:r>
        <w:rPr>
          <w:spacing w:val="-2"/>
        </w:rPr>
        <w:t>deadlines.</w:t>
      </w:r>
    </w:p>
    <w:p w14:paraId="3689A0E1" w14:textId="77777777" w:rsidR="005E140F" w:rsidRDefault="005E140F">
      <w:pPr>
        <w:pStyle w:val="BodyText"/>
        <w:spacing w:before="7"/>
        <w:rPr>
          <w:sz w:val="28"/>
        </w:rPr>
      </w:pPr>
    </w:p>
    <w:p w14:paraId="58ED9DCC" w14:textId="77777777" w:rsidR="005E140F" w:rsidRDefault="00000000">
      <w:pPr>
        <w:pStyle w:val="Heading2"/>
      </w:pPr>
      <w:bookmarkStart w:id="15" w:name="_TOC_250024"/>
      <w:r>
        <w:t>Preparing</w:t>
      </w:r>
      <w:r>
        <w:rPr>
          <w:spacing w:val="-3"/>
        </w:rPr>
        <w:t xml:space="preserve"> </w:t>
      </w:r>
      <w:r>
        <w:t>for</w:t>
      </w:r>
      <w:r>
        <w:rPr>
          <w:spacing w:val="-1"/>
        </w:rPr>
        <w:t xml:space="preserve"> </w:t>
      </w:r>
      <w:r>
        <w:t>your</w:t>
      </w:r>
      <w:r>
        <w:rPr>
          <w:spacing w:val="-1"/>
        </w:rPr>
        <w:t xml:space="preserve"> </w:t>
      </w:r>
      <w:bookmarkEnd w:id="15"/>
      <w:r>
        <w:rPr>
          <w:spacing w:val="-2"/>
        </w:rPr>
        <w:t>exchange</w:t>
      </w:r>
    </w:p>
    <w:p w14:paraId="2ECB6E95" w14:textId="77777777" w:rsidR="005E140F" w:rsidRDefault="00000000">
      <w:pPr>
        <w:pStyle w:val="BodyText"/>
        <w:spacing w:before="178" w:line="280" w:lineRule="auto"/>
        <w:ind w:left="863" w:right="1074"/>
      </w:pPr>
      <w:r>
        <w:t xml:space="preserve">It is essential that students are adequately prepared for their exchange period. After allocations are completed, students will be given access to the Student Exchange </w:t>
      </w:r>
      <w:proofErr w:type="gramStart"/>
      <w:r>
        <w:t>e:Vision</w:t>
      </w:r>
      <w:proofErr w:type="gramEnd"/>
      <w:r>
        <w:t xml:space="preserve"> system and the Study Abroad Moodle page community site. Attendance at ‘Get Ready to Go’ pre-departure sessions run by the GMT is compulsory. Students will receive invitations to these sessions.</w:t>
      </w:r>
    </w:p>
    <w:p w14:paraId="4D5E0AF1" w14:textId="77777777" w:rsidR="005E140F" w:rsidRDefault="005E140F">
      <w:pPr>
        <w:pStyle w:val="BodyText"/>
        <w:spacing w:before="9"/>
        <w:rPr>
          <w:sz w:val="24"/>
        </w:rPr>
      </w:pPr>
    </w:p>
    <w:p w14:paraId="2BD69DF6" w14:textId="77777777" w:rsidR="005E140F" w:rsidRDefault="00000000">
      <w:pPr>
        <w:pStyle w:val="BodyText"/>
        <w:spacing w:before="1" w:line="283" w:lineRule="auto"/>
        <w:ind w:left="863" w:right="1074"/>
      </w:pPr>
      <w:r>
        <w:t>The Study Abroad Moodle site provides a high level of detail and further support for students to refer to before and during their mobility.</w:t>
      </w:r>
    </w:p>
    <w:p w14:paraId="6376BB1C" w14:textId="77777777" w:rsidR="005E140F" w:rsidRDefault="005E140F">
      <w:pPr>
        <w:pStyle w:val="BodyText"/>
        <w:spacing w:before="4"/>
        <w:rPr>
          <w:sz w:val="24"/>
        </w:rPr>
      </w:pPr>
    </w:p>
    <w:p w14:paraId="5CF50BB8" w14:textId="77777777" w:rsidR="005E140F" w:rsidRDefault="00000000">
      <w:pPr>
        <w:pStyle w:val="BodyText"/>
        <w:spacing w:line="283" w:lineRule="auto"/>
        <w:ind w:left="863" w:right="1074"/>
      </w:pPr>
      <w:r>
        <w:t xml:space="preserve">The </w:t>
      </w:r>
      <w:proofErr w:type="gramStart"/>
      <w:r>
        <w:t>e:Vision</w:t>
      </w:r>
      <w:proofErr w:type="gramEnd"/>
      <w:r>
        <w:t xml:space="preserve"> system will support students in working through many of the operational requirements of the exchange process.</w:t>
      </w:r>
    </w:p>
    <w:p w14:paraId="3FCF76EC" w14:textId="77777777" w:rsidR="005E140F" w:rsidRDefault="005E140F">
      <w:pPr>
        <w:pStyle w:val="BodyText"/>
        <w:spacing w:before="4"/>
        <w:rPr>
          <w:sz w:val="24"/>
        </w:rPr>
      </w:pPr>
    </w:p>
    <w:p w14:paraId="151216DA" w14:textId="77777777" w:rsidR="005E140F" w:rsidRDefault="00000000">
      <w:pPr>
        <w:pStyle w:val="BodyText"/>
        <w:spacing w:before="1" w:line="280" w:lineRule="auto"/>
        <w:ind w:left="863" w:right="1157"/>
      </w:pPr>
      <w:r>
        <w:t>Students must also access their ENU student email account regularly to ensure that they are aware of key information, and action any requirements before, during and after their exchange.</w:t>
      </w:r>
    </w:p>
    <w:p w14:paraId="720357DF" w14:textId="77777777" w:rsidR="005E140F" w:rsidRDefault="005E140F">
      <w:pPr>
        <w:pStyle w:val="BodyText"/>
        <w:spacing w:before="7"/>
        <w:rPr>
          <w:sz w:val="28"/>
        </w:rPr>
      </w:pPr>
    </w:p>
    <w:p w14:paraId="054F0C70" w14:textId="77777777" w:rsidR="005E140F" w:rsidRDefault="00000000">
      <w:pPr>
        <w:pStyle w:val="Heading2"/>
      </w:pPr>
      <w:bookmarkStart w:id="16" w:name="_TOC_250023"/>
      <w:r>
        <w:t>Exchange</w:t>
      </w:r>
      <w:r>
        <w:rPr>
          <w:spacing w:val="-3"/>
        </w:rPr>
        <w:t xml:space="preserve"> </w:t>
      </w:r>
      <w:bookmarkEnd w:id="16"/>
      <w:r>
        <w:rPr>
          <w:spacing w:val="-2"/>
        </w:rPr>
        <w:t>documentation</w:t>
      </w:r>
    </w:p>
    <w:p w14:paraId="449CD311" w14:textId="77777777" w:rsidR="005E140F" w:rsidRDefault="00000000">
      <w:pPr>
        <w:pStyle w:val="BodyText"/>
        <w:spacing w:before="175" w:line="283" w:lineRule="auto"/>
        <w:ind w:left="863" w:right="1074"/>
      </w:pPr>
      <w:r>
        <w:t>Students going on exchange (regardless of destination) are required to complete several documents to ensure adequate academic recognition and experiential support.</w:t>
      </w:r>
    </w:p>
    <w:p w14:paraId="4F5A1DB9" w14:textId="77777777" w:rsidR="005E140F" w:rsidRDefault="005E140F">
      <w:pPr>
        <w:pStyle w:val="BodyText"/>
        <w:spacing w:before="7"/>
        <w:rPr>
          <w:sz w:val="24"/>
        </w:rPr>
      </w:pPr>
    </w:p>
    <w:p w14:paraId="4F332749" w14:textId="77777777" w:rsidR="005E140F" w:rsidRDefault="00000000">
      <w:pPr>
        <w:pStyle w:val="ListParagraph"/>
        <w:numPr>
          <w:ilvl w:val="0"/>
          <w:numId w:val="1"/>
        </w:numPr>
        <w:tabs>
          <w:tab w:val="left" w:pos="1564"/>
          <w:tab w:val="left" w:pos="1565"/>
        </w:tabs>
        <w:spacing w:before="1"/>
        <w:rPr>
          <w:sz w:val="21"/>
        </w:rPr>
      </w:pPr>
      <w:r>
        <w:rPr>
          <w:sz w:val="21"/>
        </w:rPr>
        <w:t>Learning</w:t>
      </w:r>
      <w:r>
        <w:rPr>
          <w:spacing w:val="8"/>
          <w:sz w:val="21"/>
        </w:rPr>
        <w:t xml:space="preserve"> </w:t>
      </w:r>
      <w:r>
        <w:rPr>
          <w:sz w:val="21"/>
        </w:rPr>
        <w:t>Agreement</w:t>
      </w:r>
      <w:r>
        <w:rPr>
          <w:spacing w:val="11"/>
          <w:sz w:val="21"/>
        </w:rPr>
        <w:t xml:space="preserve"> </w:t>
      </w:r>
      <w:r>
        <w:rPr>
          <w:sz w:val="21"/>
        </w:rPr>
        <w:t>(Before</w:t>
      </w:r>
      <w:r>
        <w:rPr>
          <w:spacing w:val="10"/>
          <w:sz w:val="21"/>
        </w:rPr>
        <w:t xml:space="preserve"> </w:t>
      </w:r>
      <w:r>
        <w:rPr>
          <w:sz w:val="21"/>
        </w:rPr>
        <w:t>the</w:t>
      </w:r>
      <w:r>
        <w:rPr>
          <w:spacing w:val="6"/>
          <w:sz w:val="21"/>
        </w:rPr>
        <w:t xml:space="preserve"> </w:t>
      </w:r>
      <w:r>
        <w:rPr>
          <w:spacing w:val="-2"/>
          <w:sz w:val="21"/>
        </w:rPr>
        <w:t>Mobility)</w:t>
      </w:r>
    </w:p>
    <w:p w14:paraId="7876F6A1" w14:textId="77777777" w:rsidR="005E140F" w:rsidRDefault="00000000">
      <w:pPr>
        <w:pStyle w:val="ListParagraph"/>
        <w:numPr>
          <w:ilvl w:val="0"/>
          <w:numId w:val="1"/>
        </w:numPr>
        <w:tabs>
          <w:tab w:val="left" w:pos="1564"/>
          <w:tab w:val="left" w:pos="1565"/>
        </w:tabs>
        <w:spacing w:before="42"/>
        <w:rPr>
          <w:sz w:val="21"/>
        </w:rPr>
      </w:pPr>
      <w:r>
        <w:rPr>
          <w:sz w:val="21"/>
        </w:rPr>
        <w:t>ENU</w:t>
      </w:r>
      <w:r>
        <w:rPr>
          <w:spacing w:val="5"/>
          <w:sz w:val="21"/>
        </w:rPr>
        <w:t xml:space="preserve"> </w:t>
      </w:r>
      <w:r>
        <w:rPr>
          <w:sz w:val="21"/>
        </w:rPr>
        <w:t>Travel</w:t>
      </w:r>
      <w:r>
        <w:rPr>
          <w:spacing w:val="4"/>
          <w:sz w:val="21"/>
        </w:rPr>
        <w:t xml:space="preserve"> </w:t>
      </w:r>
      <w:r>
        <w:rPr>
          <w:sz w:val="21"/>
        </w:rPr>
        <w:t>Risk</w:t>
      </w:r>
      <w:r>
        <w:rPr>
          <w:spacing w:val="10"/>
          <w:sz w:val="21"/>
        </w:rPr>
        <w:t xml:space="preserve"> </w:t>
      </w:r>
      <w:r>
        <w:rPr>
          <w:spacing w:val="-2"/>
          <w:sz w:val="21"/>
        </w:rPr>
        <w:t>Assessment</w:t>
      </w:r>
    </w:p>
    <w:p w14:paraId="06E079E6" w14:textId="77777777" w:rsidR="005E140F" w:rsidRDefault="005E140F">
      <w:pPr>
        <w:rPr>
          <w:sz w:val="21"/>
        </w:rPr>
        <w:sectPr w:rsidR="005E140F">
          <w:pgSz w:w="11910" w:h="16840"/>
          <w:pgMar w:top="1040" w:right="460" w:bottom="1600" w:left="540" w:header="0" w:footer="1408" w:gutter="0"/>
          <w:cols w:space="720"/>
        </w:sectPr>
      </w:pPr>
    </w:p>
    <w:p w14:paraId="6CB12652" w14:textId="77777777" w:rsidR="005E140F" w:rsidRDefault="005E140F">
      <w:pPr>
        <w:pStyle w:val="BodyText"/>
        <w:spacing w:before="6"/>
        <w:rPr>
          <w:sz w:val="8"/>
        </w:rPr>
      </w:pPr>
    </w:p>
    <w:p w14:paraId="2E9F5A1F" w14:textId="77777777" w:rsidR="005E140F" w:rsidRDefault="005E140F">
      <w:pPr>
        <w:pStyle w:val="BodyText"/>
        <w:rPr>
          <w:rFonts w:ascii="Arial MT"/>
          <w:sz w:val="20"/>
        </w:rPr>
      </w:pPr>
    </w:p>
    <w:p w14:paraId="32512C88" w14:textId="77777777" w:rsidR="005E140F" w:rsidRDefault="005E140F">
      <w:pPr>
        <w:pStyle w:val="BodyText"/>
        <w:rPr>
          <w:rFonts w:ascii="Arial MT"/>
          <w:sz w:val="23"/>
        </w:rPr>
      </w:pPr>
    </w:p>
    <w:p w14:paraId="6F262C01" w14:textId="77777777" w:rsidR="005E140F" w:rsidRDefault="00000000">
      <w:pPr>
        <w:pStyle w:val="ListParagraph"/>
        <w:numPr>
          <w:ilvl w:val="0"/>
          <w:numId w:val="1"/>
        </w:numPr>
        <w:tabs>
          <w:tab w:val="left" w:pos="1564"/>
          <w:tab w:val="left" w:pos="1565"/>
        </w:tabs>
        <w:spacing w:before="105"/>
        <w:rPr>
          <w:sz w:val="21"/>
        </w:rPr>
      </w:pPr>
      <w:r>
        <w:rPr>
          <w:sz w:val="21"/>
        </w:rPr>
        <w:t>Certificate</w:t>
      </w:r>
      <w:r>
        <w:rPr>
          <w:spacing w:val="6"/>
          <w:sz w:val="21"/>
        </w:rPr>
        <w:t xml:space="preserve"> </w:t>
      </w:r>
      <w:r>
        <w:rPr>
          <w:sz w:val="21"/>
        </w:rPr>
        <w:t>of</w:t>
      </w:r>
      <w:r>
        <w:rPr>
          <w:spacing w:val="7"/>
          <w:sz w:val="21"/>
        </w:rPr>
        <w:t xml:space="preserve"> </w:t>
      </w:r>
      <w:r>
        <w:rPr>
          <w:spacing w:val="-2"/>
          <w:sz w:val="21"/>
        </w:rPr>
        <w:t>Arrival</w:t>
      </w:r>
    </w:p>
    <w:p w14:paraId="267310F6" w14:textId="77777777" w:rsidR="005E140F" w:rsidRDefault="00000000">
      <w:pPr>
        <w:pStyle w:val="ListParagraph"/>
        <w:numPr>
          <w:ilvl w:val="0"/>
          <w:numId w:val="1"/>
        </w:numPr>
        <w:tabs>
          <w:tab w:val="left" w:pos="1564"/>
          <w:tab w:val="left" w:pos="1565"/>
        </w:tabs>
        <w:spacing w:before="47"/>
        <w:rPr>
          <w:sz w:val="21"/>
        </w:rPr>
      </w:pPr>
      <w:r>
        <w:rPr>
          <w:sz w:val="21"/>
        </w:rPr>
        <w:t>Learning</w:t>
      </w:r>
      <w:r>
        <w:rPr>
          <w:spacing w:val="5"/>
          <w:sz w:val="21"/>
        </w:rPr>
        <w:t xml:space="preserve"> </w:t>
      </w:r>
      <w:r>
        <w:rPr>
          <w:sz w:val="21"/>
        </w:rPr>
        <w:t>Agreement</w:t>
      </w:r>
      <w:r>
        <w:rPr>
          <w:spacing w:val="10"/>
          <w:sz w:val="21"/>
        </w:rPr>
        <w:t xml:space="preserve"> </w:t>
      </w:r>
      <w:r>
        <w:rPr>
          <w:sz w:val="21"/>
        </w:rPr>
        <w:t>(During</w:t>
      </w:r>
      <w:r>
        <w:rPr>
          <w:spacing w:val="6"/>
          <w:sz w:val="21"/>
        </w:rPr>
        <w:t xml:space="preserve"> </w:t>
      </w:r>
      <w:r>
        <w:rPr>
          <w:sz w:val="21"/>
        </w:rPr>
        <w:t>the</w:t>
      </w:r>
      <w:r>
        <w:rPr>
          <w:spacing w:val="6"/>
          <w:sz w:val="21"/>
        </w:rPr>
        <w:t xml:space="preserve"> </w:t>
      </w:r>
      <w:r>
        <w:rPr>
          <w:sz w:val="21"/>
        </w:rPr>
        <w:t>Mobility)</w:t>
      </w:r>
      <w:r>
        <w:rPr>
          <w:spacing w:val="8"/>
          <w:sz w:val="21"/>
        </w:rPr>
        <w:t xml:space="preserve"> </w:t>
      </w:r>
      <w:r>
        <w:rPr>
          <w:sz w:val="21"/>
        </w:rPr>
        <w:t>–</w:t>
      </w:r>
      <w:r>
        <w:rPr>
          <w:spacing w:val="7"/>
          <w:sz w:val="21"/>
        </w:rPr>
        <w:t xml:space="preserve"> </w:t>
      </w:r>
      <w:r>
        <w:rPr>
          <w:sz w:val="21"/>
        </w:rPr>
        <w:t>if</w:t>
      </w:r>
      <w:r>
        <w:rPr>
          <w:spacing w:val="7"/>
          <w:sz w:val="21"/>
        </w:rPr>
        <w:t xml:space="preserve"> </w:t>
      </w:r>
      <w:r>
        <w:rPr>
          <w:spacing w:val="-2"/>
          <w:sz w:val="21"/>
        </w:rPr>
        <w:t>relevant</w:t>
      </w:r>
    </w:p>
    <w:p w14:paraId="275E64BE" w14:textId="77777777" w:rsidR="005E140F" w:rsidRDefault="00000000">
      <w:pPr>
        <w:pStyle w:val="ListParagraph"/>
        <w:numPr>
          <w:ilvl w:val="0"/>
          <w:numId w:val="1"/>
        </w:numPr>
        <w:tabs>
          <w:tab w:val="left" w:pos="1564"/>
          <w:tab w:val="left" w:pos="1565"/>
        </w:tabs>
        <w:spacing w:before="42"/>
        <w:rPr>
          <w:sz w:val="21"/>
        </w:rPr>
      </w:pPr>
      <w:r>
        <w:rPr>
          <w:sz w:val="21"/>
        </w:rPr>
        <w:t>Certificate</w:t>
      </w:r>
      <w:r>
        <w:rPr>
          <w:spacing w:val="8"/>
          <w:sz w:val="21"/>
        </w:rPr>
        <w:t xml:space="preserve"> </w:t>
      </w:r>
      <w:r>
        <w:rPr>
          <w:sz w:val="21"/>
        </w:rPr>
        <w:t>of</w:t>
      </w:r>
      <w:r>
        <w:rPr>
          <w:spacing w:val="5"/>
          <w:sz w:val="21"/>
        </w:rPr>
        <w:t xml:space="preserve"> </w:t>
      </w:r>
      <w:r>
        <w:rPr>
          <w:sz w:val="21"/>
        </w:rPr>
        <w:t>Departure</w:t>
      </w:r>
      <w:r>
        <w:rPr>
          <w:spacing w:val="13"/>
          <w:sz w:val="21"/>
        </w:rPr>
        <w:t xml:space="preserve"> </w:t>
      </w:r>
      <w:r>
        <w:rPr>
          <w:spacing w:val="-4"/>
          <w:sz w:val="21"/>
        </w:rPr>
        <w:t>form</w:t>
      </w:r>
    </w:p>
    <w:p w14:paraId="6B4B896A" w14:textId="77777777" w:rsidR="005E140F" w:rsidRDefault="00000000">
      <w:pPr>
        <w:pStyle w:val="ListParagraph"/>
        <w:numPr>
          <w:ilvl w:val="0"/>
          <w:numId w:val="1"/>
        </w:numPr>
        <w:tabs>
          <w:tab w:val="left" w:pos="1564"/>
          <w:tab w:val="left" w:pos="1565"/>
        </w:tabs>
        <w:spacing w:before="47"/>
        <w:rPr>
          <w:sz w:val="21"/>
        </w:rPr>
      </w:pPr>
      <w:r>
        <w:rPr>
          <w:sz w:val="21"/>
        </w:rPr>
        <w:t>ENU</w:t>
      </w:r>
      <w:r>
        <w:rPr>
          <w:spacing w:val="6"/>
          <w:sz w:val="21"/>
        </w:rPr>
        <w:t xml:space="preserve"> </w:t>
      </w:r>
      <w:r>
        <w:rPr>
          <w:sz w:val="21"/>
        </w:rPr>
        <w:t>study</w:t>
      </w:r>
      <w:r>
        <w:rPr>
          <w:spacing w:val="9"/>
          <w:sz w:val="21"/>
        </w:rPr>
        <w:t xml:space="preserve"> </w:t>
      </w:r>
      <w:r>
        <w:rPr>
          <w:sz w:val="21"/>
        </w:rPr>
        <w:t>abroad</w:t>
      </w:r>
      <w:r>
        <w:rPr>
          <w:spacing w:val="6"/>
          <w:sz w:val="21"/>
        </w:rPr>
        <w:t xml:space="preserve"> </w:t>
      </w:r>
      <w:r>
        <w:rPr>
          <w:sz w:val="21"/>
        </w:rPr>
        <w:t>feedback</w:t>
      </w:r>
      <w:r>
        <w:rPr>
          <w:spacing w:val="9"/>
          <w:sz w:val="21"/>
        </w:rPr>
        <w:t xml:space="preserve"> </w:t>
      </w:r>
      <w:r>
        <w:rPr>
          <w:spacing w:val="-2"/>
          <w:sz w:val="21"/>
        </w:rPr>
        <w:t>questionnaire(s)</w:t>
      </w:r>
    </w:p>
    <w:p w14:paraId="4BE390C8" w14:textId="77777777" w:rsidR="005E140F" w:rsidRDefault="005E140F">
      <w:pPr>
        <w:pStyle w:val="BodyText"/>
        <w:spacing w:before="2"/>
        <w:rPr>
          <w:sz w:val="28"/>
        </w:rPr>
      </w:pPr>
    </w:p>
    <w:p w14:paraId="74362A6F" w14:textId="77777777" w:rsidR="005E140F" w:rsidRDefault="00000000">
      <w:pPr>
        <w:pStyle w:val="BodyText"/>
        <w:spacing w:line="280" w:lineRule="auto"/>
        <w:ind w:left="863" w:right="1451"/>
      </w:pPr>
      <w:r>
        <w:t>The GMT will issue all documentation, or links to these, together with full guidance notes, at the appropriate points before, during and after the exchange.</w:t>
      </w:r>
    </w:p>
    <w:p w14:paraId="5D06E619" w14:textId="77777777" w:rsidR="005E140F" w:rsidRDefault="005E140F">
      <w:pPr>
        <w:pStyle w:val="BodyText"/>
        <w:spacing w:before="7"/>
        <w:rPr>
          <w:sz w:val="24"/>
        </w:rPr>
      </w:pPr>
    </w:p>
    <w:p w14:paraId="6CB63DFF" w14:textId="77777777" w:rsidR="005E140F" w:rsidRDefault="00000000">
      <w:pPr>
        <w:pStyle w:val="BodyText"/>
        <w:spacing w:line="283" w:lineRule="auto"/>
        <w:ind w:left="863" w:right="1074"/>
      </w:pPr>
      <w:r>
        <w:t>The above list is not comprehensive – students may subsequently be required to complete additional tasks and documents, especially related to funding.</w:t>
      </w:r>
    </w:p>
    <w:p w14:paraId="26755593" w14:textId="77777777" w:rsidR="005E140F" w:rsidRDefault="005E140F">
      <w:pPr>
        <w:pStyle w:val="BodyText"/>
        <w:spacing w:before="4"/>
        <w:rPr>
          <w:sz w:val="24"/>
        </w:rPr>
      </w:pPr>
    </w:p>
    <w:p w14:paraId="7E60BEA4" w14:textId="77777777" w:rsidR="005E140F" w:rsidRDefault="00000000">
      <w:pPr>
        <w:pStyle w:val="BodyText"/>
        <w:spacing w:before="1" w:line="283" w:lineRule="auto"/>
        <w:ind w:left="863" w:right="1451"/>
      </w:pPr>
      <w:r>
        <w:t>Students going to European destinations also need to apply for the Study GHIC card (see Insurance section for information).</w:t>
      </w:r>
    </w:p>
    <w:p w14:paraId="607E9C67" w14:textId="77777777" w:rsidR="005E140F" w:rsidRDefault="005E140F">
      <w:pPr>
        <w:pStyle w:val="BodyText"/>
        <w:spacing w:before="2"/>
        <w:rPr>
          <w:sz w:val="28"/>
        </w:rPr>
      </w:pPr>
    </w:p>
    <w:p w14:paraId="7442FAF3" w14:textId="77777777" w:rsidR="005E140F" w:rsidRDefault="00000000">
      <w:pPr>
        <w:pStyle w:val="Heading2"/>
      </w:pPr>
      <w:bookmarkStart w:id="17" w:name="_TOC_250022"/>
      <w:bookmarkEnd w:id="17"/>
      <w:r>
        <w:rPr>
          <w:spacing w:val="-2"/>
        </w:rPr>
        <w:t>Accommodation</w:t>
      </w:r>
    </w:p>
    <w:p w14:paraId="48A22CD2" w14:textId="77777777" w:rsidR="005E140F" w:rsidRDefault="00000000">
      <w:pPr>
        <w:pStyle w:val="BodyText"/>
        <w:spacing w:before="180" w:line="280" w:lineRule="auto"/>
        <w:ind w:left="863" w:right="1074"/>
      </w:pPr>
      <w:proofErr w:type="gramStart"/>
      <w:r>
        <w:t>With the exception of</w:t>
      </w:r>
      <w:proofErr w:type="gramEnd"/>
      <w:r>
        <w:t xml:space="preserve"> most ISEP exchanges (these are offered through the ISEP </w:t>
      </w:r>
      <w:proofErr w:type="spellStart"/>
      <w:r>
        <w:t>organisation</w:t>
      </w:r>
      <w:proofErr w:type="spellEnd"/>
      <w:r>
        <w:t xml:space="preserve"> rather than directly</w:t>
      </w:r>
      <w:r>
        <w:rPr>
          <w:spacing w:val="22"/>
        </w:rPr>
        <w:t xml:space="preserve"> </w:t>
      </w:r>
      <w:r>
        <w:t>between</w:t>
      </w:r>
      <w:r>
        <w:rPr>
          <w:spacing w:val="21"/>
        </w:rPr>
        <w:t xml:space="preserve"> </w:t>
      </w:r>
      <w:r>
        <w:t>ENU</w:t>
      </w:r>
      <w:r>
        <w:rPr>
          <w:spacing w:val="22"/>
        </w:rPr>
        <w:t xml:space="preserve"> </w:t>
      </w:r>
      <w:r>
        <w:t>and the</w:t>
      </w:r>
      <w:r>
        <w:rPr>
          <w:spacing w:val="24"/>
        </w:rPr>
        <w:t xml:space="preserve"> </w:t>
      </w:r>
      <w:r>
        <w:t>partner institution),</w:t>
      </w:r>
      <w:r>
        <w:rPr>
          <w:spacing w:val="24"/>
        </w:rPr>
        <w:t xml:space="preserve"> </w:t>
      </w:r>
      <w:r>
        <w:t>accommodation</w:t>
      </w:r>
      <w:r>
        <w:rPr>
          <w:spacing w:val="21"/>
        </w:rPr>
        <w:t xml:space="preserve"> </w:t>
      </w:r>
      <w:r>
        <w:t>is</w:t>
      </w:r>
      <w:r>
        <w:rPr>
          <w:spacing w:val="22"/>
        </w:rPr>
        <w:t xml:space="preserve"> </w:t>
      </w:r>
      <w:r>
        <w:t>not part of the</w:t>
      </w:r>
      <w:r>
        <w:rPr>
          <w:spacing w:val="24"/>
        </w:rPr>
        <w:t xml:space="preserve"> </w:t>
      </w:r>
      <w:r>
        <w:t xml:space="preserve">ENU exchange offer. Students are responsible for sourcing, arranging and paying for accommodation on exchange. HIs will normally provide guidance on </w:t>
      </w:r>
      <w:proofErr w:type="gramStart"/>
      <w:r>
        <w:t>options,</w:t>
      </w:r>
      <w:proofErr w:type="gramEnd"/>
      <w:r>
        <w:t xml:space="preserve"> however students are ultimately responsible for their own accommodation arrangements. ENU cannot source accommodation, act as a guarantor, nor </w:t>
      </w:r>
      <w:proofErr w:type="gramStart"/>
      <w:r>
        <w:t>provide assistance</w:t>
      </w:r>
      <w:proofErr w:type="gramEnd"/>
      <w:r>
        <w:t xml:space="preserve"> in the event of disputes between the student and the </w:t>
      </w:r>
      <w:proofErr w:type="spellStart"/>
      <w:r>
        <w:t>leasor</w:t>
      </w:r>
      <w:proofErr w:type="spellEnd"/>
      <w:r>
        <w:t>.</w:t>
      </w:r>
    </w:p>
    <w:p w14:paraId="109E478A" w14:textId="77777777" w:rsidR="005E140F" w:rsidRDefault="005E140F">
      <w:pPr>
        <w:pStyle w:val="BodyText"/>
        <w:spacing w:before="9"/>
        <w:rPr>
          <w:sz w:val="28"/>
        </w:rPr>
      </w:pPr>
    </w:p>
    <w:p w14:paraId="232B250B" w14:textId="77777777" w:rsidR="005E140F" w:rsidRDefault="00000000">
      <w:pPr>
        <w:pStyle w:val="Heading2"/>
        <w:spacing w:before="1"/>
      </w:pPr>
      <w:bookmarkStart w:id="18" w:name="_TOC_250021"/>
      <w:r>
        <w:t xml:space="preserve">Visa </w:t>
      </w:r>
      <w:bookmarkEnd w:id="18"/>
      <w:r>
        <w:rPr>
          <w:spacing w:val="-2"/>
        </w:rPr>
        <w:t>requirements</w:t>
      </w:r>
    </w:p>
    <w:p w14:paraId="4938DB68" w14:textId="77777777" w:rsidR="005E140F" w:rsidRDefault="00000000">
      <w:pPr>
        <w:pStyle w:val="BodyText"/>
        <w:spacing w:before="177" w:line="280" w:lineRule="auto"/>
        <w:ind w:left="863" w:right="1074"/>
      </w:pPr>
      <w:r>
        <w:t xml:space="preserve">The HI will normally provide guidance on visa categories and </w:t>
      </w:r>
      <w:proofErr w:type="gramStart"/>
      <w:r>
        <w:t>requirements,</w:t>
      </w:r>
      <w:proofErr w:type="gramEnd"/>
      <w:r>
        <w:t xml:space="preserve"> however it is the students’ responsibility to investigate any visa requirements for their chosen destination and complete all</w:t>
      </w:r>
      <w:r>
        <w:rPr>
          <w:spacing w:val="80"/>
        </w:rPr>
        <w:t xml:space="preserve"> </w:t>
      </w:r>
      <w:r>
        <w:t>necessary paperwork and payments in a timely fashion. Some visa processes are quite rigorous and may require undertaking immigration appointments from a location outside Edinburgh at the student’s own expense. Most non-EU destinations will require financial evidence of a student’s ability to support themselves financially whilst on exchange at the point of application to the HI.</w:t>
      </w:r>
    </w:p>
    <w:p w14:paraId="2545F867" w14:textId="77777777" w:rsidR="005E140F" w:rsidRDefault="005E140F">
      <w:pPr>
        <w:pStyle w:val="BodyText"/>
        <w:rPr>
          <w:sz w:val="25"/>
        </w:rPr>
      </w:pPr>
    </w:p>
    <w:p w14:paraId="0857562C" w14:textId="77777777" w:rsidR="005E140F" w:rsidRDefault="00000000">
      <w:pPr>
        <w:pStyle w:val="BodyText"/>
        <w:ind w:left="863"/>
      </w:pPr>
      <w:r>
        <w:t>Visas</w:t>
      </w:r>
      <w:r>
        <w:rPr>
          <w:spacing w:val="6"/>
        </w:rPr>
        <w:t xml:space="preserve"> </w:t>
      </w:r>
      <w:r>
        <w:t>for</w:t>
      </w:r>
      <w:r>
        <w:rPr>
          <w:spacing w:val="5"/>
        </w:rPr>
        <w:t xml:space="preserve"> </w:t>
      </w:r>
      <w:r>
        <w:t>the</w:t>
      </w:r>
      <w:r>
        <w:rPr>
          <w:spacing w:val="3"/>
        </w:rPr>
        <w:t xml:space="preserve"> </w:t>
      </w:r>
      <w:r>
        <w:rPr>
          <w:spacing w:val="-5"/>
        </w:rPr>
        <w:t>EU:</w:t>
      </w:r>
    </w:p>
    <w:p w14:paraId="199185CB" w14:textId="77777777" w:rsidR="005E140F" w:rsidRDefault="00000000">
      <w:pPr>
        <w:pStyle w:val="BodyText"/>
        <w:spacing w:before="41" w:line="280" w:lineRule="auto"/>
        <w:ind w:left="863" w:right="1074"/>
      </w:pPr>
      <w:r>
        <w:t>Entry to the EU for exchange/work placement purposes will likely require UK and non-EU students to</w:t>
      </w:r>
      <w:r>
        <w:rPr>
          <w:spacing w:val="40"/>
        </w:rPr>
        <w:t xml:space="preserve"> </w:t>
      </w:r>
      <w:r>
        <w:t xml:space="preserve">apply for visas or other entry permit. Requirements vary from country to </w:t>
      </w:r>
      <w:proofErr w:type="gramStart"/>
      <w:r>
        <w:t>country</w:t>
      </w:r>
      <w:proofErr w:type="gramEnd"/>
      <w:r>
        <w:t xml:space="preserve"> and it is up to the HI to provide guidance on the requirements, and students should also research host country immigration requirements via the relevant country visa websites. It is becoming </w:t>
      </w:r>
      <w:proofErr w:type="gramStart"/>
      <w:r>
        <w:t>fairly common</w:t>
      </w:r>
      <w:proofErr w:type="gramEnd"/>
      <w:r>
        <w:t xml:space="preserve"> that students must</w:t>
      </w:r>
    </w:p>
    <w:p w14:paraId="7EC66BDF" w14:textId="77777777" w:rsidR="005E140F" w:rsidRDefault="005E140F">
      <w:pPr>
        <w:spacing w:line="280" w:lineRule="auto"/>
        <w:sectPr w:rsidR="005E140F">
          <w:pgSz w:w="11910" w:h="16840"/>
          <w:pgMar w:top="1040" w:right="460" w:bottom="1600" w:left="540" w:header="0" w:footer="1408" w:gutter="0"/>
          <w:cols w:space="720"/>
        </w:sectPr>
      </w:pPr>
    </w:p>
    <w:p w14:paraId="1D2553E2" w14:textId="77777777" w:rsidR="005E140F" w:rsidRDefault="005E140F">
      <w:pPr>
        <w:pStyle w:val="BodyText"/>
        <w:spacing w:before="6"/>
        <w:rPr>
          <w:sz w:val="8"/>
        </w:rPr>
      </w:pPr>
    </w:p>
    <w:p w14:paraId="72AC10D4" w14:textId="77777777" w:rsidR="005E140F" w:rsidRDefault="005E140F">
      <w:pPr>
        <w:pStyle w:val="BodyText"/>
        <w:spacing w:before="9"/>
        <w:rPr>
          <w:rFonts w:ascii="Arial MT"/>
          <w:sz w:val="26"/>
        </w:rPr>
      </w:pPr>
    </w:p>
    <w:p w14:paraId="4E0E8D33" w14:textId="77777777" w:rsidR="005E140F" w:rsidRDefault="00000000">
      <w:pPr>
        <w:pStyle w:val="BodyText"/>
        <w:spacing w:before="61" w:line="283" w:lineRule="auto"/>
        <w:ind w:left="863" w:right="1135"/>
      </w:pPr>
      <w:r>
        <w:t>now provide evidence of sufficient funding to support themselves whilst on exchange at the point at which they apply to the HI.</w:t>
      </w:r>
    </w:p>
    <w:p w14:paraId="1F4BC4DB" w14:textId="77777777" w:rsidR="005E140F" w:rsidRDefault="005E140F">
      <w:pPr>
        <w:pStyle w:val="BodyText"/>
        <w:spacing w:before="2"/>
        <w:rPr>
          <w:sz w:val="28"/>
        </w:rPr>
      </w:pPr>
    </w:p>
    <w:p w14:paraId="38CBCB8B" w14:textId="77777777" w:rsidR="005E140F" w:rsidRDefault="00000000">
      <w:pPr>
        <w:pStyle w:val="Heading2"/>
      </w:pPr>
      <w:bookmarkStart w:id="19" w:name="_TOC_250020"/>
      <w:r>
        <w:t>Student</w:t>
      </w:r>
      <w:r>
        <w:rPr>
          <w:spacing w:val="-2"/>
        </w:rPr>
        <w:t xml:space="preserve"> </w:t>
      </w:r>
      <w:r>
        <w:t>Route</w:t>
      </w:r>
      <w:r>
        <w:rPr>
          <w:spacing w:val="2"/>
        </w:rPr>
        <w:t xml:space="preserve"> </w:t>
      </w:r>
      <w:r>
        <w:t>Visa</w:t>
      </w:r>
      <w:r>
        <w:rPr>
          <w:spacing w:val="2"/>
        </w:rPr>
        <w:t xml:space="preserve"> </w:t>
      </w:r>
      <w:bookmarkEnd w:id="19"/>
      <w:r>
        <w:rPr>
          <w:spacing w:val="-2"/>
        </w:rPr>
        <w:t>requirements</w:t>
      </w:r>
    </w:p>
    <w:p w14:paraId="7D4C5FFF" w14:textId="7CAEE719" w:rsidR="005E140F" w:rsidRDefault="00000000">
      <w:pPr>
        <w:pStyle w:val="BodyText"/>
        <w:spacing w:before="180" w:line="280" w:lineRule="auto"/>
        <w:ind w:left="863" w:right="1074"/>
      </w:pPr>
      <w:r>
        <w:t>Students studying at ENU on a Student Route visa (formerly Tier 4) are required to adhere to attendance requirements</w:t>
      </w:r>
      <w:r>
        <w:rPr>
          <w:spacing w:val="22"/>
        </w:rPr>
        <w:t xml:space="preserve"> </w:t>
      </w:r>
      <w:r>
        <w:t>whilst on</w:t>
      </w:r>
      <w:r>
        <w:rPr>
          <w:spacing w:val="24"/>
        </w:rPr>
        <w:t xml:space="preserve"> </w:t>
      </w:r>
      <w:r>
        <w:t>exchange,</w:t>
      </w:r>
      <w:r>
        <w:rPr>
          <w:spacing w:val="27"/>
        </w:rPr>
        <w:t xml:space="preserve"> </w:t>
      </w:r>
      <w:r>
        <w:t>which</w:t>
      </w:r>
      <w:r>
        <w:rPr>
          <w:spacing w:val="24"/>
        </w:rPr>
        <w:t xml:space="preserve"> </w:t>
      </w:r>
      <w:r>
        <w:t>includes</w:t>
      </w:r>
      <w:r>
        <w:rPr>
          <w:spacing w:val="22"/>
        </w:rPr>
        <w:t xml:space="preserve"> </w:t>
      </w:r>
      <w:r>
        <w:t>regular</w:t>
      </w:r>
      <w:r>
        <w:rPr>
          <w:spacing w:val="27"/>
        </w:rPr>
        <w:t xml:space="preserve"> </w:t>
      </w:r>
      <w:r>
        <w:t>face-to-face</w:t>
      </w:r>
      <w:r>
        <w:rPr>
          <w:spacing w:val="24"/>
        </w:rPr>
        <w:t xml:space="preserve"> </w:t>
      </w:r>
      <w:r>
        <w:t>monitoring.</w:t>
      </w:r>
      <w:r>
        <w:rPr>
          <w:spacing w:val="22"/>
        </w:rPr>
        <w:t xml:space="preserve"> </w:t>
      </w:r>
      <w:r>
        <w:t>The</w:t>
      </w:r>
      <w:r>
        <w:rPr>
          <w:spacing w:val="30"/>
        </w:rPr>
        <w:t xml:space="preserve"> </w:t>
      </w:r>
      <w:r>
        <w:t>GMT</w:t>
      </w:r>
      <w:r>
        <w:rPr>
          <w:spacing w:val="27"/>
        </w:rPr>
        <w:t xml:space="preserve"> </w:t>
      </w:r>
      <w:r>
        <w:t xml:space="preserve">is responsible for liaising with the HI prior to the exchange period to agree how the attendance monitoring will be managed. </w:t>
      </w:r>
      <w:r w:rsidR="00005A14">
        <w:t xml:space="preserve">Full and timely engagement by the student where needed is essential. </w:t>
      </w:r>
      <w:r>
        <w:t>Visa monitoring is undertaken under the auspices of ENUs Visa and International</w:t>
      </w:r>
      <w:r w:rsidR="00005A14">
        <w:rPr>
          <w:spacing w:val="80"/>
        </w:rPr>
        <w:t xml:space="preserve"> </w:t>
      </w:r>
      <w:r>
        <w:t>Student Support team. Failure to fulfil attendance checks will have significant impact</w:t>
      </w:r>
      <w:r>
        <w:rPr>
          <w:spacing w:val="25"/>
        </w:rPr>
        <w:t xml:space="preserve"> </w:t>
      </w:r>
      <w:r>
        <w:t>on ENUs</w:t>
      </w:r>
      <w:r>
        <w:rPr>
          <w:spacing w:val="80"/>
        </w:rPr>
        <w:t xml:space="preserve"> </w:t>
      </w:r>
      <w:r>
        <w:t>sponsorship license and may invalidate a student’s eligibility to remain in the UK/on exchange.</w:t>
      </w:r>
    </w:p>
    <w:p w14:paraId="760BA4EE" w14:textId="77777777" w:rsidR="005E140F" w:rsidRDefault="005E140F">
      <w:pPr>
        <w:pStyle w:val="BodyText"/>
        <w:spacing w:before="10"/>
        <w:rPr>
          <w:sz w:val="28"/>
        </w:rPr>
      </w:pPr>
    </w:p>
    <w:p w14:paraId="37C342DC" w14:textId="77777777" w:rsidR="005E140F" w:rsidRDefault="00000000">
      <w:pPr>
        <w:pStyle w:val="Heading2"/>
      </w:pPr>
      <w:bookmarkStart w:id="20" w:name="_TOC_250019"/>
      <w:r>
        <w:t>Maintaining</w:t>
      </w:r>
      <w:r>
        <w:rPr>
          <w:spacing w:val="-5"/>
        </w:rPr>
        <w:t xml:space="preserve"> </w:t>
      </w:r>
      <w:r>
        <w:t>eligibility</w:t>
      </w:r>
      <w:r>
        <w:rPr>
          <w:spacing w:val="2"/>
        </w:rPr>
        <w:t xml:space="preserve"> </w:t>
      </w:r>
      <w:r>
        <w:t>for</w:t>
      </w:r>
      <w:r>
        <w:rPr>
          <w:spacing w:val="-2"/>
        </w:rPr>
        <w:t xml:space="preserve"> </w:t>
      </w:r>
      <w:r>
        <w:t xml:space="preserve">study </w:t>
      </w:r>
      <w:bookmarkEnd w:id="20"/>
      <w:r>
        <w:rPr>
          <w:spacing w:val="-2"/>
        </w:rPr>
        <w:t>abroad</w:t>
      </w:r>
    </w:p>
    <w:p w14:paraId="58E8CA43" w14:textId="07052598" w:rsidR="005E140F" w:rsidRDefault="00000000">
      <w:pPr>
        <w:pStyle w:val="BodyText"/>
        <w:spacing w:before="177" w:line="280" w:lineRule="auto"/>
        <w:ind w:left="863" w:right="1074"/>
      </w:pPr>
      <w:r>
        <w:t>Students must remain in good standing in the lead up to the exchange. This includes ensuring that academic and ambassador standards are maintained. In the instance of fails or disciplinary proceedings being brought</w:t>
      </w:r>
      <w:r>
        <w:rPr>
          <w:spacing w:val="15"/>
        </w:rPr>
        <w:t xml:space="preserve"> </w:t>
      </w:r>
      <w:r>
        <w:t>forward</w:t>
      </w:r>
      <w:r>
        <w:rPr>
          <w:spacing w:val="15"/>
        </w:rPr>
        <w:t xml:space="preserve"> </w:t>
      </w:r>
      <w:r>
        <w:t>in the</w:t>
      </w:r>
      <w:r>
        <w:rPr>
          <w:spacing w:val="18"/>
        </w:rPr>
        <w:t xml:space="preserve"> </w:t>
      </w:r>
      <w:r>
        <w:t>lead</w:t>
      </w:r>
      <w:r>
        <w:rPr>
          <w:spacing w:val="18"/>
        </w:rPr>
        <w:t xml:space="preserve"> </w:t>
      </w:r>
      <w:r>
        <w:t>up</w:t>
      </w:r>
      <w:r>
        <w:rPr>
          <w:spacing w:val="18"/>
        </w:rPr>
        <w:t xml:space="preserve"> </w:t>
      </w:r>
      <w:r>
        <w:t>to</w:t>
      </w:r>
      <w:r>
        <w:rPr>
          <w:spacing w:val="15"/>
        </w:rPr>
        <w:t xml:space="preserve"> </w:t>
      </w:r>
      <w:r>
        <w:t>the</w:t>
      </w:r>
      <w:r>
        <w:rPr>
          <w:spacing w:val="18"/>
        </w:rPr>
        <w:t xml:space="preserve"> </w:t>
      </w:r>
      <w:r>
        <w:t>exchange, the onus will be on the</w:t>
      </w:r>
      <w:r>
        <w:rPr>
          <w:spacing w:val="15"/>
        </w:rPr>
        <w:t xml:space="preserve"> </w:t>
      </w:r>
      <w:r>
        <w:t>School/PL</w:t>
      </w:r>
      <w:r>
        <w:rPr>
          <w:spacing w:val="20"/>
        </w:rPr>
        <w:t xml:space="preserve"> </w:t>
      </w:r>
      <w:r>
        <w:t>to</w:t>
      </w:r>
      <w:r>
        <w:rPr>
          <w:spacing w:val="18"/>
        </w:rPr>
        <w:t xml:space="preserve"> </w:t>
      </w:r>
      <w:r>
        <w:t xml:space="preserve">identify these, and it will </w:t>
      </w:r>
      <w:r w:rsidR="009371B7">
        <w:t>be at</w:t>
      </w:r>
      <w:r>
        <w:t xml:space="preserve"> the discretion of the PL whether to withdraw the applicant, bearing in mind any financial</w:t>
      </w:r>
      <w:r>
        <w:rPr>
          <w:spacing w:val="22"/>
        </w:rPr>
        <w:t xml:space="preserve"> </w:t>
      </w:r>
      <w:r>
        <w:t>outlay</w:t>
      </w:r>
      <w:r>
        <w:rPr>
          <w:spacing w:val="20"/>
        </w:rPr>
        <w:t xml:space="preserve"> </w:t>
      </w:r>
      <w:r>
        <w:t>already made by</w:t>
      </w:r>
      <w:r>
        <w:rPr>
          <w:spacing w:val="20"/>
        </w:rPr>
        <w:t xml:space="preserve"> </w:t>
      </w:r>
      <w:r>
        <w:t>the student,</w:t>
      </w:r>
      <w:r>
        <w:rPr>
          <w:spacing w:val="22"/>
        </w:rPr>
        <w:t xml:space="preserve"> </w:t>
      </w:r>
      <w:r>
        <w:t>and impact</w:t>
      </w:r>
      <w:r>
        <w:rPr>
          <w:spacing w:val="23"/>
        </w:rPr>
        <w:t xml:space="preserve"> </w:t>
      </w:r>
      <w:r>
        <w:t>to</w:t>
      </w:r>
      <w:r>
        <w:rPr>
          <w:spacing w:val="22"/>
        </w:rPr>
        <w:t xml:space="preserve"> </w:t>
      </w:r>
      <w:r>
        <w:t>academic</w:t>
      </w:r>
      <w:r>
        <w:rPr>
          <w:spacing w:val="20"/>
        </w:rPr>
        <w:t xml:space="preserve"> </w:t>
      </w:r>
      <w:r>
        <w:t>standing.</w:t>
      </w:r>
      <w:r>
        <w:rPr>
          <w:spacing w:val="20"/>
        </w:rPr>
        <w:t xml:space="preserve"> </w:t>
      </w:r>
      <w:r>
        <w:t>Students must not depart for their exchange with outstanding assessments/credits without the express consent of their PL.</w:t>
      </w:r>
    </w:p>
    <w:p w14:paraId="75A44C18" w14:textId="77777777" w:rsidR="005E140F" w:rsidRDefault="005E140F">
      <w:pPr>
        <w:pStyle w:val="BodyText"/>
        <w:rPr>
          <w:sz w:val="29"/>
        </w:rPr>
      </w:pPr>
    </w:p>
    <w:p w14:paraId="3B083A2B" w14:textId="77777777" w:rsidR="005E140F" w:rsidRDefault="00000000">
      <w:pPr>
        <w:pStyle w:val="Heading2"/>
        <w:spacing w:before="1"/>
      </w:pPr>
      <w:bookmarkStart w:id="21" w:name="_TOC_250018"/>
      <w:r>
        <w:t>Matriculating</w:t>
      </w:r>
      <w:r>
        <w:rPr>
          <w:spacing w:val="-3"/>
        </w:rPr>
        <w:t xml:space="preserve"> </w:t>
      </w:r>
      <w:r>
        <w:t>at</w:t>
      </w:r>
      <w:r>
        <w:rPr>
          <w:spacing w:val="-2"/>
        </w:rPr>
        <w:t xml:space="preserve"> </w:t>
      </w:r>
      <w:bookmarkEnd w:id="21"/>
      <w:r>
        <w:rPr>
          <w:spacing w:val="-5"/>
        </w:rPr>
        <w:t>ENU</w:t>
      </w:r>
    </w:p>
    <w:p w14:paraId="45AC4A6E" w14:textId="77777777" w:rsidR="005E140F" w:rsidRDefault="00000000">
      <w:pPr>
        <w:pStyle w:val="BodyText"/>
        <w:spacing w:before="175" w:line="283" w:lineRule="auto"/>
        <w:ind w:left="863" w:right="1157"/>
      </w:pPr>
      <w:r>
        <w:t>Exchange students remain ENU students whilst studying abroad and therefore still need to matriculate</w:t>
      </w:r>
      <w:r>
        <w:rPr>
          <w:spacing w:val="40"/>
        </w:rPr>
        <w:t xml:space="preserve"> </w:t>
      </w:r>
      <w:r>
        <w:t>at ENU while on exchange.</w:t>
      </w:r>
    </w:p>
    <w:p w14:paraId="7DB02A62" w14:textId="77777777" w:rsidR="005E140F" w:rsidRDefault="005E140F">
      <w:pPr>
        <w:pStyle w:val="BodyText"/>
        <w:spacing w:before="2"/>
        <w:rPr>
          <w:sz w:val="28"/>
        </w:rPr>
      </w:pPr>
    </w:p>
    <w:p w14:paraId="6A56FC4B" w14:textId="77777777" w:rsidR="005E140F" w:rsidRDefault="00000000">
      <w:pPr>
        <w:pStyle w:val="Heading2"/>
      </w:pPr>
      <w:bookmarkStart w:id="22" w:name="_TOC_250017"/>
      <w:r>
        <w:t>Insurance</w:t>
      </w:r>
      <w:r>
        <w:rPr>
          <w:spacing w:val="-4"/>
        </w:rPr>
        <w:t xml:space="preserve"> </w:t>
      </w:r>
      <w:r>
        <w:t>and</w:t>
      </w:r>
      <w:r>
        <w:rPr>
          <w:spacing w:val="-2"/>
        </w:rPr>
        <w:t xml:space="preserve"> </w:t>
      </w:r>
      <w:bookmarkEnd w:id="22"/>
      <w:r>
        <w:rPr>
          <w:spacing w:val="-4"/>
        </w:rPr>
        <w:t>Risk</w:t>
      </w:r>
    </w:p>
    <w:p w14:paraId="2619AB7B" w14:textId="77777777" w:rsidR="005E140F" w:rsidRDefault="00000000">
      <w:pPr>
        <w:pStyle w:val="BodyText"/>
        <w:spacing w:before="180" w:line="280" w:lineRule="auto"/>
        <w:ind w:left="863" w:right="1157"/>
      </w:pPr>
      <w:r>
        <w:t xml:space="preserve">All students going on an ENU exchange must have insurance cover and must complete an online Travel Risk Assessment (TRA) prior to departure. Students who complete the Travel Risk Assessment and are not travelling against medical or FCDO advice are covered by ENU’s travel and medical policy, but the onus is on each student to check the coverage against personal circumstances to decide whether the level of cover is suitable to individual needs. For the majority of non-European (overseas exchange partners), students are required to purchase insurance approved by the host institution at their own </w:t>
      </w:r>
      <w:r>
        <w:rPr>
          <w:spacing w:val="-2"/>
        </w:rPr>
        <w:t>expense.</w:t>
      </w:r>
    </w:p>
    <w:p w14:paraId="41D4462E" w14:textId="77777777" w:rsidR="005E140F" w:rsidRDefault="005E140F">
      <w:pPr>
        <w:pStyle w:val="BodyText"/>
        <w:rPr>
          <w:sz w:val="25"/>
        </w:rPr>
      </w:pPr>
    </w:p>
    <w:p w14:paraId="07952AE8" w14:textId="77777777" w:rsidR="005E140F" w:rsidRDefault="00000000">
      <w:pPr>
        <w:pStyle w:val="BodyText"/>
        <w:spacing w:line="280" w:lineRule="auto"/>
        <w:ind w:left="863" w:right="1074"/>
      </w:pPr>
      <w:r>
        <w:t xml:space="preserve">After the Travel Risk Assessment is approved, students are required to register their trip on </w:t>
      </w:r>
      <w:proofErr w:type="spellStart"/>
      <w:r>
        <w:t>GardaWorld</w:t>
      </w:r>
      <w:proofErr w:type="spellEnd"/>
      <w:r>
        <w:t xml:space="preserve"> and download the Crisis24 Messenger app which provides ‘real time’ warnings and emergency support</w:t>
      </w:r>
    </w:p>
    <w:p w14:paraId="009BB1BE" w14:textId="77777777" w:rsidR="005E140F" w:rsidRDefault="005E140F">
      <w:pPr>
        <w:spacing w:line="280" w:lineRule="auto"/>
        <w:sectPr w:rsidR="005E140F">
          <w:pgSz w:w="11910" w:h="16840"/>
          <w:pgMar w:top="1040" w:right="460" w:bottom="1600" w:left="540" w:header="0" w:footer="1408" w:gutter="0"/>
          <w:cols w:space="720"/>
        </w:sectPr>
      </w:pPr>
    </w:p>
    <w:p w14:paraId="6FFE86FC" w14:textId="77777777" w:rsidR="005E140F" w:rsidRDefault="005E140F">
      <w:pPr>
        <w:pStyle w:val="BodyText"/>
        <w:spacing w:before="6"/>
        <w:rPr>
          <w:sz w:val="8"/>
        </w:rPr>
      </w:pPr>
    </w:p>
    <w:p w14:paraId="5457F23B" w14:textId="77777777" w:rsidR="005E140F" w:rsidRDefault="005E140F">
      <w:pPr>
        <w:pStyle w:val="BodyText"/>
        <w:rPr>
          <w:rFonts w:ascii="Arial MT"/>
          <w:sz w:val="20"/>
        </w:rPr>
      </w:pPr>
    </w:p>
    <w:p w14:paraId="4CF4ABAE" w14:textId="77777777" w:rsidR="005E140F" w:rsidRDefault="005E140F">
      <w:pPr>
        <w:pStyle w:val="BodyText"/>
        <w:spacing w:before="9"/>
        <w:rPr>
          <w:rFonts w:ascii="Arial MT"/>
          <w:sz w:val="26"/>
        </w:rPr>
      </w:pPr>
    </w:p>
    <w:p w14:paraId="616B21C7" w14:textId="77777777" w:rsidR="005E140F" w:rsidRDefault="00000000">
      <w:pPr>
        <w:pStyle w:val="BodyText"/>
        <w:spacing w:before="61" w:line="280" w:lineRule="auto"/>
        <w:ind w:left="863" w:right="1074"/>
      </w:pPr>
      <w:r>
        <w:t xml:space="preserve">whilst on exchange. Students who depart for exchange without completing these requirements will </w:t>
      </w:r>
      <w:proofErr w:type="gramStart"/>
      <w:r>
        <w:t>be considered to be</w:t>
      </w:r>
      <w:proofErr w:type="gramEnd"/>
      <w:r>
        <w:t xml:space="preserve"> in contravention of their obligations and will be forcibly withdrawn from exchange. Any financial implications of this outcome will be solely the student’s responsibility. Any funding offered/provided to students in this position will need to be repaid in full. ENU insurance coverage will</w:t>
      </w:r>
      <w:r>
        <w:rPr>
          <w:spacing w:val="40"/>
        </w:rPr>
        <w:t xml:space="preserve"> </w:t>
      </w:r>
      <w:r>
        <w:t>also become invalid.</w:t>
      </w:r>
    </w:p>
    <w:p w14:paraId="65FBBAE3" w14:textId="77777777" w:rsidR="005E140F" w:rsidRDefault="005E140F">
      <w:pPr>
        <w:pStyle w:val="BodyText"/>
        <w:rPr>
          <w:sz w:val="25"/>
        </w:rPr>
      </w:pPr>
    </w:p>
    <w:p w14:paraId="053D9061" w14:textId="77777777" w:rsidR="005E140F" w:rsidRDefault="00000000">
      <w:pPr>
        <w:pStyle w:val="BodyText"/>
        <w:ind w:left="863"/>
      </w:pPr>
      <w:r>
        <w:t>Health</w:t>
      </w:r>
      <w:r>
        <w:rPr>
          <w:spacing w:val="5"/>
        </w:rPr>
        <w:t xml:space="preserve"> </w:t>
      </w:r>
      <w:r>
        <w:t>cover</w:t>
      </w:r>
      <w:r>
        <w:rPr>
          <w:spacing w:val="7"/>
        </w:rPr>
        <w:t xml:space="preserve"> </w:t>
      </w:r>
      <w:r>
        <w:t>for</w:t>
      </w:r>
      <w:r>
        <w:rPr>
          <w:spacing w:val="6"/>
        </w:rPr>
        <w:t xml:space="preserve"> </w:t>
      </w:r>
      <w:r>
        <w:t>the</w:t>
      </w:r>
      <w:r>
        <w:rPr>
          <w:spacing w:val="3"/>
        </w:rPr>
        <w:t xml:space="preserve"> </w:t>
      </w:r>
      <w:r>
        <w:rPr>
          <w:spacing w:val="-5"/>
        </w:rPr>
        <w:t>EU:</w:t>
      </w:r>
    </w:p>
    <w:p w14:paraId="25D87AA9" w14:textId="77777777" w:rsidR="005E140F" w:rsidRDefault="00000000">
      <w:pPr>
        <w:pStyle w:val="BodyText"/>
        <w:spacing w:before="44" w:line="280" w:lineRule="auto"/>
        <w:ind w:left="863" w:right="1157"/>
      </w:pPr>
      <w:r>
        <w:t>Students should obtain the student specific Global Health Insurance Card (GHIC) through the NHS prior to departing for exchange. This covers students for the extended period of their exchange unlike the GHIC card available for vacation purposes. The GMT will provide a letter which students can use to support their application for the Study GHIC.</w:t>
      </w:r>
    </w:p>
    <w:p w14:paraId="7CE65951" w14:textId="77777777" w:rsidR="005E140F" w:rsidRDefault="005E140F">
      <w:pPr>
        <w:pStyle w:val="BodyText"/>
        <w:spacing w:before="12"/>
        <w:rPr>
          <w:sz w:val="28"/>
        </w:rPr>
      </w:pPr>
    </w:p>
    <w:p w14:paraId="2BFD73E9" w14:textId="77777777" w:rsidR="005E140F" w:rsidRDefault="00000000">
      <w:pPr>
        <w:pStyle w:val="Heading2"/>
      </w:pPr>
      <w:bookmarkStart w:id="23" w:name="_TOC_250016"/>
      <w:r>
        <w:t>Withdrawing</w:t>
      </w:r>
      <w:r>
        <w:rPr>
          <w:spacing w:val="1"/>
        </w:rPr>
        <w:t xml:space="preserve"> </w:t>
      </w:r>
      <w:r>
        <w:t>before</w:t>
      </w:r>
      <w:r>
        <w:rPr>
          <w:spacing w:val="-4"/>
        </w:rPr>
        <w:t xml:space="preserve"> </w:t>
      </w:r>
      <w:bookmarkEnd w:id="23"/>
      <w:r>
        <w:rPr>
          <w:spacing w:val="-2"/>
        </w:rPr>
        <w:t>exchange</w:t>
      </w:r>
    </w:p>
    <w:p w14:paraId="3554724F" w14:textId="77777777" w:rsidR="005E140F" w:rsidRDefault="00000000">
      <w:pPr>
        <w:pStyle w:val="BodyText"/>
        <w:spacing w:before="175" w:line="280" w:lineRule="auto"/>
        <w:ind w:left="863" w:right="1074"/>
      </w:pPr>
      <w:r>
        <w:t xml:space="preserve">Students are expected to apply in good faith and with the intention of </w:t>
      </w:r>
      <w:proofErr w:type="spellStart"/>
      <w:r>
        <w:t>realising</w:t>
      </w:r>
      <w:proofErr w:type="spellEnd"/>
      <w:r>
        <w:t xml:space="preserve"> their exchange. Students should note that withdrawal at any point presents an unfair impact on other students who may have wanted a place at a particular HI, so withdrawing should only be requested in extraordinary</w:t>
      </w:r>
      <w:r>
        <w:rPr>
          <w:spacing w:val="80"/>
        </w:rPr>
        <w:t xml:space="preserve"> </w:t>
      </w:r>
      <w:r>
        <w:t>circumstances and with clear reason.</w:t>
      </w:r>
      <w:r>
        <w:rPr>
          <w:spacing w:val="40"/>
        </w:rPr>
        <w:t xml:space="preserve"> </w:t>
      </w:r>
      <w:r>
        <w:t xml:space="preserve">Notification of intention to withdraw must be sent to GMT </w:t>
      </w:r>
      <w:r>
        <w:rPr>
          <w:i/>
        </w:rPr>
        <w:t xml:space="preserve">at the latest </w:t>
      </w:r>
      <w:r>
        <w:t>by the end of March for the main application round, and the end of August for clearing applicants.</w:t>
      </w:r>
    </w:p>
    <w:p w14:paraId="03B2112D" w14:textId="77777777" w:rsidR="005E140F" w:rsidRDefault="005E140F">
      <w:pPr>
        <w:pStyle w:val="BodyText"/>
        <w:rPr>
          <w:sz w:val="25"/>
        </w:rPr>
      </w:pPr>
    </w:p>
    <w:p w14:paraId="6149A1F8" w14:textId="77777777" w:rsidR="005E140F" w:rsidRDefault="00000000">
      <w:pPr>
        <w:pStyle w:val="BodyText"/>
        <w:spacing w:line="278" w:lineRule="auto"/>
        <w:ind w:left="863" w:right="1451"/>
      </w:pPr>
      <w:r>
        <w:t>Any student withdrawing from a confirmed study exchange placement may be deemed ineligible for other ENU supported international mobility activities.</w:t>
      </w:r>
    </w:p>
    <w:p w14:paraId="60D790E4" w14:textId="77777777" w:rsidR="005E140F" w:rsidRDefault="005E140F">
      <w:pPr>
        <w:pStyle w:val="BodyText"/>
        <w:rPr>
          <w:sz w:val="20"/>
        </w:rPr>
      </w:pPr>
    </w:p>
    <w:p w14:paraId="48DE66F3" w14:textId="77777777" w:rsidR="005E140F" w:rsidRDefault="005E140F">
      <w:pPr>
        <w:pStyle w:val="BodyText"/>
        <w:rPr>
          <w:sz w:val="20"/>
        </w:rPr>
      </w:pPr>
    </w:p>
    <w:p w14:paraId="1720563E" w14:textId="77777777" w:rsidR="005E140F" w:rsidRDefault="005E140F">
      <w:pPr>
        <w:pStyle w:val="BodyText"/>
        <w:spacing w:before="9"/>
        <w:rPr>
          <w:sz w:val="16"/>
        </w:rPr>
      </w:pPr>
    </w:p>
    <w:p w14:paraId="4E993375" w14:textId="77777777" w:rsidR="005E140F" w:rsidRDefault="00000000">
      <w:pPr>
        <w:pStyle w:val="Heading1"/>
        <w:numPr>
          <w:ilvl w:val="0"/>
          <w:numId w:val="4"/>
        </w:numPr>
        <w:tabs>
          <w:tab w:val="left" w:pos="1565"/>
        </w:tabs>
      </w:pPr>
      <w:bookmarkStart w:id="24" w:name="_TOC_250015"/>
      <w:r>
        <w:t>During</w:t>
      </w:r>
      <w:r>
        <w:rPr>
          <w:spacing w:val="-17"/>
        </w:rPr>
        <w:t xml:space="preserve"> </w:t>
      </w:r>
      <w:r>
        <w:t>the</w:t>
      </w:r>
      <w:r>
        <w:rPr>
          <w:spacing w:val="-10"/>
        </w:rPr>
        <w:t xml:space="preserve"> </w:t>
      </w:r>
      <w:bookmarkEnd w:id="24"/>
      <w:r>
        <w:rPr>
          <w:spacing w:val="-2"/>
        </w:rPr>
        <w:t>exchange</w:t>
      </w:r>
    </w:p>
    <w:p w14:paraId="6657EC6A" w14:textId="77777777" w:rsidR="005E140F" w:rsidRDefault="005E140F">
      <w:pPr>
        <w:pStyle w:val="BodyText"/>
        <w:spacing w:before="6"/>
        <w:rPr>
          <w:b/>
          <w:sz w:val="34"/>
        </w:rPr>
      </w:pPr>
    </w:p>
    <w:p w14:paraId="56158156" w14:textId="77777777" w:rsidR="005E140F" w:rsidRDefault="00000000">
      <w:pPr>
        <w:pStyle w:val="Heading2"/>
      </w:pPr>
      <w:bookmarkStart w:id="25" w:name="_TOC_250014"/>
      <w:r>
        <w:t>Attendance</w:t>
      </w:r>
      <w:r>
        <w:rPr>
          <w:spacing w:val="-1"/>
        </w:rPr>
        <w:t xml:space="preserve"> </w:t>
      </w:r>
      <w:r>
        <w:t>at</w:t>
      </w:r>
      <w:r>
        <w:rPr>
          <w:spacing w:val="1"/>
        </w:rPr>
        <w:t xml:space="preserve"> </w:t>
      </w:r>
      <w:r>
        <w:t>Host</w:t>
      </w:r>
      <w:r>
        <w:rPr>
          <w:spacing w:val="-1"/>
        </w:rPr>
        <w:t xml:space="preserve"> </w:t>
      </w:r>
      <w:r>
        <w:t>Institution</w:t>
      </w:r>
      <w:r>
        <w:rPr>
          <w:spacing w:val="-4"/>
        </w:rPr>
        <w:t xml:space="preserve"> </w:t>
      </w:r>
      <w:bookmarkEnd w:id="25"/>
      <w:r>
        <w:rPr>
          <w:spacing w:val="-2"/>
        </w:rPr>
        <w:t>induction</w:t>
      </w:r>
    </w:p>
    <w:p w14:paraId="120FB07D" w14:textId="77777777" w:rsidR="005E140F" w:rsidRDefault="00000000">
      <w:pPr>
        <w:pStyle w:val="BodyText"/>
        <w:spacing w:before="178" w:line="280" w:lineRule="auto"/>
        <w:ind w:left="863" w:right="1074"/>
      </w:pPr>
      <w:r>
        <w:t>Most HIs hold a compulsory induction and students are expected to arrive at their exchange destination</w:t>
      </w:r>
      <w:r>
        <w:rPr>
          <w:spacing w:val="40"/>
        </w:rPr>
        <w:t xml:space="preserve"> </w:t>
      </w:r>
      <w:r>
        <w:t>in time for this, or any other compulsory activities on request from the HI. If no separate induction is offered, students must arrive in time for the start of classes. Missing induction/classes has a significant negative impact on the exchange experience and ENU therefore will not support this. Any permission to arrive late to the HI is at the discretion of the HI.</w:t>
      </w:r>
    </w:p>
    <w:p w14:paraId="7EF262A1" w14:textId="77777777" w:rsidR="005E140F" w:rsidRDefault="005E140F">
      <w:pPr>
        <w:spacing w:line="280" w:lineRule="auto"/>
        <w:sectPr w:rsidR="005E140F">
          <w:pgSz w:w="11910" w:h="16840"/>
          <w:pgMar w:top="1040" w:right="460" w:bottom="1600" w:left="540" w:header="0" w:footer="1408" w:gutter="0"/>
          <w:cols w:space="720"/>
        </w:sectPr>
      </w:pPr>
    </w:p>
    <w:p w14:paraId="33BEB5AC" w14:textId="77777777" w:rsidR="005E140F" w:rsidRDefault="005E140F">
      <w:pPr>
        <w:pStyle w:val="BodyText"/>
        <w:spacing w:before="6"/>
        <w:rPr>
          <w:sz w:val="8"/>
        </w:rPr>
      </w:pPr>
    </w:p>
    <w:p w14:paraId="364C52A3" w14:textId="71D50141" w:rsidR="005E140F" w:rsidRDefault="00000000">
      <w:pPr>
        <w:spacing w:before="95"/>
        <w:ind w:left="103"/>
        <w:rPr>
          <w:rFonts w:ascii="Arial MT"/>
          <w:sz w:val="23"/>
        </w:rPr>
      </w:pPr>
      <w:r>
        <w:rPr>
          <w:rFonts w:ascii="Arial MT"/>
          <w:color w:val="FFFFFF"/>
          <w:spacing w:val="-5"/>
          <w:sz w:val="23"/>
        </w:rPr>
        <w:t>17</w:t>
      </w:r>
    </w:p>
    <w:p w14:paraId="290B182C" w14:textId="77777777" w:rsidR="005E140F" w:rsidRDefault="005E140F">
      <w:pPr>
        <w:pStyle w:val="BodyText"/>
        <w:rPr>
          <w:rFonts w:ascii="Arial MT"/>
          <w:sz w:val="20"/>
        </w:rPr>
      </w:pPr>
    </w:p>
    <w:p w14:paraId="29AB2B79" w14:textId="77777777" w:rsidR="005E140F" w:rsidRDefault="005E140F">
      <w:pPr>
        <w:pStyle w:val="BodyText"/>
        <w:spacing w:before="7"/>
        <w:rPr>
          <w:rFonts w:ascii="Arial MT"/>
          <w:sz w:val="28"/>
        </w:rPr>
      </w:pPr>
    </w:p>
    <w:p w14:paraId="26AF927B" w14:textId="77777777" w:rsidR="005E140F" w:rsidRDefault="00000000">
      <w:pPr>
        <w:pStyle w:val="Heading2"/>
        <w:spacing w:before="38"/>
      </w:pPr>
      <w:bookmarkStart w:id="26" w:name="_TOC_250013"/>
      <w:r>
        <w:t>Changes</w:t>
      </w:r>
      <w:r>
        <w:rPr>
          <w:spacing w:val="-1"/>
        </w:rPr>
        <w:t xml:space="preserve"> </w:t>
      </w:r>
      <w:r>
        <w:t>to module</w:t>
      </w:r>
      <w:r>
        <w:rPr>
          <w:spacing w:val="1"/>
        </w:rPr>
        <w:t xml:space="preserve"> </w:t>
      </w:r>
      <w:bookmarkEnd w:id="26"/>
      <w:r>
        <w:rPr>
          <w:spacing w:val="-2"/>
        </w:rPr>
        <w:t>selection</w:t>
      </w:r>
    </w:p>
    <w:p w14:paraId="38934423" w14:textId="77777777" w:rsidR="005E140F" w:rsidRDefault="00000000">
      <w:pPr>
        <w:pStyle w:val="BodyText"/>
        <w:spacing w:before="178" w:line="280" w:lineRule="auto"/>
        <w:ind w:left="863" w:right="1074"/>
      </w:pPr>
      <w:r>
        <w:t xml:space="preserve">Any changes to the module selection </w:t>
      </w:r>
      <w:r>
        <w:rPr>
          <w:u w:val="single"/>
        </w:rPr>
        <w:t>must</w:t>
      </w:r>
      <w:r>
        <w:t xml:space="preserve"> be approved by the ENU PL as well as the HI, and accurately documented in the relevant Learning Agreement. This must be done as early as possible and always within the ENU/HI regulations. Any questions regarding module selection/changes need to be discussed directly with the PL. The GMT cannot </w:t>
      </w:r>
      <w:proofErr w:type="gramStart"/>
      <w:r>
        <w:t>provide assistance</w:t>
      </w:r>
      <w:proofErr w:type="gramEnd"/>
      <w:r>
        <w:t xml:space="preserve"> with module selections.</w:t>
      </w:r>
    </w:p>
    <w:p w14:paraId="04A9C930" w14:textId="77777777" w:rsidR="005E140F" w:rsidRDefault="005E140F">
      <w:pPr>
        <w:pStyle w:val="BodyText"/>
        <w:spacing w:before="9"/>
        <w:rPr>
          <w:sz w:val="28"/>
        </w:rPr>
      </w:pPr>
    </w:p>
    <w:p w14:paraId="0097DB15" w14:textId="77777777" w:rsidR="005E140F" w:rsidRDefault="00000000">
      <w:pPr>
        <w:pStyle w:val="Heading2"/>
        <w:spacing w:before="1"/>
      </w:pPr>
      <w:bookmarkStart w:id="27" w:name="_TOC_250012"/>
      <w:r>
        <w:t>Changing</w:t>
      </w:r>
      <w:r>
        <w:rPr>
          <w:spacing w:val="1"/>
        </w:rPr>
        <w:t xml:space="preserve"> </w:t>
      </w:r>
      <w:r>
        <w:t>the</w:t>
      </w:r>
      <w:r>
        <w:rPr>
          <w:spacing w:val="2"/>
        </w:rPr>
        <w:t xml:space="preserve"> </w:t>
      </w:r>
      <w:r>
        <w:t>duration</w:t>
      </w:r>
      <w:r>
        <w:rPr>
          <w:spacing w:val="-5"/>
        </w:rPr>
        <w:t xml:space="preserve"> </w:t>
      </w:r>
      <w:r>
        <w:t>of</w:t>
      </w:r>
      <w:bookmarkEnd w:id="27"/>
      <w:r>
        <w:rPr>
          <w:spacing w:val="-2"/>
        </w:rPr>
        <w:t xml:space="preserve"> exchange</w:t>
      </w:r>
    </w:p>
    <w:p w14:paraId="5CBC6149" w14:textId="77777777" w:rsidR="005E140F" w:rsidRDefault="005E140F">
      <w:pPr>
        <w:pStyle w:val="BodyText"/>
        <w:spacing w:before="3"/>
        <w:rPr>
          <w:b/>
          <w:sz w:val="30"/>
        </w:rPr>
      </w:pPr>
    </w:p>
    <w:p w14:paraId="41ED1140" w14:textId="77777777" w:rsidR="005E140F" w:rsidRDefault="00000000">
      <w:pPr>
        <w:pStyle w:val="Heading3"/>
        <w:spacing w:before="1"/>
      </w:pPr>
      <w:bookmarkStart w:id="28" w:name="_TOC_250011"/>
      <w:bookmarkEnd w:id="28"/>
      <w:r>
        <w:rPr>
          <w:color w:val="424242"/>
          <w:spacing w:val="-2"/>
        </w:rPr>
        <w:t>Extending</w:t>
      </w:r>
    </w:p>
    <w:p w14:paraId="3EBBA07D" w14:textId="77777777" w:rsidR="005E140F" w:rsidRDefault="00000000">
      <w:pPr>
        <w:pStyle w:val="BodyText"/>
        <w:spacing w:before="133" w:line="280" w:lineRule="auto"/>
        <w:ind w:left="863" w:right="1074"/>
      </w:pPr>
      <w:r>
        <w:t xml:space="preserve">Requests to extend an exchange from a single trimester to full academic year can rarely be </w:t>
      </w:r>
      <w:proofErr w:type="gramStart"/>
      <w:r>
        <w:t>accommodated, and</w:t>
      </w:r>
      <w:proofErr w:type="gramEnd"/>
      <w:r>
        <w:t xml:space="preserve"> must be requested as early as possible. Students must contact GMT for advice and initial approval in the first instance. If GMT provides approval to extend in principle, permission must</w:t>
      </w:r>
      <w:r>
        <w:rPr>
          <w:spacing w:val="40"/>
        </w:rPr>
        <w:t xml:space="preserve"> </w:t>
      </w:r>
      <w:r>
        <w:t>then be sought from the PL. Students may only seek approval from the HI to extend following the agreement from both the GMT and the PL.</w:t>
      </w:r>
    </w:p>
    <w:p w14:paraId="3F08A5E4" w14:textId="77777777" w:rsidR="005E140F" w:rsidRDefault="005E140F">
      <w:pPr>
        <w:pStyle w:val="BodyText"/>
        <w:spacing w:before="7"/>
        <w:rPr>
          <w:sz w:val="25"/>
        </w:rPr>
      </w:pPr>
    </w:p>
    <w:p w14:paraId="49D0E46F" w14:textId="77777777" w:rsidR="005E140F" w:rsidRDefault="00000000">
      <w:pPr>
        <w:pStyle w:val="Heading3"/>
      </w:pPr>
      <w:bookmarkStart w:id="29" w:name="_TOC_250010"/>
      <w:r>
        <w:rPr>
          <w:color w:val="424242"/>
        </w:rPr>
        <w:t>Reducing</w:t>
      </w:r>
      <w:r>
        <w:rPr>
          <w:color w:val="424242"/>
          <w:spacing w:val="4"/>
        </w:rPr>
        <w:t xml:space="preserve"> </w:t>
      </w:r>
      <w:r>
        <w:rPr>
          <w:color w:val="424242"/>
        </w:rPr>
        <w:t>from</w:t>
      </w:r>
      <w:r>
        <w:rPr>
          <w:color w:val="424242"/>
          <w:spacing w:val="2"/>
        </w:rPr>
        <w:t xml:space="preserve"> </w:t>
      </w:r>
      <w:r>
        <w:rPr>
          <w:color w:val="424242"/>
        </w:rPr>
        <w:t>full</w:t>
      </w:r>
      <w:r>
        <w:rPr>
          <w:color w:val="424242"/>
          <w:spacing w:val="2"/>
        </w:rPr>
        <w:t xml:space="preserve"> </w:t>
      </w:r>
      <w:r>
        <w:rPr>
          <w:color w:val="424242"/>
        </w:rPr>
        <w:t>year</w:t>
      </w:r>
      <w:r>
        <w:rPr>
          <w:color w:val="424242"/>
          <w:spacing w:val="4"/>
        </w:rPr>
        <w:t xml:space="preserve"> </w:t>
      </w:r>
      <w:r>
        <w:rPr>
          <w:color w:val="424242"/>
        </w:rPr>
        <w:t>exchange</w:t>
      </w:r>
      <w:r>
        <w:rPr>
          <w:color w:val="424242"/>
          <w:spacing w:val="3"/>
        </w:rPr>
        <w:t xml:space="preserve"> </w:t>
      </w:r>
      <w:r>
        <w:rPr>
          <w:color w:val="424242"/>
        </w:rPr>
        <w:t>to</w:t>
      </w:r>
      <w:r>
        <w:rPr>
          <w:color w:val="424242"/>
          <w:spacing w:val="1"/>
        </w:rPr>
        <w:t xml:space="preserve"> </w:t>
      </w:r>
      <w:r>
        <w:rPr>
          <w:color w:val="424242"/>
        </w:rPr>
        <w:t>single</w:t>
      </w:r>
      <w:r>
        <w:rPr>
          <w:color w:val="424242"/>
          <w:spacing w:val="2"/>
        </w:rPr>
        <w:t xml:space="preserve"> </w:t>
      </w:r>
      <w:bookmarkEnd w:id="29"/>
      <w:r>
        <w:rPr>
          <w:color w:val="424242"/>
          <w:spacing w:val="-2"/>
        </w:rPr>
        <w:t>semester</w:t>
      </w:r>
    </w:p>
    <w:p w14:paraId="6DD85089" w14:textId="77777777" w:rsidR="005E140F" w:rsidRDefault="00000000">
      <w:pPr>
        <w:pStyle w:val="BodyText"/>
        <w:spacing w:before="131" w:line="280" w:lineRule="auto"/>
        <w:ind w:left="863" w:right="967"/>
      </w:pPr>
      <w:r>
        <w:t>It</w:t>
      </w:r>
      <w:r>
        <w:rPr>
          <w:spacing w:val="20"/>
        </w:rPr>
        <w:t xml:space="preserve"> </w:t>
      </w:r>
      <w:r>
        <w:t>is</w:t>
      </w:r>
      <w:r>
        <w:rPr>
          <w:spacing w:val="18"/>
        </w:rPr>
        <w:t xml:space="preserve"> </w:t>
      </w:r>
      <w:r>
        <w:t>not</w:t>
      </w:r>
      <w:r>
        <w:rPr>
          <w:spacing w:val="20"/>
        </w:rPr>
        <w:t xml:space="preserve"> </w:t>
      </w:r>
      <w:r>
        <w:t>normally</w:t>
      </w:r>
      <w:r>
        <w:rPr>
          <w:spacing w:val="18"/>
        </w:rPr>
        <w:t xml:space="preserve"> </w:t>
      </w:r>
      <w:r>
        <w:t>permitted to</w:t>
      </w:r>
      <w:r>
        <w:rPr>
          <w:spacing w:val="19"/>
        </w:rPr>
        <w:t xml:space="preserve"> </w:t>
      </w:r>
      <w:r>
        <w:t>shorten an exchange</w:t>
      </w:r>
      <w:r>
        <w:rPr>
          <w:spacing w:val="19"/>
        </w:rPr>
        <w:t xml:space="preserve"> </w:t>
      </w:r>
      <w:r>
        <w:t>period,</w:t>
      </w:r>
      <w:r>
        <w:rPr>
          <w:spacing w:val="22"/>
        </w:rPr>
        <w:t xml:space="preserve"> </w:t>
      </w:r>
      <w:r>
        <w:t>as</w:t>
      </w:r>
      <w:r>
        <w:rPr>
          <w:spacing w:val="20"/>
        </w:rPr>
        <w:t xml:space="preserve"> </w:t>
      </w:r>
      <w:r>
        <w:t>an exchange is a</w:t>
      </w:r>
      <w:r>
        <w:rPr>
          <w:spacing w:val="19"/>
        </w:rPr>
        <w:t xml:space="preserve"> </w:t>
      </w:r>
      <w:r>
        <w:t>commitment which should</w:t>
      </w:r>
      <w:r>
        <w:rPr>
          <w:spacing w:val="23"/>
        </w:rPr>
        <w:t xml:space="preserve"> </w:t>
      </w:r>
      <w:r>
        <w:t>have</w:t>
      </w:r>
      <w:r>
        <w:rPr>
          <w:spacing w:val="20"/>
        </w:rPr>
        <w:t xml:space="preserve"> </w:t>
      </w:r>
      <w:r>
        <w:t>been</w:t>
      </w:r>
      <w:r>
        <w:rPr>
          <w:spacing w:val="15"/>
        </w:rPr>
        <w:t xml:space="preserve"> </w:t>
      </w:r>
      <w:r>
        <w:t>carefully</w:t>
      </w:r>
      <w:r>
        <w:rPr>
          <w:spacing w:val="19"/>
        </w:rPr>
        <w:t xml:space="preserve"> </w:t>
      </w:r>
      <w:r>
        <w:t>considered</w:t>
      </w:r>
      <w:r>
        <w:rPr>
          <w:spacing w:val="17"/>
        </w:rPr>
        <w:t xml:space="preserve"> </w:t>
      </w:r>
      <w:r>
        <w:t>prior</w:t>
      </w:r>
      <w:r>
        <w:rPr>
          <w:spacing w:val="20"/>
        </w:rPr>
        <w:t xml:space="preserve"> </w:t>
      </w:r>
      <w:r>
        <w:t>to</w:t>
      </w:r>
      <w:r>
        <w:rPr>
          <w:spacing w:val="17"/>
        </w:rPr>
        <w:t xml:space="preserve"> </w:t>
      </w:r>
      <w:r>
        <w:t>applying</w:t>
      </w:r>
      <w:r>
        <w:rPr>
          <w:spacing w:val="22"/>
        </w:rPr>
        <w:t xml:space="preserve"> </w:t>
      </w:r>
      <w:r>
        <w:t>in</w:t>
      </w:r>
      <w:r>
        <w:rPr>
          <w:spacing w:val="23"/>
        </w:rPr>
        <w:t xml:space="preserve"> </w:t>
      </w:r>
      <w:r>
        <w:t>the</w:t>
      </w:r>
      <w:r>
        <w:rPr>
          <w:spacing w:val="23"/>
        </w:rPr>
        <w:t xml:space="preserve"> </w:t>
      </w:r>
      <w:r>
        <w:t>first</w:t>
      </w:r>
      <w:r>
        <w:rPr>
          <w:spacing w:val="15"/>
        </w:rPr>
        <w:t xml:space="preserve"> </w:t>
      </w:r>
      <w:r>
        <w:t>place.</w:t>
      </w:r>
      <w:r>
        <w:rPr>
          <w:spacing w:val="22"/>
        </w:rPr>
        <w:t xml:space="preserve"> </w:t>
      </w:r>
      <w:r>
        <w:t>Students</w:t>
      </w:r>
      <w:r>
        <w:rPr>
          <w:spacing w:val="22"/>
        </w:rPr>
        <w:t xml:space="preserve"> </w:t>
      </w:r>
      <w:r>
        <w:t>experiencing</w:t>
      </w:r>
      <w:r>
        <w:rPr>
          <w:spacing w:val="19"/>
        </w:rPr>
        <w:t xml:space="preserve"> </w:t>
      </w:r>
      <w:r>
        <w:t>issues on exchange should first speak to a member of the GMT who is experienced in helping students navigate through</w:t>
      </w:r>
      <w:r>
        <w:rPr>
          <w:spacing w:val="18"/>
        </w:rPr>
        <w:t xml:space="preserve"> </w:t>
      </w:r>
      <w:r>
        <w:t>a</w:t>
      </w:r>
      <w:r>
        <w:rPr>
          <w:spacing w:val="24"/>
        </w:rPr>
        <w:t xml:space="preserve"> </w:t>
      </w:r>
      <w:r>
        <w:t>variety</w:t>
      </w:r>
      <w:r>
        <w:rPr>
          <w:spacing w:val="19"/>
        </w:rPr>
        <w:t xml:space="preserve"> </w:t>
      </w:r>
      <w:r>
        <w:t>of</w:t>
      </w:r>
      <w:r>
        <w:rPr>
          <w:spacing w:val="21"/>
        </w:rPr>
        <w:t xml:space="preserve"> </w:t>
      </w:r>
      <w:r>
        <w:t>issues</w:t>
      </w:r>
      <w:r>
        <w:rPr>
          <w:spacing w:val="19"/>
        </w:rPr>
        <w:t xml:space="preserve"> </w:t>
      </w:r>
      <w:r>
        <w:t>related to</w:t>
      </w:r>
      <w:r>
        <w:rPr>
          <w:spacing w:val="21"/>
        </w:rPr>
        <w:t xml:space="preserve"> </w:t>
      </w:r>
      <w:r>
        <w:t>studying</w:t>
      </w:r>
      <w:r>
        <w:rPr>
          <w:spacing w:val="19"/>
        </w:rPr>
        <w:t xml:space="preserve"> </w:t>
      </w:r>
      <w:r>
        <w:t>overseas.</w:t>
      </w:r>
      <w:r>
        <w:rPr>
          <w:spacing w:val="22"/>
        </w:rPr>
        <w:t xml:space="preserve"> </w:t>
      </w:r>
      <w:r>
        <w:t>If</w:t>
      </w:r>
      <w:r>
        <w:rPr>
          <w:spacing w:val="24"/>
        </w:rPr>
        <w:t xml:space="preserve"> </w:t>
      </w:r>
      <w:r>
        <w:t>the</w:t>
      </w:r>
      <w:r>
        <w:rPr>
          <w:spacing w:val="18"/>
        </w:rPr>
        <w:t xml:space="preserve"> </w:t>
      </w:r>
      <w:r>
        <w:t>concerns</w:t>
      </w:r>
      <w:r>
        <w:rPr>
          <w:spacing w:val="22"/>
        </w:rPr>
        <w:t xml:space="preserve"> </w:t>
      </w:r>
      <w:r>
        <w:t>are</w:t>
      </w:r>
      <w:r>
        <w:rPr>
          <w:spacing w:val="21"/>
        </w:rPr>
        <w:t xml:space="preserve"> </w:t>
      </w:r>
      <w:r>
        <w:t>academic-related,</w:t>
      </w:r>
      <w:r>
        <w:rPr>
          <w:spacing w:val="19"/>
        </w:rPr>
        <w:t xml:space="preserve"> </w:t>
      </w:r>
      <w:r>
        <w:t>they should</w:t>
      </w:r>
      <w:r>
        <w:rPr>
          <w:spacing w:val="18"/>
        </w:rPr>
        <w:t xml:space="preserve"> </w:t>
      </w:r>
      <w:r>
        <w:t>be</w:t>
      </w:r>
      <w:r>
        <w:rPr>
          <w:spacing w:val="20"/>
        </w:rPr>
        <w:t xml:space="preserve"> </w:t>
      </w:r>
      <w:r>
        <w:t>discussed</w:t>
      </w:r>
      <w:r>
        <w:rPr>
          <w:spacing w:val="15"/>
        </w:rPr>
        <w:t xml:space="preserve"> </w:t>
      </w:r>
      <w:r>
        <w:t>with</w:t>
      </w:r>
      <w:r>
        <w:rPr>
          <w:spacing w:val="15"/>
        </w:rPr>
        <w:t xml:space="preserve"> </w:t>
      </w:r>
      <w:r>
        <w:t>the</w:t>
      </w:r>
      <w:r>
        <w:rPr>
          <w:spacing w:val="20"/>
        </w:rPr>
        <w:t xml:space="preserve"> </w:t>
      </w:r>
      <w:r>
        <w:t>PL.</w:t>
      </w:r>
      <w:r>
        <w:rPr>
          <w:spacing w:val="16"/>
        </w:rPr>
        <w:t xml:space="preserve"> </w:t>
      </w:r>
      <w:r>
        <w:t>If</w:t>
      </w:r>
      <w:r>
        <w:rPr>
          <w:spacing w:val="15"/>
        </w:rPr>
        <w:t xml:space="preserve"> </w:t>
      </w:r>
      <w:r>
        <w:t>a</w:t>
      </w:r>
      <w:r>
        <w:rPr>
          <w:spacing w:val="18"/>
        </w:rPr>
        <w:t xml:space="preserve"> </w:t>
      </w:r>
      <w:r>
        <w:t>student</w:t>
      </w:r>
      <w:r>
        <w:rPr>
          <w:spacing w:val="15"/>
        </w:rPr>
        <w:t xml:space="preserve"> </w:t>
      </w:r>
      <w:r>
        <w:t>returns</w:t>
      </w:r>
      <w:r>
        <w:rPr>
          <w:spacing w:val="14"/>
        </w:rPr>
        <w:t xml:space="preserve"> </w:t>
      </w:r>
      <w:r>
        <w:t>from</w:t>
      </w:r>
      <w:r>
        <w:rPr>
          <w:spacing w:val="18"/>
        </w:rPr>
        <w:t xml:space="preserve"> </w:t>
      </w:r>
      <w:r>
        <w:t>a</w:t>
      </w:r>
      <w:r>
        <w:rPr>
          <w:spacing w:val="18"/>
        </w:rPr>
        <w:t xml:space="preserve"> </w:t>
      </w:r>
      <w:r>
        <w:t>full</w:t>
      </w:r>
      <w:r>
        <w:rPr>
          <w:spacing w:val="11"/>
        </w:rPr>
        <w:t xml:space="preserve"> </w:t>
      </w:r>
      <w:r>
        <w:t>year</w:t>
      </w:r>
      <w:r>
        <w:rPr>
          <w:spacing w:val="15"/>
        </w:rPr>
        <w:t xml:space="preserve"> </w:t>
      </w:r>
      <w:r>
        <w:t>exchange</w:t>
      </w:r>
      <w:r>
        <w:rPr>
          <w:spacing w:val="18"/>
        </w:rPr>
        <w:t xml:space="preserve"> </w:t>
      </w:r>
      <w:r>
        <w:t>after only</w:t>
      </w:r>
      <w:r>
        <w:rPr>
          <w:spacing w:val="14"/>
        </w:rPr>
        <w:t xml:space="preserve"> </w:t>
      </w:r>
      <w:r>
        <w:t>one</w:t>
      </w:r>
      <w:r>
        <w:rPr>
          <w:spacing w:val="12"/>
        </w:rPr>
        <w:t xml:space="preserve"> </w:t>
      </w:r>
      <w:r>
        <w:t>semester, it should be noted that there might be financial and/or academic implications and early notification to</w:t>
      </w:r>
      <w:r>
        <w:rPr>
          <w:spacing w:val="40"/>
        </w:rPr>
        <w:t xml:space="preserve"> </w:t>
      </w:r>
      <w:r>
        <w:t>ENU and the HI of problems will allow staff to offer assistance, which may help to resolve the situation</w:t>
      </w:r>
      <w:r>
        <w:rPr>
          <w:spacing w:val="80"/>
        </w:rPr>
        <w:t xml:space="preserve"> </w:t>
      </w:r>
      <w:r>
        <w:t>and avoid such repercussions.</w:t>
      </w:r>
    </w:p>
    <w:p w14:paraId="1E968C49" w14:textId="77777777" w:rsidR="005E140F" w:rsidRDefault="005E140F">
      <w:pPr>
        <w:pStyle w:val="BodyText"/>
        <w:spacing w:before="3"/>
        <w:rPr>
          <w:sz w:val="29"/>
        </w:rPr>
      </w:pPr>
    </w:p>
    <w:p w14:paraId="10909162" w14:textId="77777777" w:rsidR="005E140F" w:rsidRDefault="00000000">
      <w:pPr>
        <w:pStyle w:val="Heading2"/>
      </w:pPr>
      <w:bookmarkStart w:id="30" w:name="_TOC_250009"/>
      <w:r>
        <w:t>Withdrawing</w:t>
      </w:r>
      <w:r>
        <w:rPr>
          <w:spacing w:val="-1"/>
        </w:rPr>
        <w:t xml:space="preserve"> </w:t>
      </w:r>
      <w:r>
        <w:t>during</w:t>
      </w:r>
      <w:bookmarkEnd w:id="30"/>
      <w:r>
        <w:rPr>
          <w:spacing w:val="-2"/>
        </w:rPr>
        <w:t xml:space="preserve"> exchange</w:t>
      </w:r>
    </w:p>
    <w:p w14:paraId="15260D4F" w14:textId="77777777" w:rsidR="005E140F" w:rsidRDefault="00000000">
      <w:pPr>
        <w:pStyle w:val="BodyText"/>
        <w:spacing w:before="177" w:line="280" w:lineRule="auto"/>
        <w:ind w:left="863" w:right="1074"/>
      </w:pPr>
      <w:r>
        <w:t>Withdrawing after starting (but not completing) an exchange has serious implications. Students must inform the GMT, HI, and PL immediately to allow for measures to try to resolve any issues. Withdrawing from exchange without completing an academic period may have significant financial, academic and possibly visa implications.</w:t>
      </w:r>
    </w:p>
    <w:p w14:paraId="6FD945B8" w14:textId="77777777" w:rsidR="005E140F" w:rsidRDefault="005E140F">
      <w:pPr>
        <w:spacing w:line="280" w:lineRule="auto"/>
        <w:sectPr w:rsidR="005E140F">
          <w:pgSz w:w="11910" w:h="16840"/>
          <w:pgMar w:top="1040" w:right="460" w:bottom="1600" w:left="540" w:header="0" w:footer="1408" w:gutter="0"/>
          <w:cols w:space="720"/>
        </w:sectPr>
      </w:pPr>
    </w:p>
    <w:p w14:paraId="7D54A29E" w14:textId="77777777" w:rsidR="005E140F" w:rsidRDefault="005E140F">
      <w:pPr>
        <w:pStyle w:val="BodyText"/>
        <w:spacing w:before="6"/>
        <w:rPr>
          <w:sz w:val="8"/>
        </w:rPr>
      </w:pPr>
    </w:p>
    <w:p w14:paraId="32EF947D" w14:textId="139E1F50" w:rsidR="005E140F" w:rsidRDefault="00000000">
      <w:pPr>
        <w:spacing w:before="95"/>
        <w:ind w:left="103"/>
        <w:rPr>
          <w:rFonts w:ascii="Arial MT"/>
          <w:sz w:val="23"/>
        </w:rPr>
      </w:pPr>
      <w:r>
        <w:rPr>
          <w:rFonts w:ascii="Arial MT"/>
          <w:color w:val="FFFFFF"/>
          <w:spacing w:val="-5"/>
          <w:sz w:val="23"/>
        </w:rPr>
        <w:t>18</w:t>
      </w:r>
    </w:p>
    <w:p w14:paraId="2C205A73" w14:textId="77777777" w:rsidR="005E140F" w:rsidRDefault="005E140F">
      <w:pPr>
        <w:pStyle w:val="BodyText"/>
        <w:rPr>
          <w:rFonts w:ascii="Arial MT"/>
          <w:sz w:val="20"/>
        </w:rPr>
      </w:pPr>
    </w:p>
    <w:p w14:paraId="703ABBDA" w14:textId="77777777" w:rsidR="005E140F" w:rsidRDefault="005E140F">
      <w:pPr>
        <w:pStyle w:val="BodyText"/>
        <w:spacing w:before="7"/>
        <w:rPr>
          <w:rFonts w:ascii="Arial MT"/>
          <w:sz w:val="28"/>
        </w:rPr>
      </w:pPr>
    </w:p>
    <w:p w14:paraId="18457E61" w14:textId="77777777" w:rsidR="005E140F" w:rsidRDefault="00000000">
      <w:pPr>
        <w:pStyle w:val="Heading2"/>
        <w:spacing w:before="38"/>
      </w:pPr>
      <w:bookmarkStart w:id="31" w:name="_TOC_250008"/>
      <w:r>
        <w:t>Safety and</w:t>
      </w:r>
      <w:r>
        <w:rPr>
          <w:spacing w:val="-1"/>
        </w:rPr>
        <w:t xml:space="preserve"> </w:t>
      </w:r>
      <w:r>
        <w:t>emergency</w:t>
      </w:r>
      <w:r>
        <w:rPr>
          <w:spacing w:val="1"/>
        </w:rPr>
        <w:t xml:space="preserve"> </w:t>
      </w:r>
      <w:r>
        <w:t>whilst</w:t>
      </w:r>
      <w:r>
        <w:rPr>
          <w:spacing w:val="-1"/>
        </w:rPr>
        <w:t xml:space="preserve"> </w:t>
      </w:r>
      <w:r>
        <w:t>on</w:t>
      </w:r>
      <w:r>
        <w:rPr>
          <w:spacing w:val="-3"/>
        </w:rPr>
        <w:t xml:space="preserve"> </w:t>
      </w:r>
      <w:bookmarkEnd w:id="31"/>
      <w:r>
        <w:rPr>
          <w:spacing w:val="-2"/>
        </w:rPr>
        <w:t>exchange</w:t>
      </w:r>
    </w:p>
    <w:p w14:paraId="3D0DFD2B" w14:textId="77777777" w:rsidR="005E140F" w:rsidRDefault="005E140F">
      <w:pPr>
        <w:pStyle w:val="BodyText"/>
        <w:spacing w:before="4"/>
        <w:rPr>
          <w:b/>
          <w:sz w:val="30"/>
        </w:rPr>
      </w:pPr>
    </w:p>
    <w:p w14:paraId="5CB641B9" w14:textId="77777777" w:rsidR="005E140F" w:rsidRDefault="00000000">
      <w:pPr>
        <w:pStyle w:val="Heading3"/>
      </w:pPr>
      <w:bookmarkStart w:id="32" w:name="_TOC_250007"/>
      <w:r>
        <w:rPr>
          <w:color w:val="424242"/>
        </w:rPr>
        <w:t>Personal</w:t>
      </w:r>
      <w:r>
        <w:rPr>
          <w:color w:val="424242"/>
          <w:spacing w:val="3"/>
        </w:rPr>
        <w:t xml:space="preserve"> </w:t>
      </w:r>
      <w:r>
        <w:rPr>
          <w:color w:val="424242"/>
        </w:rPr>
        <w:t>details,</w:t>
      </w:r>
      <w:r>
        <w:rPr>
          <w:color w:val="424242"/>
          <w:spacing w:val="3"/>
        </w:rPr>
        <w:t xml:space="preserve"> </w:t>
      </w:r>
      <w:r>
        <w:rPr>
          <w:color w:val="424242"/>
        </w:rPr>
        <w:t>emergency</w:t>
      </w:r>
      <w:r>
        <w:rPr>
          <w:color w:val="424242"/>
          <w:spacing w:val="2"/>
        </w:rPr>
        <w:t xml:space="preserve"> </w:t>
      </w:r>
      <w:r>
        <w:rPr>
          <w:color w:val="424242"/>
        </w:rPr>
        <w:t>contacts,</w:t>
      </w:r>
      <w:r>
        <w:rPr>
          <w:color w:val="424242"/>
          <w:spacing w:val="3"/>
        </w:rPr>
        <w:t xml:space="preserve"> </w:t>
      </w:r>
      <w:r>
        <w:rPr>
          <w:color w:val="424242"/>
        </w:rPr>
        <w:t>and</w:t>
      </w:r>
      <w:r>
        <w:rPr>
          <w:color w:val="424242"/>
          <w:spacing w:val="6"/>
        </w:rPr>
        <w:t xml:space="preserve"> </w:t>
      </w:r>
      <w:r>
        <w:rPr>
          <w:color w:val="424242"/>
        </w:rPr>
        <w:t>reporting</w:t>
      </w:r>
      <w:r>
        <w:rPr>
          <w:color w:val="424242"/>
          <w:spacing w:val="7"/>
        </w:rPr>
        <w:t xml:space="preserve"> </w:t>
      </w:r>
      <w:bookmarkEnd w:id="32"/>
      <w:r>
        <w:rPr>
          <w:color w:val="424242"/>
          <w:spacing w:val="-2"/>
        </w:rPr>
        <w:t>problems</w:t>
      </w:r>
    </w:p>
    <w:p w14:paraId="57042DA6" w14:textId="77777777" w:rsidR="005E140F" w:rsidRDefault="00000000">
      <w:pPr>
        <w:pStyle w:val="BodyText"/>
        <w:spacing w:before="136" w:line="280" w:lineRule="auto"/>
        <w:ind w:left="863" w:right="1074"/>
      </w:pPr>
      <w:r>
        <w:t xml:space="preserve">Students must update their contact details as soon as possible on arrival on exchange through the </w:t>
      </w:r>
      <w:proofErr w:type="spellStart"/>
      <w:r>
        <w:t>eStudent</w:t>
      </w:r>
      <w:proofErr w:type="spellEnd"/>
      <w:r>
        <w:t xml:space="preserve"> </w:t>
      </w:r>
      <w:proofErr w:type="gramStart"/>
      <w:r>
        <w:t>record, and</w:t>
      </w:r>
      <w:proofErr w:type="gramEnd"/>
      <w:r>
        <w:t xml:space="preserve"> must check their ENU student email at least once per week, actioning any requests timeously. All correspondence with ENU must be through the student’s ENU email account.</w:t>
      </w:r>
    </w:p>
    <w:p w14:paraId="5658122B" w14:textId="77777777" w:rsidR="005E140F" w:rsidRDefault="005E140F">
      <w:pPr>
        <w:pStyle w:val="BodyText"/>
        <w:spacing w:before="7"/>
        <w:rPr>
          <w:sz w:val="24"/>
        </w:rPr>
      </w:pPr>
    </w:p>
    <w:p w14:paraId="0BBDE5CC" w14:textId="77777777" w:rsidR="005E140F" w:rsidRDefault="00000000">
      <w:pPr>
        <w:pStyle w:val="BodyText"/>
        <w:spacing w:line="280" w:lineRule="auto"/>
        <w:ind w:left="863" w:right="927"/>
      </w:pPr>
      <w:r>
        <w:t>The</w:t>
      </w:r>
      <w:r>
        <w:rPr>
          <w:spacing w:val="26"/>
        </w:rPr>
        <w:t xml:space="preserve"> </w:t>
      </w:r>
      <w:r>
        <w:t>GMT</w:t>
      </w:r>
      <w:r>
        <w:rPr>
          <w:spacing w:val="20"/>
        </w:rPr>
        <w:t xml:space="preserve"> </w:t>
      </w:r>
      <w:r>
        <w:t>will</w:t>
      </w:r>
      <w:r>
        <w:rPr>
          <w:spacing w:val="26"/>
        </w:rPr>
        <w:t xml:space="preserve"> </w:t>
      </w:r>
      <w:r>
        <w:t>contact</w:t>
      </w:r>
      <w:r>
        <w:rPr>
          <w:spacing w:val="20"/>
        </w:rPr>
        <w:t xml:space="preserve"> </w:t>
      </w:r>
      <w:r>
        <w:t>students</w:t>
      </w:r>
      <w:r>
        <w:rPr>
          <w:spacing w:val="22"/>
        </w:rPr>
        <w:t xml:space="preserve"> </w:t>
      </w:r>
      <w:r>
        <w:t>periodically</w:t>
      </w:r>
      <w:r>
        <w:rPr>
          <w:spacing w:val="22"/>
        </w:rPr>
        <w:t xml:space="preserve"> </w:t>
      </w:r>
      <w:r>
        <w:t>with</w:t>
      </w:r>
      <w:r>
        <w:rPr>
          <w:spacing w:val="23"/>
        </w:rPr>
        <w:t xml:space="preserve"> </w:t>
      </w:r>
      <w:r>
        <w:t>updates</w:t>
      </w:r>
      <w:r>
        <w:rPr>
          <w:spacing w:val="22"/>
        </w:rPr>
        <w:t xml:space="preserve"> </w:t>
      </w:r>
      <w:r>
        <w:t>and</w:t>
      </w:r>
      <w:r>
        <w:rPr>
          <w:spacing w:val="23"/>
        </w:rPr>
        <w:t xml:space="preserve"> </w:t>
      </w:r>
      <w:r>
        <w:t>reminders</w:t>
      </w:r>
      <w:r>
        <w:rPr>
          <w:spacing w:val="19"/>
        </w:rPr>
        <w:t xml:space="preserve"> </w:t>
      </w:r>
      <w:r>
        <w:t>via</w:t>
      </w:r>
      <w:r>
        <w:rPr>
          <w:spacing w:val="19"/>
        </w:rPr>
        <w:t xml:space="preserve"> </w:t>
      </w:r>
      <w:r>
        <w:t>email</w:t>
      </w:r>
      <w:r>
        <w:rPr>
          <w:spacing w:val="19"/>
        </w:rPr>
        <w:t xml:space="preserve"> </w:t>
      </w:r>
      <w:r>
        <w:t>and</w:t>
      </w:r>
      <w:r>
        <w:rPr>
          <w:spacing w:val="23"/>
        </w:rPr>
        <w:t xml:space="preserve"> </w:t>
      </w:r>
      <w:r>
        <w:t>announcements on the</w:t>
      </w:r>
      <w:r>
        <w:rPr>
          <w:spacing w:val="18"/>
        </w:rPr>
        <w:t xml:space="preserve"> </w:t>
      </w:r>
      <w:r>
        <w:t>Study</w:t>
      </w:r>
      <w:r>
        <w:rPr>
          <w:spacing w:val="22"/>
        </w:rPr>
        <w:t xml:space="preserve"> </w:t>
      </w:r>
      <w:r>
        <w:t>Abroad</w:t>
      </w:r>
      <w:r>
        <w:rPr>
          <w:spacing w:val="18"/>
        </w:rPr>
        <w:t xml:space="preserve"> </w:t>
      </w:r>
      <w:r>
        <w:t>Moodle</w:t>
      </w:r>
      <w:r>
        <w:rPr>
          <w:spacing w:val="21"/>
        </w:rPr>
        <w:t xml:space="preserve"> </w:t>
      </w:r>
      <w:r>
        <w:t>page. Students are expected</w:t>
      </w:r>
      <w:r>
        <w:rPr>
          <w:spacing w:val="21"/>
        </w:rPr>
        <w:t xml:space="preserve"> </w:t>
      </w:r>
      <w:r>
        <w:t>to</w:t>
      </w:r>
      <w:r>
        <w:rPr>
          <w:spacing w:val="21"/>
        </w:rPr>
        <w:t xml:space="preserve"> </w:t>
      </w:r>
      <w:r>
        <w:t>check</w:t>
      </w:r>
      <w:r>
        <w:rPr>
          <w:spacing w:val="18"/>
        </w:rPr>
        <w:t xml:space="preserve"> </w:t>
      </w:r>
      <w:r>
        <w:t>their</w:t>
      </w:r>
      <w:r>
        <w:rPr>
          <w:spacing w:val="18"/>
        </w:rPr>
        <w:t xml:space="preserve"> </w:t>
      </w:r>
      <w:r>
        <w:t>ENU email</w:t>
      </w:r>
      <w:r>
        <w:rPr>
          <w:spacing w:val="17"/>
        </w:rPr>
        <w:t xml:space="preserve"> </w:t>
      </w:r>
      <w:r>
        <w:t>and</w:t>
      </w:r>
      <w:r>
        <w:rPr>
          <w:spacing w:val="18"/>
        </w:rPr>
        <w:t xml:space="preserve"> </w:t>
      </w:r>
      <w:r>
        <w:t>the</w:t>
      </w:r>
      <w:r>
        <w:rPr>
          <w:spacing w:val="18"/>
        </w:rPr>
        <w:t xml:space="preserve"> </w:t>
      </w:r>
      <w:r>
        <w:t xml:space="preserve">Study Abroad Moodle page at least once per week. The PL/PDT should also be in contact with students at least twice per semester. Students must notify the GMT and the host institution immediately if any incidents occur that impact personal safety/wellbeing. If they are struggling academically, they must let their PL </w:t>
      </w:r>
      <w:r>
        <w:rPr>
          <w:spacing w:val="-2"/>
        </w:rPr>
        <w:t>know.</w:t>
      </w:r>
    </w:p>
    <w:p w14:paraId="0F258559" w14:textId="77777777" w:rsidR="005E140F" w:rsidRDefault="005E140F">
      <w:pPr>
        <w:pStyle w:val="BodyText"/>
        <w:rPr>
          <w:sz w:val="25"/>
        </w:rPr>
      </w:pPr>
    </w:p>
    <w:p w14:paraId="2D7970B0" w14:textId="77777777" w:rsidR="005E140F" w:rsidRDefault="00000000">
      <w:pPr>
        <w:pStyle w:val="BodyText"/>
        <w:spacing w:line="280" w:lineRule="auto"/>
        <w:ind w:left="863" w:right="1074"/>
      </w:pPr>
      <w:r>
        <w:t xml:space="preserve">The GMT reserves the right to use emergency contacts from the Travel Risk Assessment, </w:t>
      </w:r>
      <w:proofErr w:type="spellStart"/>
      <w:r>
        <w:t>GardaWorld</w:t>
      </w:r>
      <w:proofErr w:type="spellEnd"/>
      <w:r>
        <w:t xml:space="preserve">, </w:t>
      </w:r>
      <w:proofErr w:type="spellStart"/>
      <w:r>
        <w:t>eStudent</w:t>
      </w:r>
      <w:proofErr w:type="spellEnd"/>
      <w:r>
        <w:t xml:space="preserve"> records if there is any concern regarding a student’s wellbeing. This may include sharing personal details in the best interests of the student, in line with ENU safeguarding imperatives.</w:t>
      </w:r>
    </w:p>
    <w:p w14:paraId="26E4E31C" w14:textId="77777777" w:rsidR="005E140F" w:rsidRDefault="005E140F">
      <w:pPr>
        <w:pStyle w:val="BodyText"/>
        <w:spacing w:before="5"/>
        <w:rPr>
          <w:sz w:val="25"/>
        </w:rPr>
      </w:pPr>
    </w:p>
    <w:p w14:paraId="35E9747A" w14:textId="77777777" w:rsidR="005E140F" w:rsidRDefault="00000000">
      <w:pPr>
        <w:pStyle w:val="Heading3"/>
      </w:pPr>
      <w:bookmarkStart w:id="33" w:name="_TOC_250006"/>
      <w:bookmarkEnd w:id="33"/>
      <w:r>
        <w:rPr>
          <w:color w:val="424242"/>
          <w:spacing w:val="-2"/>
        </w:rPr>
        <w:t>Insurance</w:t>
      </w:r>
    </w:p>
    <w:p w14:paraId="582634DA" w14:textId="77777777" w:rsidR="005E140F" w:rsidRDefault="00000000">
      <w:pPr>
        <w:pStyle w:val="BodyText"/>
        <w:spacing w:before="136" w:line="280" w:lineRule="auto"/>
        <w:ind w:left="863" w:right="1157"/>
      </w:pPr>
      <w:r>
        <w:t xml:space="preserve">Students must be covered by appropriate insurance during the exchange period and are required to </w:t>
      </w:r>
      <w:proofErr w:type="gramStart"/>
      <w:r>
        <w:t>carry Insurance and ENU emergency contact details on their person at all times</w:t>
      </w:r>
      <w:proofErr w:type="gramEnd"/>
      <w:r>
        <w:t>. Please see ‘Before the exchange’ ‘Insurance and Risk’ section for further information</w:t>
      </w:r>
    </w:p>
    <w:p w14:paraId="4CC66271" w14:textId="77777777" w:rsidR="005E140F" w:rsidRDefault="005E140F">
      <w:pPr>
        <w:pStyle w:val="BodyText"/>
        <w:spacing w:before="7"/>
        <w:rPr>
          <w:sz w:val="24"/>
        </w:rPr>
      </w:pPr>
    </w:p>
    <w:p w14:paraId="71BB5B52" w14:textId="77777777" w:rsidR="005E140F" w:rsidRDefault="00000000">
      <w:pPr>
        <w:pStyle w:val="BodyText"/>
        <w:spacing w:line="280" w:lineRule="auto"/>
        <w:ind w:left="863" w:right="1135"/>
      </w:pPr>
      <w:r>
        <w:t>If students undertake personal travel before, during or after the exchange period they may not be covered for this by standard insurance. It is a students’ responsibility to ensure that insurance is arranged to provide any additional cover needed for these activities. Personal travel is at a student’s discretion, and students are strongly encouraged to let family/friends know of any itineraries and contact details.</w:t>
      </w:r>
    </w:p>
    <w:p w14:paraId="3BAB4390" w14:textId="77777777" w:rsidR="005E140F" w:rsidRDefault="005E140F">
      <w:pPr>
        <w:pStyle w:val="BodyText"/>
        <w:spacing w:before="7"/>
        <w:rPr>
          <w:sz w:val="25"/>
        </w:rPr>
      </w:pPr>
    </w:p>
    <w:p w14:paraId="344BBF02" w14:textId="77777777" w:rsidR="005E140F" w:rsidRDefault="00000000">
      <w:pPr>
        <w:pStyle w:val="Heading3"/>
        <w:spacing w:before="1"/>
      </w:pPr>
      <w:bookmarkStart w:id="34" w:name="_TOC_250005"/>
      <w:r>
        <w:rPr>
          <w:color w:val="424242"/>
        </w:rPr>
        <w:t>Adhering</w:t>
      </w:r>
      <w:r>
        <w:rPr>
          <w:color w:val="424242"/>
          <w:spacing w:val="2"/>
        </w:rPr>
        <w:t xml:space="preserve"> </w:t>
      </w:r>
      <w:r>
        <w:rPr>
          <w:color w:val="424242"/>
        </w:rPr>
        <w:t>to</w:t>
      </w:r>
      <w:r>
        <w:rPr>
          <w:color w:val="424242"/>
          <w:spacing w:val="4"/>
        </w:rPr>
        <w:t xml:space="preserve"> </w:t>
      </w:r>
      <w:r>
        <w:rPr>
          <w:color w:val="424242"/>
        </w:rPr>
        <w:t>laws,</w:t>
      </w:r>
      <w:r>
        <w:rPr>
          <w:color w:val="424242"/>
          <w:spacing w:val="1"/>
        </w:rPr>
        <w:t xml:space="preserve"> </w:t>
      </w:r>
      <w:r>
        <w:rPr>
          <w:color w:val="424242"/>
        </w:rPr>
        <w:t>requirements</w:t>
      </w:r>
      <w:r>
        <w:rPr>
          <w:color w:val="424242"/>
          <w:spacing w:val="5"/>
        </w:rPr>
        <w:t xml:space="preserve"> </w:t>
      </w:r>
      <w:r>
        <w:rPr>
          <w:color w:val="424242"/>
        </w:rPr>
        <w:t>and</w:t>
      </w:r>
      <w:r>
        <w:rPr>
          <w:color w:val="424242"/>
          <w:spacing w:val="5"/>
        </w:rPr>
        <w:t xml:space="preserve"> </w:t>
      </w:r>
      <w:bookmarkEnd w:id="34"/>
      <w:r>
        <w:rPr>
          <w:color w:val="424242"/>
          <w:spacing w:val="-2"/>
        </w:rPr>
        <w:t>customs</w:t>
      </w:r>
    </w:p>
    <w:p w14:paraId="58EB8571" w14:textId="77777777" w:rsidR="005E140F" w:rsidRDefault="00000000">
      <w:pPr>
        <w:pStyle w:val="BodyText"/>
        <w:spacing w:before="133" w:line="280" w:lineRule="auto"/>
        <w:ind w:left="863" w:right="1074"/>
      </w:pPr>
      <w:r>
        <w:t>Students need to adhere to the laws of their host country and the policies of their host institution. It is their responsibility to research these in advance and understand them.</w:t>
      </w:r>
    </w:p>
    <w:p w14:paraId="5E6B3876" w14:textId="77777777" w:rsidR="005E140F" w:rsidRDefault="005E140F">
      <w:pPr>
        <w:pStyle w:val="BodyText"/>
        <w:spacing w:before="9"/>
        <w:rPr>
          <w:sz w:val="24"/>
        </w:rPr>
      </w:pPr>
    </w:p>
    <w:p w14:paraId="5261DCBC" w14:textId="77777777" w:rsidR="005E140F" w:rsidRDefault="00000000">
      <w:pPr>
        <w:pStyle w:val="BodyText"/>
        <w:spacing w:line="280" w:lineRule="auto"/>
        <w:ind w:left="863" w:right="1221"/>
        <w:jc w:val="both"/>
      </w:pPr>
      <w:r>
        <w:t xml:space="preserve">In extraordinary circumstances, if students do not fully engage with the academic expectations of the exchange their case will be escalated within their School and the student may be withdrawn from the exchange and/or degree </w:t>
      </w:r>
      <w:proofErr w:type="spellStart"/>
      <w:r>
        <w:t>programme</w:t>
      </w:r>
      <w:proofErr w:type="spellEnd"/>
      <w:r>
        <w:t>.</w:t>
      </w:r>
    </w:p>
    <w:p w14:paraId="0F5DF849" w14:textId="77777777" w:rsidR="005E140F" w:rsidRDefault="005E140F">
      <w:pPr>
        <w:spacing w:line="280" w:lineRule="auto"/>
        <w:jc w:val="both"/>
        <w:sectPr w:rsidR="005E140F">
          <w:pgSz w:w="11910" w:h="16840"/>
          <w:pgMar w:top="1040" w:right="460" w:bottom="1600" w:left="540" w:header="0" w:footer="1408" w:gutter="0"/>
          <w:cols w:space="720"/>
        </w:sectPr>
      </w:pPr>
    </w:p>
    <w:p w14:paraId="230AAFC9" w14:textId="77777777" w:rsidR="005E140F" w:rsidRDefault="005E140F">
      <w:pPr>
        <w:pStyle w:val="BodyText"/>
        <w:spacing w:before="6"/>
        <w:rPr>
          <w:sz w:val="8"/>
        </w:rPr>
      </w:pPr>
    </w:p>
    <w:p w14:paraId="4D78FEE9" w14:textId="77777777" w:rsidR="005E140F" w:rsidRDefault="005E140F">
      <w:pPr>
        <w:pStyle w:val="BodyText"/>
        <w:rPr>
          <w:rFonts w:ascii="Arial MT"/>
          <w:sz w:val="20"/>
        </w:rPr>
      </w:pPr>
    </w:p>
    <w:p w14:paraId="35D80EAE" w14:textId="77777777" w:rsidR="005E140F" w:rsidRDefault="005E140F">
      <w:pPr>
        <w:pStyle w:val="BodyText"/>
        <w:rPr>
          <w:rFonts w:ascii="Arial MT"/>
          <w:sz w:val="20"/>
        </w:rPr>
      </w:pPr>
    </w:p>
    <w:p w14:paraId="3CB8017A" w14:textId="77777777" w:rsidR="005E140F" w:rsidRDefault="005E140F">
      <w:pPr>
        <w:pStyle w:val="BodyText"/>
        <w:rPr>
          <w:rFonts w:ascii="Arial MT"/>
          <w:sz w:val="20"/>
        </w:rPr>
      </w:pPr>
    </w:p>
    <w:p w14:paraId="7A1D7E1B" w14:textId="77777777" w:rsidR="005E140F" w:rsidRDefault="005E140F">
      <w:pPr>
        <w:pStyle w:val="BodyText"/>
        <w:spacing w:before="4"/>
        <w:rPr>
          <w:rFonts w:ascii="Arial MT"/>
          <w:sz w:val="18"/>
        </w:rPr>
      </w:pPr>
    </w:p>
    <w:p w14:paraId="587BDB60" w14:textId="77777777" w:rsidR="005E140F" w:rsidRDefault="00000000">
      <w:pPr>
        <w:pStyle w:val="BodyText"/>
        <w:spacing w:line="280" w:lineRule="auto"/>
        <w:ind w:left="863" w:right="1451"/>
      </w:pPr>
      <w:r>
        <w:t>While on exchange, students are members of both the HI and ENU and therefore are subject to the disciplinary procedures of both institutions, as appropriate.</w:t>
      </w:r>
    </w:p>
    <w:p w14:paraId="229BDE99" w14:textId="77777777" w:rsidR="005E140F" w:rsidRDefault="005E140F">
      <w:pPr>
        <w:pStyle w:val="BodyText"/>
        <w:spacing w:before="10"/>
        <w:rPr>
          <w:sz w:val="24"/>
        </w:rPr>
      </w:pPr>
    </w:p>
    <w:p w14:paraId="50B75C90" w14:textId="77777777" w:rsidR="005E140F" w:rsidRDefault="00000000">
      <w:pPr>
        <w:pStyle w:val="BodyText"/>
        <w:spacing w:line="278" w:lineRule="auto"/>
        <w:ind w:left="863" w:right="1074"/>
      </w:pPr>
      <w:r>
        <w:t>Where standards are not met by the student, the GMT reserves the right to withdraw a student’s eligibility for funding (where relevant), and to request repayment of any grant monies already received.</w:t>
      </w:r>
    </w:p>
    <w:p w14:paraId="2566D702" w14:textId="77777777" w:rsidR="005E140F" w:rsidRDefault="005E140F">
      <w:pPr>
        <w:pStyle w:val="BodyText"/>
        <w:rPr>
          <w:sz w:val="29"/>
        </w:rPr>
      </w:pPr>
    </w:p>
    <w:p w14:paraId="75532145" w14:textId="77777777" w:rsidR="005E140F" w:rsidRDefault="00000000">
      <w:pPr>
        <w:pStyle w:val="Heading2"/>
      </w:pPr>
      <w:bookmarkStart w:id="35" w:name="_TOC_250004"/>
      <w:r>
        <w:t>Assessment</w:t>
      </w:r>
      <w:r>
        <w:rPr>
          <w:spacing w:val="-1"/>
        </w:rPr>
        <w:t xml:space="preserve"> </w:t>
      </w:r>
      <w:r>
        <w:t>on</w:t>
      </w:r>
      <w:r>
        <w:rPr>
          <w:spacing w:val="-1"/>
        </w:rPr>
        <w:t xml:space="preserve"> </w:t>
      </w:r>
      <w:bookmarkEnd w:id="35"/>
      <w:r>
        <w:rPr>
          <w:spacing w:val="-2"/>
        </w:rPr>
        <w:t>exchange</w:t>
      </w:r>
    </w:p>
    <w:p w14:paraId="11304117" w14:textId="77777777" w:rsidR="005E140F" w:rsidRDefault="00000000">
      <w:pPr>
        <w:pStyle w:val="BodyText"/>
        <w:spacing w:before="175" w:line="280" w:lineRule="auto"/>
        <w:ind w:left="863" w:right="1157"/>
      </w:pPr>
      <w:r>
        <w:t xml:space="preserve">Students must complete all assessments required of the HI academic </w:t>
      </w:r>
      <w:proofErr w:type="spellStart"/>
      <w:r>
        <w:t>programme</w:t>
      </w:r>
      <w:proofErr w:type="spellEnd"/>
      <w:r>
        <w:t xml:space="preserve"> before returning and must not book return travel until final assessment dates are confirmed. Students will be responsible for the financial and academic consequences resulting from fails. Students are strongly urged to contact</w:t>
      </w:r>
      <w:r>
        <w:rPr>
          <w:spacing w:val="40"/>
        </w:rPr>
        <w:t xml:space="preserve"> </w:t>
      </w:r>
      <w:r>
        <w:t>their PL at the earliest opportunity to discuss and resolve academic concerns.</w:t>
      </w:r>
    </w:p>
    <w:p w14:paraId="033DCDED" w14:textId="77777777" w:rsidR="005E140F" w:rsidRDefault="005E140F">
      <w:pPr>
        <w:pStyle w:val="BodyText"/>
        <w:rPr>
          <w:sz w:val="20"/>
        </w:rPr>
      </w:pPr>
    </w:p>
    <w:p w14:paraId="7511A3E8" w14:textId="77777777" w:rsidR="005E140F" w:rsidRDefault="00000000">
      <w:pPr>
        <w:pStyle w:val="Heading1"/>
        <w:numPr>
          <w:ilvl w:val="0"/>
          <w:numId w:val="4"/>
        </w:numPr>
        <w:tabs>
          <w:tab w:val="left" w:pos="1565"/>
        </w:tabs>
        <w:spacing w:before="147"/>
      </w:pPr>
      <w:bookmarkStart w:id="36" w:name="_TOC_250003"/>
      <w:r>
        <w:t>After</w:t>
      </w:r>
      <w:r>
        <w:rPr>
          <w:spacing w:val="-10"/>
        </w:rPr>
        <w:t xml:space="preserve"> </w:t>
      </w:r>
      <w:r>
        <w:t>the</w:t>
      </w:r>
      <w:r>
        <w:rPr>
          <w:spacing w:val="-12"/>
        </w:rPr>
        <w:t xml:space="preserve"> </w:t>
      </w:r>
      <w:bookmarkEnd w:id="36"/>
      <w:r>
        <w:rPr>
          <w:spacing w:val="-2"/>
        </w:rPr>
        <w:t>exchange</w:t>
      </w:r>
    </w:p>
    <w:p w14:paraId="40C9FEEF" w14:textId="77777777" w:rsidR="005E140F" w:rsidRDefault="005E140F">
      <w:pPr>
        <w:pStyle w:val="BodyText"/>
        <w:spacing w:before="8"/>
        <w:rPr>
          <w:b/>
          <w:sz w:val="34"/>
        </w:rPr>
      </w:pPr>
    </w:p>
    <w:p w14:paraId="2045E6C6" w14:textId="77777777" w:rsidR="005E140F" w:rsidRDefault="00000000">
      <w:pPr>
        <w:pStyle w:val="Heading2"/>
      </w:pPr>
      <w:bookmarkStart w:id="37" w:name="_TOC_250002"/>
      <w:bookmarkEnd w:id="37"/>
      <w:r>
        <w:rPr>
          <w:spacing w:val="-2"/>
        </w:rPr>
        <w:t>Transcripts</w:t>
      </w:r>
    </w:p>
    <w:p w14:paraId="34B30C80" w14:textId="77777777" w:rsidR="005E140F" w:rsidRDefault="00000000">
      <w:pPr>
        <w:pStyle w:val="BodyText"/>
        <w:spacing w:before="177" w:line="280" w:lineRule="auto"/>
        <w:ind w:left="863" w:right="1074"/>
      </w:pPr>
      <w:r>
        <w:t>The</w:t>
      </w:r>
      <w:r>
        <w:rPr>
          <w:spacing w:val="22"/>
        </w:rPr>
        <w:t xml:space="preserve"> </w:t>
      </w:r>
      <w:r>
        <w:t>student must</w:t>
      </w:r>
      <w:r>
        <w:rPr>
          <w:spacing w:val="24"/>
        </w:rPr>
        <w:t xml:space="preserve"> </w:t>
      </w:r>
      <w:r>
        <w:t>upload their</w:t>
      </w:r>
      <w:r>
        <w:rPr>
          <w:spacing w:val="22"/>
        </w:rPr>
        <w:t xml:space="preserve"> </w:t>
      </w:r>
      <w:r>
        <w:t>transcript</w:t>
      </w:r>
      <w:r>
        <w:rPr>
          <w:spacing w:val="20"/>
        </w:rPr>
        <w:t xml:space="preserve"> </w:t>
      </w:r>
      <w:r>
        <w:t>to</w:t>
      </w:r>
      <w:r>
        <w:rPr>
          <w:spacing w:val="20"/>
        </w:rPr>
        <w:t xml:space="preserve"> </w:t>
      </w:r>
      <w:r>
        <w:t>their</w:t>
      </w:r>
      <w:r>
        <w:rPr>
          <w:spacing w:val="20"/>
        </w:rPr>
        <w:t xml:space="preserve"> </w:t>
      </w:r>
      <w:proofErr w:type="spellStart"/>
      <w:r>
        <w:t>eVision</w:t>
      </w:r>
      <w:proofErr w:type="spellEnd"/>
      <w:r>
        <w:rPr>
          <w:spacing w:val="20"/>
        </w:rPr>
        <w:t xml:space="preserve"> </w:t>
      </w:r>
      <w:r>
        <w:t>exchanges</w:t>
      </w:r>
      <w:r>
        <w:rPr>
          <w:spacing w:val="18"/>
        </w:rPr>
        <w:t xml:space="preserve"> </w:t>
      </w:r>
      <w:r>
        <w:t>record,</w:t>
      </w:r>
      <w:r>
        <w:rPr>
          <w:spacing w:val="18"/>
        </w:rPr>
        <w:t xml:space="preserve"> </w:t>
      </w:r>
      <w:r>
        <w:t>or</w:t>
      </w:r>
      <w:r>
        <w:rPr>
          <w:spacing w:val="20"/>
        </w:rPr>
        <w:t xml:space="preserve"> </w:t>
      </w:r>
      <w:r>
        <w:t>forward</w:t>
      </w:r>
      <w:r>
        <w:rPr>
          <w:spacing w:val="20"/>
        </w:rPr>
        <w:t xml:space="preserve"> </w:t>
      </w:r>
      <w:r>
        <w:t>transcripts</w:t>
      </w:r>
      <w:r>
        <w:rPr>
          <w:spacing w:val="21"/>
        </w:rPr>
        <w:t xml:space="preserve"> </w:t>
      </w:r>
      <w:r>
        <w:t>to GMT</w:t>
      </w:r>
      <w:r>
        <w:rPr>
          <w:spacing w:val="15"/>
        </w:rPr>
        <w:t xml:space="preserve"> </w:t>
      </w:r>
      <w:r>
        <w:t>if sent</w:t>
      </w:r>
      <w:r>
        <w:rPr>
          <w:spacing w:val="15"/>
        </w:rPr>
        <w:t xml:space="preserve"> </w:t>
      </w:r>
      <w:r>
        <w:t>directly</w:t>
      </w:r>
      <w:r>
        <w:rPr>
          <w:spacing w:val="21"/>
        </w:rPr>
        <w:t xml:space="preserve"> </w:t>
      </w:r>
      <w:r>
        <w:t>to</w:t>
      </w:r>
      <w:r>
        <w:rPr>
          <w:spacing w:val="15"/>
        </w:rPr>
        <w:t xml:space="preserve"> </w:t>
      </w:r>
      <w:r>
        <w:t>them.</w:t>
      </w:r>
      <w:r>
        <w:rPr>
          <w:spacing w:val="16"/>
        </w:rPr>
        <w:t xml:space="preserve"> </w:t>
      </w:r>
      <w:r>
        <w:t>Upon</w:t>
      </w:r>
      <w:r>
        <w:rPr>
          <w:spacing w:val="17"/>
        </w:rPr>
        <w:t xml:space="preserve"> </w:t>
      </w:r>
      <w:r>
        <w:t>receipt</w:t>
      </w:r>
      <w:r>
        <w:rPr>
          <w:spacing w:val="15"/>
        </w:rPr>
        <w:t xml:space="preserve"> </w:t>
      </w:r>
      <w:r>
        <w:t>of the</w:t>
      </w:r>
      <w:r>
        <w:rPr>
          <w:spacing w:val="20"/>
        </w:rPr>
        <w:t xml:space="preserve"> </w:t>
      </w:r>
      <w:r>
        <w:t>transcript,</w:t>
      </w:r>
      <w:r>
        <w:rPr>
          <w:spacing w:val="17"/>
        </w:rPr>
        <w:t xml:space="preserve"> </w:t>
      </w:r>
      <w:r>
        <w:t>the GMT</w:t>
      </w:r>
      <w:r>
        <w:rPr>
          <w:spacing w:val="15"/>
        </w:rPr>
        <w:t xml:space="preserve"> </w:t>
      </w:r>
      <w:r>
        <w:t>will</w:t>
      </w:r>
      <w:r>
        <w:rPr>
          <w:spacing w:val="13"/>
        </w:rPr>
        <w:t xml:space="preserve"> </w:t>
      </w:r>
      <w:r>
        <w:t>pass</w:t>
      </w:r>
      <w:r>
        <w:rPr>
          <w:spacing w:val="13"/>
        </w:rPr>
        <w:t xml:space="preserve"> </w:t>
      </w:r>
      <w:r>
        <w:t>to</w:t>
      </w:r>
      <w:r>
        <w:rPr>
          <w:spacing w:val="15"/>
        </w:rPr>
        <w:t xml:space="preserve"> </w:t>
      </w:r>
      <w:r>
        <w:t>the</w:t>
      </w:r>
      <w:r>
        <w:rPr>
          <w:spacing w:val="17"/>
        </w:rPr>
        <w:t xml:space="preserve"> </w:t>
      </w:r>
      <w:r>
        <w:t>relevant</w:t>
      </w:r>
      <w:r>
        <w:rPr>
          <w:spacing w:val="19"/>
        </w:rPr>
        <w:t xml:space="preserve"> </w:t>
      </w:r>
      <w:r>
        <w:t xml:space="preserve">ENU School conversion officer who will calculate and communicate the credit achieved from exchange, in line with individual School credit conversion and </w:t>
      </w:r>
      <w:proofErr w:type="spellStart"/>
      <w:r>
        <w:t>programme</w:t>
      </w:r>
      <w:proofErr w:type="spellEnd"/>
      <w:r>
        <w:t xml:space="preserve"> requirements.</w:t>
      </w:r>
    </w:p>
    <w:p w14:paraId="53F36AC8" w14:textId="77777777" w:rsidR="005E140F" w:rsidRDefault="005E140F">
      <w:pPr>
        <w:pStyle w:val="BodyText"/>
        <w:spacing w:before="8"/>
        <w:rPr>
          <w:sz w:val="24"/>
        </w:rPr>
      </w:pPr>
    </w:p>
    <w:p w14:paraId="3C546428" w14:textId="6C330BA7" w:rsidR="005E140F" w:rsidRDefault="00000000">
      <w:pPr>
        <w:pStyle w:val="BodyText"/>
        <w:spacing w:line="283" w:lineRule="auto"/>
        <w:ind w:left="863" w:right="1451"/>
      </w:pPr>
      <w:r>
        <w:t xml:space="preserve">*Students should be aware that if they go abroad in 3rd year, some or </w:t>
      </w:r>
      <w:proofErr w:type="gramStart"/>
      <w:r>
        <w:t>all of</w:t>
      </w:r>
      <w:proofErr w:type="gramEnd"/>
      <w:r>
        <w:t xml:space="preserve"> the marks gained while abroad may count towards their final degree classification.</w:t>
      </w:r>
      <w:r w:rsidR="003B6ED2">
        <w:t xml:space="preserve"> Further clarification on this should be sought from the </w:t>
      </w:r>
      <w:proofErr w:type="spellStart"/>
      <w:r w:rsidR="003B6ED2">
        <w:t>programme</w:t>
      </w:r>
      <w:proofErr w:type="spellEnd"/>
      <w:r w:rsidR="003B6ED2">
        <w:t xml:space="preserve"> team. </w:t>
      </w:r>
    </w:p>
    <w:p w14:paraId="0C9322C8" w14:textId="77777777" w:rsidR="005E140F" w:rsidRDefault="005E140F">
      <w:pPr>
        <w:pStyle w:val="BodyText"/>
        <w:spacing w:before="4"/>
        <w:rPr>
          <w:sz w:val="28"/>
        </w:rPr>
      </w:pPr>
    </w:p>
    <w:p w14:paraId="03AA1ABE" w14:textId="77777777" w:rsidR="005E140F" w:rsidRDefault="00000000">
      <w:pPr>
        <w:pStyle w:val="Heading2"/>
      </w:pPr>
      <w:bookmarkStart w:id="38" w:name="_TOC_250001"/>
      <w:r>
        <w:t>Financial</w:t>
      </w:r>
      <w:bookmarkEnd w:id="38"/>
      <w:r>
        <w:rPr>
          <w:spacing w:val="-2"/>
        </w:rPr>
        <w:t xml:space="preserve"> responsibilities</w:t>
      </w:r>
    </w:p>
    <w:p w14:paraId="2FD09476" w14:textId="77777777" w:rsidR="005E140F" w:rsidRDefault="00000000">
      <w:pPr>
        <w:pStyle w:val="BodyText"/>
        <w:spacing w:before="178" w:line="280" w:lineRule="auto"/>
        <w:ind w:left="863" w:right="1074"/>
      </w:pPr>
      <w:proofErr w:type="gramStart"/>
      <w:r>
        <w:t>In the event that</w:t>
      </w:r>
      <w:proofErr w:type="gramEnd"/>
      <w:r>
        <w:t xml:space="preserve"> a student returns owing money to the HI (or affiliate party) from their exchange, the debt must be repaid as quickly as possible. Failure to do so may impact the progression of the student’s degree and eligibility for graduation.</w:t>
      </w:r>
    </w:p>
    <w:p w14:paraId="6FDC3780" w14:textId="77777777" w:rsidR="005E140F" w:rsidRDefault="005E140F">
      <w:pPr>
        <w:pStyle w:val="BodyText"/>
        <w:spacing w:before="9"/>
        <w:rPr>
          <w:sz w:val="28"/>
        </w:rPr>
      </w:pPr>
    </w:p>
    <w:p w14:paraId="6E4A1206" w14:textId="77777777" w:rsidR="005E140F" w:rsidRDefault="00000000">
      <w:pPr>
        <w:pStyle w:val="Heading2"/>
        <w:spacing w:before="1"/>
      </w:pPr>
      <w:bookmarkStart w:id="39" w:name="_TOC_250000"/>
      <w:r>
        <w:t>Promoting</w:t>
      </w:r>
      <w:r>
        <w:rPr>
          <w:spacing w:val="-6"/>
        </w:rPr>
        <w:t xml:space="preserve"> </w:t>
      </w:r>
      <w:r>
        <w:t>exchanges</w:t>
      </w:r>
      <w:r>
        <w:rPr>
          <w:spacing w:val="1"/>
        </w:rPr>
        <w:t xml:space="preserve"> </w:t>
      </w:r>
      <w:r>
        <w:t>to</w:t>
      </w:r>
      <w:r>
        <w:rPr>
          <w:spacing w:val="-1"/>
        </w:rPr>
        <w:t xml:space="preserve"> </w:t>
      </w:r>
      <w:r>
        <w:t>future ENU</w:t>
      </w:r>
      <w:r>
        <w:rPr>
          <w:spacing w:val="4"/>
        </w:rPr>
        <w:t xml:space="preserve"> </w:t>
      </w:r>
      <w:bookmarkEnd w:id="39"/>
      <w:r>
        <w:rPr>
          <w:spacing w:val="-2"/>
        </w:rPr>
        <w:t>cohorts</w:t>
      </w:r>
    </w:p>
    <w:p w14:paraId="2AA25902" w14:textId="77777777" w:rsidR="005E140F" w:rsidRDefault="00000000">
      <w:pPr>
        <w:pStyle w:val="BodyText"/>
        <w:spacing w:before="177" w:line="280" w:lineRule="auto"/>
        <w:ind w:left="863" w:right="1157"/>
      </w:pPr>
      <w:r>
        <w:t>As ambassadors, students are expected to participate in promotional activities at the host institution and upon return to ENU, including completing compulsory feedback questionnaires and assisting at events for prospective exchange students.</w:t>
      </w:r>
    </w:p>
    <w:p w14:paraId="313D59B3" w14:textId="77777777" w:rsidR="005E140F" w:rsidRDefault="005E140F">
      <w:pPr>
        <w:spacing w:line="280" w:lineRule="auto"/>
        <w:sectPr w:rsidR="005E140F">
          <w:pgSz w:w="11910" w:h="16840"/>
          <w:pgMar w:top="1040" w:right="460" w:bottom="1600" w:left="540" w:header="0" w:footer="1408" w:gutter="0"/>
          <w:cols w:space="720"/>
        </w:sectPr>
      </w:pPr>
    </w:p>
    <w:p w14:paraId="19A6F5CE" w14:textId="66369948" w:rsidR="005E140F" w:rsidRDefault="005E140F">
      <w:pPr>
        <w:pStyle w:val="BodyText"/>
        <w:spacing w:before="4"/>
        <w:rPr>
          <w:sz w:val="16"/>
        </w:rPr>
      </w:pPr>
    </w:p>
    <w:sectPr w:rsidR="005E140F">
      <w:pgSz w:w="11910" w:h="16840"/>
      <w:pgMar w:top="1040" w:right="460" w:bottom="1600" w:left="540" w:header="0" w:footer="1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7EB4E" w14:textId="77777777" w:rsidR="0086667F" w:rsidRDefault="0086667F">
      <w:r>
        <w:separator/>
      </w:r>
    </w:p>
  </w:endnote>
  <w:endnote w:type="continuationSeparator" w:id="0">
    <w:p w14:paraId="58E5A824" w14:textId="77777777" w:rsidR="0086667F" w:rsidRDefault="0086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2F00" w14:textId="28E57FD0" w:rsidR="005E140F" w:rsidRDefault="005E140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D145" w14:textId="0C85455D" w:rsidR="005E140F" w:rsidRDefault="005E14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C7707" w14:textId="77777777" w:rsidR="0086667F" w:rsidRDefault="0086667F">
      <w:r>
        <w:separator/>
      </w:r>
    </w:p>
  </w:footnote>
  <w:footnote w:type="continuationSeparator" w:id="0">
    <w:p w14:paraId="6A886FD8" w14:textId="77777777" w:rsidR="0086667F" w:rsidRDefault="00866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203F9"/>
    <w:multiLevelType w:val="hybridMultilevel"/>
    <w:tmpl w:val="3CB416D4"/>
    <w:lvl w:ilvl="0" w:tplc="14380E0E">
      <w:numFmt w:val="bullet"/>
      <w:lvlText w:val=""/>
      <w:lvlJc w:val="left"/>
      <w:pPr>
        <w:ind w:left="1564" w:hanging="351"/>
      </w:pPr>
      <w:rPr>
        <w:rFonts w:ascii="Symbol" w:eastAsia="Symbol" w:hAnsi="Symbol" w:cs="Symbol" w:hint="default"/>
        <w:b w:val="0"/>
        <w:bCs w:val="0"/>
        <w:i w:val="0"/>
        <w:iCs w:val="0"/>
        <w:w w:val="102"/>
        <w:sz w:val="21"/>
        <w:szCs w:val="21"/>
        <w:lang w:val="en-US" w:eastAsia="en-US" w:bidi="ar-SA"/>
      </w:rPr>
    </w:lvl>
    <w:lvl w:ilvl="1" w:tplc="6A1AE37E">
      <w:numFmt w:val="bullet"/>
      <w:lvlText w:val="•"/>
      <w:lvlJc w:val="left"/>
      <w:pPr>
        <w:ind w:left="2494" w:hanging="351"/>
      </w:pPr>
      <w:rPr>
        <w:rFonts w:hint="default"/>
        <w:lang w:val="en-US" w:eastAsia="en-US" w:bidi="ar-SA"/>
      </w:rPr>
    </w:lvl>
    <w:lvl w:ilvl="2" w:tplc="E6329D5A">
      <w:numFmt w:val="bullet"/>
      <w:lvlText w:val="•"/>
      <w:lvlJc w:val="left"/>
      <w:pPr>
        <w:ind w:left="3429" w:hanging="351"/>
      </w:pPr>
      <w:rPr>
        <w:rFonts w:hint="default"/>
        <w:lang w:val="en-US" w:eastAsia="en-US" w:bidi="ar-SA"/>
      </w:rPr>
    </w:lvl>
    <w:lvl w:ilvl="3" w:tplc="37A633BE">
      <w:numFmt w:val="bullet"/>
      <w:lvlText w:val="•"/>
      <w:lvlJc w:val="left"/>
      <w:pPr>
        <w:ind w:left="4363" w:hanging="351"/>
      </w:pPr>
      <w:rPr>
        <w:rFonts w:hint="default"/>
        <w:lang w:val="en-US" w:eastAsia="en-US" w:bidi="ar-SA"/>
      </w:rPr>
    </w:lvl>
    <w:lvl w:ilvl="4" w:tplc="8D5207AC">
      <w:numFmt w:val="bullet"/>
      <w:lvlText w:val="•"/>
      <w:lvlJc w:val="left"/>
      <w:pPr>
        <w:ind w:left="5298" w:hanging="351"/>
      </w:pPr>
      <w:rPr>
        <w:rFonts w:hint="default"/>
        <w:lang w:val="en-US" w:eastAsia="en-US" w:bidi="ar-SA"/>
      </w:rPr>
    </w:lvl>
    <w:lvl w:ilvl="5" w:tplc="9B4AF0F6">
      <w:numFmt w:val="bullet"/>
      <w:lvlText w:val="•"/>
      <w:lvlJc w:val="left"/>
      <w:pPr>
        <w:ind w:left="6233" w:hanging="351"/>
      </w:pPr>
      <w:rPr>
        <w:rFonts w:hint="default"/>
        <w:lang w:val="en-US" w:eastAsia="en-US" w:bidi="ar-SA"/>
      </w:rPr>
    </w:lvl>
    <w:lvl w:ilvl="6" w:tplc="C9069AAC">
      <w:numFmt w:val="bullet"/>
      <w:lvlText w:val="•"/>
      <w:lvlJc w:val="left"/>
      <w:pPr>
        <w:ind w:left="7167" w:hanging="351"/>
      </w:pPr>
      <w:rPr>
        <w:rFonts w:hint="default"/>
        <w:lang w:val="en-US" w:eastAsia="en-US" w:bidi="ar-SA"/>
      </w:rPr>
    </w:lvl>
    <w:lvl w:ilvl="7" w:tplc="278A610A">
      <w:numFmt w:val="bullet"/>
      <w:lvlText w:val="•"/>
      <w:lvlJc w:val="left"/>
      <w:pPr>
        <w:ind w:left="8102" w:hanging="351"/>
      </w:pPr>
      <w:rPr>
        <w:rFonts w:hint="default"/>
        <w:lang w:val="en-US" w:eastAsia="en-US" w:bidi="ar-SA"/>
      </w:rPr>
    </w:lvl>
    <w:lvl w:ilvl="8" w:tplc="4A529B16">
      <w:numFmt w:val="bullet"/>
      <w:lvlText w:val="•"/>
      <w:lvlJc w:val="left"/>
      <w:pPr>
        <w:ind w:left="9037" w:hanging="351"/>
      </w:pPr>
      <w:rPr>
        <w:rFonts w:hint="default"/>
        <w:lang w:val="en-US" w:eastAsia="en-US" w:bidi="ar-SA"/>
      </w:rPr>
    </w:lvl>
  </w:abstractNum>
  <w:abstractNum w:abstractNumId="1" w15:restartNumberingAfterBreak="0">
    <w:nsid w:val="21C70C85"/>
    <w:multiLevelType w:val="hybridMultilevel"/>
    <w:tmpl w:val="A5CAA870"/>
    <w:lvl w:ilvl="0" w:tplc="0A8276A2">
      <w:start w:val="1"/>
      <w:numFmt w:val="decimal"/>
      <w:lvlText w:val="%1."/>
      <w:lvlJc w:val="left"/>
      <w:pPr>
        <w:ind w:left="1223" w:hanging="360"/>
      </w:pPr>
      <w:rPr>
        <w:rFonts w:hint="default"/>
      </w:rPr>
    </w:lvl>
    <w:lvl w:ilvl="1" w:tplc="08090019" w:tentative="1">
      <w:start w:val="1"/>
      <w:numFmt w:val="lowerLetter"/>
      <w:lvlText w:val="%2."/>
      <w:lvlJc w:val="left"/>
      <w:pPr>
        <w:ind w:left="1943" w:hanging="360"/>
      </w:pPr>
    </w:lvl>
    <w:lvl w:ilvl="2" w:tplc="0809001B" w:tentative="1">
      <w:start w:val="1"/>
      <w:numFmt w:val="lowerRoman"/>
      <w:lvlText w:val="%3."/>
      <w:lvlJc w:val="right"/>
      <w:pPr>
        <w:ind w:left="2663" w:hanging="180"/>
      </w:pPr>
    </w:lvl>
    <w:lvl w:ilvl="3" w:tplc="0809000F" w:tentative="1">
      <w:start w:val="1"/>
      <w:numFmt w:val="decimal"/>
      <w:lvlText w:val="%4."/>
      <w:lvlJc w:val="left"/>
      <w:pPr>
        <w:ind w:left="3383" w:hanging="360"/>
      </w:pPr>
    </w:lvl>
    <w:lvl w:ilvl="4" w:tplc="08090019" w:tentative="1">
      <w:start w:val="1"/>
      <w:numFmt w:val="lowerLetter"/>
      <w:lvlText w:val="%5."/>
      <w:lvlJc w:val="left"/>
      <w:pPr>
        <w:ind w:left="4103" w:hanging="360"/>
      </w:pPr>
    </w:lvl>
    <w:lvl w:ilvl="5" w:tplc="0809001B" w:tentative="1">
      <w:start w:val="1"/>
      <w:numFmt w:val="lowerRoman"/>
      <w:lvlText w:val="%6."/>
      <w:lvlJc w:val="right"/>
      <w:pPr>
        <w:ind w:left="4823" w:hanging="180"/>
      </w:pPr>
    </w:lvl>
    <w:lvl w:ilvl="6" w:tplc="0809000F" w:tentative="1">
      <w:start w:val="1"/>
      <w:numFmt w:val="decimal"/>
      <w:lvlText w:val="%7."/>
      <w:lvlJc w:val="left"/>
      <w:pPr>
        <w:ind w:left="5543" w:hanging="360"/>
      </w:pPr>
    </w:lvl>
    <w:lvl w:ilvl="7" w:tplc="08090019" w:tentative="1">
      <w:start w:val="1"/>
      <w:numFmt w:val="lowerLetter"/>
      <w:lvlText w:val="%8."/>
      <w:lvlJc w:val="left"/>
      <w:pPr>
        <w:ind w:left="6263" w:hanging="360"/>
      </w:pPr>
    </w:lvl>
    <w:lvl w:ilvl="8" w:tplc="0809001B" w:tentative="1">
      <w:start w:val="1"/>
      <w:numFmt w:val="lowerRoman"/>
      <w:lvlText w:val="%9."/>
      <w:lvlJc w:val="right"/>
      <w:pPr>
        <w:ind w:left="6983" w:hanging="180"/>
      </w:pPr>
    </w:lvl>
  </w:abstractNum>
  <w:abstractNum w:abstractNumId="2" w15:restartNumberingAfterBreak="0">
    <w:nsid w:val="3E2D16E3"/>
    <w:multiLevelType w:val="hybridMultilevel"/>
    <w:tmpl w:val="92BCB938"/>
    <w:lvl w:ilvl="0" w:tplc="24B23898">
      <w:start w:val="1"/>
      <w:numFmt w:val="decimal"/>
      <w:lvlText w:val="%1."/>
      <w:lvlJc w:val="left"/>
      <w:pPr>
        <w:ind w:left="1291" w:hanging="428"/>
      </w:pPr>
      <w:rPr>
        <w:rFonts w:ascii="Calibri" w:eastAsia="Calibri" w:hAnsi="Calibri" w:cs="Calibri" w:hint="default"/>
        <w:b/>
        <w:bCs/>
        <w:i w:val="0"/>
        <w:iCs w:val="0"/>
        <w:w w:val="102"/>
        <w:sz w:val="21"/>
        <w:szCs w:val="21"/>
        <w:lang w:val="en-US" w:eastAsia="en-US" w:bidi="ar-SA"/>
      </w:rPr>
    </w:lvl>
    <w:lvl w:ilvl="1" w:tplc="A77CCE98">
      <w:numFmt w:val="bullet"/>
      <w:lvlText w:val="•"/>
      <w:lvlJc w:val="left"/>
      <w:pPr>
        <w:ind w:left="2260" w:hanging="428"/>
      </w:pPr>
      <w:rPr>
        <w:rFonts w:hint="default"/>
        <w:lang w:val="en-US" w:eastAsia="en-US" w:bidi="ar-SA"/>
      </w:rPr>
    </w:lvl>
    <w:lvl w:ilvl="2" w:tplc="263425B4">
      <w:numFmt w:val="bullet"/>
      <w:lvlText w:val="•"/>
      <w:lvlJc w:val="left"/>
      <w:pPr>
        <w:ind w:left="3221" w:hanging="428"/>
      </w:pPr>
      <w:rPr>
        <w:rFonts w:hint="default"/>
        <w:lang w:val="en-US" w:eastAsia="en-US" w:bidi="ar-SA"/>
      </w:rPr>
    </w:lvl>
    <w:lvl w:ilvl="3" w:tplc="F32EB2CC">
      <w:numFmt w:val="bullet"/>
      <w:lvlText w:val="•"/>
      <w:lvlJc w:val="left"/>
      <w:pPr>
        <w:ind w:left="4181" w:hanging="428"/>
      </w:pPr>
      <w:rPr>
        <w:rFonts w:hint="default"/>
        <w:lang w:val="en-US" w:eastAsia="en-US" w:bidi="ar-SA"/>
      </w:rPr>
    </w:lvl>
    <w:lvl w:ilvl="4" w:tplc="C71AAC68">
      <w:numFmt w:val="bullet"/>
      <w:lvlText w:val="•"/>
      <w:lvlJc w:val="left"/>
      <w:pPr>
        <w:ind w:left="5142" w:hanging="428"/>
      </w:pPr>
      <w:rPr>
        <w:rFonts w:hint="default"/>
        <w:lang w:val="en-US" w:eastAsia="en-US" w:bidi="ar-SA"/>
      </w:rPr>
    </w:lvl>
    <w:lvl w:ilvl="5" w:tplc="B17432F2">
      <w:numFmt w:val="bullet"/>
      <w:lvlText w:val="•"/>
      <w:lvlJc w:val="left"/>
      <w:pPr>
        <w:ind w:left="6103" w:hanging="428"/>
      </w:pPr>
      <w:rPr>
        <w:rFonts w:hint="default"/>
        <w:lang w:val="en-US" w:eastAsia="en-US" w:bidi="ar-SA"/>
      </w:rPr>
    </w:lvl>
    <w:lvl w:ilvl="6" w:tplc="B6705C00">
      <w:numFmt w:val="bullet"/>
      <w:lvlText w:val="•"/>
      <w:lvlJc w:val="left"/>
      <w:pPr>
        <w:ind w:left="7063" w:hanging="428"/>
      </w:pPr>
      <w:rPr>
        <w:rFonts w:hint="default"/>
        <w:lang w:val="en-US" w:eastAsia="en-US" w:bidi="ar-SA"/>
      </w:rPr>
    </w:lvl>
    <w:lvl w:ilvl="7" w:tplc="DF009FE0">
      <w:numFmt w:val="bullet"/>
      <w:lvlText w:val="•"/>
      <w:lvlJc w:val="left"/>
      <w:pPr>
        <w:ind w:left="8024" w:hanging="428"/>
      </w:pPr>
      <w:rPr>
        <w:rFonts w:hint="default"/>
        <w:lang w:val="en-US" w:eastAsia="en-US" w:bidi="ar-SA"/>
      </w:rPr>
    </w:lvl>
    <w:lvl w:ilvl="8" w:tplc="F73434B6">
      <w:numFmt w:val="bullet"/>
      <w:lvlText w:val="•"/>
      <w:lvlJc w:val="left"/>
      <w:pPr>
        <w:ind w:left="8985" w:hanging="428"/>
      </w:pPr>
      <w:rPr>
        <w:rFonts w:hint="default"/>
        <w:lang w:val="en-US" w:eastAsia="en-US" w:bidi="ar-SA"/>
      </w:rPr>
    </w:lvl>
  </w:abstractNum>
  <w:abstractNum w:abstractNumId="3" w15:restartNumberingAfterBreak="0">
    <w:nsid w:val="4651527B"/>
    <w:multiLevelType w:val="hybridMultilevel"/>
    <w:tmpl w:val="1ADE212E"/>
    <w:lvl w:ilvl="0" w:tplc="51DA89F4">
      <w:start w:val="1"/>
      <w:numFmt w:val="decimal"/>
      <w:lvlText w:val="%1."/>
      <w:lvlJc w:val="left"/>
      <w:pPr>
        <w:ind w:left="1564" w:hanging="351"/>
      </w:pPr>
      <w:rPr>
        <w:rFonts w:ascii="Calibri" w:eastAsia="Calibri" w:hAnsi="Calibri" w:cs="Calibri" w:hint="default"/>
        <w:b/>
        <w:bCs/>
        <w:i w:val="0"/>
        <w:iCs w:val="0"/>
        <w:spacing w:val="0"/>
        <w:w w:val="99"/>
        <w:sz w:val="39"/>
        <w:szCs w:val="39"/>
        <w:lang w:val="en-US" w:eastAsia="en-US" w:bidi="ar-SA"/>
      </w:rPr>
    </w:lvl>
    <w:lvl w:ilvl="1" w:tplc="B9E4F5C6">
      <w:numFmt w:val="bullet"/>
      <w:lvlText w:val="-"/>
      <w:lvlJc w:val="left"/>
      <w:pPr>
        <w:ind w:left="1564" w:hanging="351"/>
      </w:pPr>
      <w:rPr>
        <w:rFonts w:ascii="Calibri" w:eastAsia="Calibri" w:hAnsi="Calibri" w:cs="Calibri" w:hint="default"/>
        <w:b w:val="0"/>
        <w:bCs w:val="0"/>
        <w:i w:val="0"/>
        <w:iCs w:val="0"/>
        <w:w w:val="102"/>
        <w:sz w:val="21"/>
        <w:szCs w:val="21"/>
        <w:lang w:val="en-US" w:eastAsia="en-US" w:bidi="ar-SA"/>
      </w:rPr>
    </w:lvl>
    <w:lvl w:ilvl="2" w:tplc="564ABBA8">
      <w:numFmt w:val="bullet"/>
      <w:lvlText w:val="•"/>
      <w:lvlJc w:val="left"/>
      <w:pPr>
        <w:ind w:left="3429" w:hanging="351"/>
      </w:pPr>
      <w:rPr>
        <w:rFonts w:hint="default"/>
        <w:lang w:val="en-US" w:eastAsia="en-US" w:bidi="ar-SA"/>
      </w:rPr>
    </w:lvl>
    <w:lvl w:ilvl="3" w:tplc="AB102732">
      <w:numFmt w:val="bullet"/>
      <w:lvlText w:val="•"/>
      <w:lvlJc w:val="left"/>
      <w:pPr>
        <w:ind w:left="4363" w:hanging="351"/>
      </w:pPr>
      <w:rPr>
        <w:rFonts w:hint="default"/>
        <w:lang w:val="en-US" w:eastAsia="en-US" w:bidi="ar-SA"/>
      </w:rPr>
    </w:lvl>
    <w:lvl w:ilvl="4" w:tplc="09405558">
      <w:numFmt w:val="bullet"/>
      <w:lvlText w:val="•"/>
      <w:lvlJc w:val="left"/>
      <w:pPr>
        <w:ind w:left="5298" w:hanging="351"/>
      </w:pPr>
      <w:rPr>
        <w:rFonts w:hint="default"/>
        <w:lang w:val="en-US" w:eastAsia="en-US" w:bidi="ar-SA"/>
      </w:rPr>
    </w:lvl>
    <w:lvl w:ilvl="5" w:tplc="7F3818BA">
      <w:numFmt w:val="bullet"/>
      <w:lvlText w:val="•"/>
      <w:lvlJc w:val="left"/>
      <w:pPr>
        <w:ind w:left="6233" w:hanging="351"/>
      </w:pPr>
      <w:rPr>
        <w:rFonts w:hint="default"/>
        <w:lang w:val="en-US" w:eastAsia="en-US" w:bidi="ar-SA"/>
      </w:rPr>
    </w:lvl>
    <w:lvl w:ilvl="6" w:tplc="03D6A134">
      <w:numFmt w:val="bullet"/>
      <w:lvlText w:val="•"/>
      <w:lvlJc w:val="left"/>
      <w:pPr>
        <w:ind w:left="7167" w:hanging="351"/>
      </w:pPr>
      <w:rPr>
        <w:rFonts w:hint="default"/>
        <w:lang w:val="en-US" w:eastAsia="en-US" w:bidi="ar-SA"/>
      </w:rPr>
    </w:lvl>
    <w:lvl w:ilvl="7" w:tplc="EAE27AA0">
      <w:numFmt w:val="bullet"/>
      <w:lvlText w:val="•"/>
      <w:lvlJc w:val="left"/>
      <w:pPr>
        <w:ind w:left="8102" w:hanging="351"/>
      </w:pPr>
      <w:rPr>
        <w:rFonts w:hint="default"/>
        <w:lang w:val="en-US" w:eastAsia="en-US" w:bidi="ar-SA"/>
      </w:rPr>
    </w:lvl>
    <w:lvl w:ilvl="8" w:tplc="C6F41486">
      <w:numFmt w:val="bullet"/>
      <w:lvlText w:val="•"/>
      <w:lvlJc w:val="left"/>
      <w:pPr>
        <w:ind w:left="9037" w:hanging="351"/>
      </w:pPr>
      <w:rPr>
        <w:rFonts w:hint="default"/>
        <w:lang w:val="en-US" w:eastAsia="en-US" w:bidi="ar-SA"/>
      </w:rPr>
    </w:lvl>
  </w:abstractNum>
  <w:abstractNum w:abstractNumId="4" w15:restartNumberingAfterBreak="0">
    <w:nsid w:val="6D0D62E6"/>
    <w:multiLevelType w:val="hybridMultilevel"/>
    <w:tmpl w:val="C1CEB770"/>
    <w:lvl w:ilvl="0" w:tplc="08090001">
      <w:start w:val="1"/>
      <w:numFmt w:val="bullet"/>
      <w:lvlText w:val=""/>
      <w:lvlJc w:val="left"/>
      <w:pPr>
        <w:ind w:left="2284" w:hanging="360"/>
      </w:pPr>
      <w:rPr>
        <w:rFonts w:ascii="Symbol" w:hAnsi="Symbol" w:hint="default"/>
      </w:rPr>
    </w:lvl>
    <w:lvl w:ilvl="1" w:tplc="08090003" w:tentative="1">
      <w:start w:val="1"/>
      <w:numFmt w:val="bullet"/>
      <w:lvlText w:val="o"/>
      <w:lvlJc w:val="left"/>
      <w:pPr>
        <w:ind w:left="3004" w:hanging="360"/>
      </w:pPr>
      <w:rPr>
        <w:rFonts w:ascii="Courier New" w:hAnsi="Courier New" w:cs="Courier New" w:hint="default"/>
      </w:rPr>
    </w:lvl>
    <w:lvl w:ilvl="2" w:tplc="08090005" w:tentative="1">
      <w:start w:val="1"/>
      <w:numFmt w:val="bullet"/>
      <w:lvlText w:val=""/>
      <w:lvlJc w:val="left"/>
      <w:pPr>
        <w:ind w:left="3724" w:hanging="360"/>
      </w:pPr>
      <w:rPr>
        <w:rFonts w:ascii="Wingdings" w:hAnsi="Wingdings" w:hint="default"/>
      </w:rPr>
    </w:lvl>
    <w:lvl w:ilvl="3" w:tplc="08090001" w:tentative="1">
      <w:start w:val="1"/>
      <w:numFmt w:val="bullet"/>
      <w:lvlText w:val=""/>
      <w:lvlJc w:val="left"/>
      <w:pPr>
        <w:ind w:left="4444" w:hanging="360"/>
      </w:pPr>
      <w:rPr>
        <w:rFonts w:ascii="Symbol" w:hAnsi="Symbol" w:hint="default"/>
      </w:rPr>
    </w:lvl>
    <w:lvl w:ilvl="4" w:tplc="08090003" w:tentative="1">
      <w:start w:val="1"/>
      <w:numFmt w:val="bullet"/>
      <w:lvlText w:val="o"/>
      <w:lvlJc w:val="left"/>
      <w:pPr>
        <w:ind w:left="5164" w:hanging="360"/>
      </w:pPr>
      <w:rPr>
        <w:rFonts w:ascii="Courier New" w:hAnsi="Courier New" w:cs="Courier New" w:hint="default"/>
      </w:rPr>
    </w:lvl>
    <w:lvl w:ilvl="5" w:tplc="08090005" w:tentative="1">
      <w:start w:val="1"/>
      <w:numFmt w:val="bullet"/>
      <w:lvlText w:val=""/>
      <w:lvlJc w:val="left"/>
      <w:pPr>
        <w:ind w:left="5884" w:hanging="360"/>
      </w:pPr>
      <w:rPr>
        <w:rFonts w:ascii="Wingdings" w:hAnsi="Wingdings" w:hint="default"/>
      </w:rPr>
    </w:lvl>
    <w:lvl w:ilvl="6" w:tplc="08090001" w:tentative="1">
      <w:start w:val="1"/>
      <w:numFmt w:val="bullet"/>
      <w:lvlText w:val=""/>
      <w:lvlJc w:val="left"/>
      <w:pPr>
        <w:ind w:left="6604" w:hanging="360"/>
      </w:pPr>
      <w:rPr>
        <w:rFonts w:ascii="Symbol" w:hAnsi="Symbol" w:hint="default"/>
      </w:rPr>
    </w:lvl>
    <w:lvl w:ilvl="7" w:tplc="08090003" w:tentative="1">
      <w:start w:val="1"/>
      <w:numFmt w:val="bullet"/>
      <w:lvlText w:val="o"/>
      <w:lvlJc w:val="left"/>
      <w:pPr>
        <w:ind w:left="7324" w:hanging="360"/>
      </w:pPr>
      <w:rPr>
        <w:rFonts w:ascii="Courier New" w:hAnsi="Courier New" w:cs="Courier New" w:hint="default"/>
      </w:rPr>
    </w:lvl>
    <w:lvl w:ilvl="8" w:tplc="08090005" w:tentative="1">
      <w:start w:val="1"/>
      <w:numFmt w:val="bullet"/>
      <w:lvlText w:val=""/>
      <w:lvlJc w:val="left"/>
      <w:pPr>
        <w:ind w:left="8044" w:hanging="360"/>
      </w:pPr>
      <w:rPr>
        <w:rFonts w:ascii="Wingdings" w:hAnsi="Wingdings" w:hint="default"/>
      </w:rPr>
    </w:lvl>
  </w:abstractNum>
  <w:abstractNum w:abstractNumId="5" w15:restartNumberingAfterBreak="0">
    <w:nsid w:val="788D1B26"/>
    <w:multiLevelType w:val="hybridMultilevel"/>
    <w:tmpl w:val="62EA0244"/>
    <w:lvl w:ilvl="0" w:tplc="62FE49D6">
      <w:start w:val="1"/>
      <w:numFmt w:val="decimal"/>
      <w:lvlText w:val="%1."/>
      <w:lvlJc w:val="left"/>
      <w:pPr>
        <w:ind w:left="1564" w:hanging="351"/>
      </w:pPr>
      <w:rPr>
        <w:rFonts w:ascii="Calibri" w:eastAsia="Calibri" w:hAnsi="Calibri" w:cs="Calibri" w:hint="default"/>
        <w:b w:val="0"/>
        <w:bCs w:val="0"/>
        <w:i w:val="0"/>
        <w:iCs w:val="0"/>
        <w:w w:val="102"/>
        <w:sz w:val="21"/>
        <w:szCs w:val="21"/>
        <w:lang w:val="en-US" w:eastAsia="en-US" w:bidi="ar-SA"/>
      </w:rPr>
    </w:lvl>
    <w:lvl w:ilvl="1" w:tplc="21DA10E8">
      <w:numFmt w:val="bullet"/>
      <w:lvlText w:val=""/>
      <w:lvlJc w:val="left"/>
      <w:pPr>
        <w:ind w:left="1564" w:hanging="351"/>
      </w:pPr>
      <w:rPr>
        <w:rFonts w:ascii="Symbol" w:eastAsia="Symbol" w:hAnsi="Symbol" w:cs="Symbol" w:hint="default"/>
        <w:b w:val="0"/>
        <w:bCs w:val="0"/>
        <w:i w:val="0"/>
        <w:iCs w:val="0"/>
        <w:w w:val="102"/>
        <w:sz w:val="21"/>
        <w:szCs w:val="21"/>
        <w:lang w:val="en-US" w:eastAsia="en-US" w:bidi="ar-SA"/>
      </w:rPr>
    </w:lvl>
    <w:lvl w:ilvl="2" w:tplc="EF567066">
      <w:numFmt w:val="bullet"/>
      <w:lvlText w:val="•"/>
      <w:lvlJc w:val="left"/>
      <w:pPr>
        <w:ind w:left="3429" w:hanging="351"/>
      </w:pPr>
      <w:rPr>
        <w:rFonts w:hint="default"/>
        <w:lang w:val="en-US" w:eastAsia="en-US" w:bidi="ar-SA"/>
      </w:rPr>
    </w:lvl>
    <w:lvl w:ilvl="3" w:tplc="5546B69A">
      <w:numFmt w:val="bullet"/>
      <w:lvlText w:val="•"/>
      <w:lvlJc w:val="left"/>
      <w:pPr>
        <w:ind w:left="4363" w:hanging="351"/>
      </w:pPr>
      <w:rPr>
        <w:rFonts w:hint="default"/>
        <w:lang w:val="en-US" w:eastAsia="en-US" w:bidi="ar-SA"/>
      </w:rPr>
    </w:lvl>
    <w:lvl w:ilvl="4" w:tplc="C54470A6">
      <w:numFmt w:val="bullet"/>
      <w:lvlText w:val="•"/>
      <w:lvlJc w:val="left"/>
      <w:pPr>
        <w:ind w:left="5298" w:hanging="351"/>
      </w:pPr>
      <w:rPr>
        <w:rFonts w:hint="default"/>
        <w:lang w:val="en-US" w:eastAsia="en-US" w:bidi="ar-SA"/>
      </w:rPr>
    </w:lvl>
    <w:lvl w:ilvl="5" w:tplc="F1FE5E5C">
      <w:numFmt w:val="bullet"/>
      <w:lvlText w:val="•"/>
      <w:lvlJc w:val="left"/>
      <w:pPr>
        <w:ind w:left="6233" w:hanging="351"/>
      </w:pPr>
      <w:rPr>
        <w:rFonts w:hint="default"/>
        <w:lang w:val="en-US" w:eastAsia="en-US" w:bidi="ar-SA"/>
      </w:rPr>
    </w:lvl>
    <w:lvl w:ilvl="6" w:tplc="7E643478">
      <w:numFmt w:val="bullet"/>
      <w:lvlText w:val="•"/>
      <w:lvlJc w:val="left"/>
      <w:pPr>
        <w:ind w:left="7167" w:hanging="351"/>
      </w:pPr>
      <w:rPr>
        <w:rFonts w:hint="default"/>
        <w:lang w:val="en-US" w:eastAsia="en-US" w:bidi="ar-SA"/>
      </w:rPr>
    </w:lvl>
    <w:lvl w:ilvl="7" w:tplc="4114F7CA">
      <w:numFmt w:val="bullet"/>
      <w:lvlText w:val="•"/>
      <w:lvlJc w:val="left"/>
      <w:pPr>
        <w:ind w:left="8102" w:hanging="351"/>
      </w:pPr>
      <w:rPr>
        <w:rFonts w:hint="default"/>
        <w:lang w:val="en-US" w:eastAsia="en-US" w:bidi="ar-SA"/>
      </w:rPr>
    </w:lvl>
    <w:lvl w:ilvl="8" w:tplc="AED82B70">
      <w:numFmt w:val="bullet"/>
      <w:lvlText w:val="•"/>
      <w:lvlJc w:val="left"/>
      <w:pPr>
        <w:ind w:left="9037" w:hanging="351"/>
      </w:pPr>
      <w:rPr>
        <w:rFonts w:hint="default"/>
        <w:lang w:val="en-US" w:eastAsia="en-US" w:bidi="ar-SA"/>
      </w:rPr>
    </w:lvl>
  </w:abstractNum>
  <w:abstractNum w:abstractNumId="6" w15:restartNumberingAfterBreak="0">
    <w:nsid w:val="7F9414CF"/>
    <w:multiLevelType w:val="hybridMultilevel"/>
    <w:tmpl w:val="1D047E46"/>
    <w:lvl w:ilvl="0" w:tplc="E888369C">
      <w:numFmt w:val="bullet"/>
      <w:lvlText w:val=""/>
      <w:lvlJc w:val="left"/>
      <w:pPr>
        <w:ind w:left="1564" w:hanging="351"/>
      </w:pPr>
      <w:rPr>
        <w:rFonts w:ascii="Symbol" w:eastAsia="Symbol" w:hAnsi="Symbol" w:cs="Symbol" w:hint="default"/>
        <w:b w:val="0"/>
        <w:bCs w:val="0"/>
        <w:i w:val="0"/>
        <w:iCs w:val="0"/>
        <w:w w:val="102"/>
        <w:sz w:val="21"/>
        <w:szCs w:val="21"/>
        <w:lang w:val="en-US" w:eastAsia="en-US" w:bidi="ar-SA"/>
      </w:rPr>
    </w:lvl>
    <w:lvl w:ilvl="1" w:tplc="7E92134C">
      <w:numFmt w:val="bullet"/>
      <w:lvlText w:val="•"/>
      <w:lvlJc w:val="left"/>
      <w:pPr>
        <w:ind w:left="2494" w:hanging="351"/>
      </w:pPr>
      <w:rPr>
        <w:rFonts w:hint="default"/>
        <w:lang w:val="en-US" w:eastAsia="en-US" w:bidi="ar-SA"/>
      </w:rPr>
    </w:lvl>
    <w:lvl w:ilvl="2" w:tplc="B204EEDC">
      <w:numFmt w:val="bullet"/>
      <w:lvlText w:val="•"/>
      <w:lvlJc w:val="left"/>
      <w:pPr>
        <w:ind w:left="3429" w:hanging="351"/>
      </w:pPr>
      <w:rPr>
        <w:rFonts w:hint="default"/>
        <w:lang w:val="en-US" w:eastAsia="en-US" w:bidi="ar-SA"/>
      </w:rPr>
    </w:lvl>
    <w:lvl w:ilvl="3" w:tplc="EE3E6996">
      <w:numFmt w:val="bullet"/>
      <w:lvlText w:val="•"/>
      <w:lvlJc w:val="left"/>
      <w:pPr>
        <w:ind w:left="4363" w:hanging="351"/>
      </w:pPr>
      <w:rPr>
        <w:rFonts w:hint="default"/>
        <w:lang w:val="en-US" w:eastAsia="en-US" w:bidi="ar-SA"/>
      </w:rPr>
    </w:lvl>
    <w:lvl w:ilvl="4" w:tplc="01708A42">
      <w:numFmt w:val="bullet"/>
      <w:lvlText w:val="•"/>
      <w:lvlJc w:val="left"/>
      <w:pPr>
        <w:ind w:left="5298" w:hanging="351"/>
      </w:pPr>
      <w:rPr>
        <w:rFonts w:hint="default"/>
        <w:lang w:val="en-US" w:eastAsia="en-US" w:bidi="ar-SA"/>
      </w:rPr>
    </w:lvl>
    <w:lvl w:ilvl="5" w:tplc="780CF41C">
      <w:numFmt w:val="bullet"/>
      <w:lvlText w:val="•"/>
      <w:lvlJc w:val="left"/>
      <w:pPr>
        <w:ind w:left="6233" w:hanging="351"/>
      </w:pPr>
      <w:rPr>
        <w:rFonts w:hint="default"/>
        <w:lang w:val="en-US" w:eastAsia="en-US" w:bidi="ar-SA"/>
      </w:rPr>
    </w:lvl>
    <w:lvl w:ilvl="6" w:tplc="64904AF2">
      <w:numFmt w:val="bullet"/>
      <w:lvlText w:val="•"/>
      <w:lvlJc w:val="left"/>
      <w:pPr>
        <w:ind w:left="7167" w:hanging="351"/>
      </w:pPr>
      <w:rPr>
        <w:rFonts w:hint="default"/>
        <w:lang w:val="en-US" w:eastAsia="en-US" w:bidi="ar-SA"/>
      </w:rPr>
    </w:lvl>
    <w:lvl w:ilvl="7" w:tplc="835E3420">
      <w:numFmt w:val="bullet"/>
      <w:lvlText w:val="•"/>
      <w:lvlJc w:val="left"/>
      <w:pPr>
        <w:ind w:left="8102" w:hanging="351"/>
      </w:pPr>
      <w:rPr>
        <w:rFonts w:hint="default"/>
        <w:lang w:val="en-US" w:eastAsia="en-US" w:bidi="ar-SA"/>
      </w:rPr>
    </w:lvl>
    <w:lvl w:ilvl="8" w:tplc="38962E98">
      <w:numFmt w:val="bullet"/>
      <w:lvlText w:val="•"/>
      <w:lvlJc w:val="left"/>
      <w:pPr>
        <w:ind w:left="9037" w:hanging="351"/>
      </w:pPr>
      <w:rPr>
        <w:rFonts w:hint="default"/>
        <w:lang w:val="en-US" w:eastAsia="en-US" w:bidi="ar-SA"/>
      </w:rPr>
    </w:lvl>
  </w:abstractNum>
  <w:num w:numId="1" w16cid:durableId="842282521">
    <w:abstractNumId w:val="0"/>
  </w:num>
  <w:num w:numId="2" w16cid:durableId="1580863426">
    <w:abstractNumId w:val="5"/>
  </w:num>
  <w:num w:numId="3" w16cid:durableId="836582203">
    <w:abstractNumId w:val="6"/>
  </w:num>
  <w:num w:numId="4" w16cid:durableId="822503287">
    <w:abstractNumId w:val="3"/>
  </w:num>
  <w:num w:numId="5" w16cid:durableId="1873230380">
    <w:abstractNumId w:val="2"/>
  </w:num>
  <w:num w:numId="6" w16cid:durableId="1817722326">
    <w:abstractNumId w:val="1"/>
  </w:num>
  <w:num w:numId="7" w16cid:durableId="1689718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0F"/>
    <w:rsid w:val="00005A14"/>
    <w:rsid w:val="00006F4E"/>
    <w:rsid w:val="00072EB5"/>
    <w:rsid w:val="001028B2"/>
    <w:rsid w:val="00224A18"/>
    <w:rsid w:val="003B6ED2"/>
    <w:rsid w:val="00410B24"/>
    <w:rsid w:val="004153C8"/>
    <w:rsid w:val="004272A0"/>
    <w:rsid w:val="00580985"/>
    <w:rsid w:val="005D6038"/>
    <w:rsid w:val="005E140F"/>
    <w:rsid w:val="005F7A26"/>
    <w:rsid w:val="007169C5"/>
    <w:rsid w:val="00725822"/>
    <w:rsid w:val="0086667F"/>
    <w:rsid w:val="009371B7"/>
    <w:rsid w:val="009620E7"/>
    <w:rsid w:val="009F52F1"/>
    <w:rsid w:val="00A11E9F"/>
    <w:rsid w:val="00A31168"/>
    <w:rsid w:val="00B93545"/>
    <w:rsid w:val="00C84745"/>
    <w:rsid w:val="00CA7812"/>
    <w:rsid w:val="00D471DA"/>
    <w:rsid w:val="00DB08E4"/>
    <w:rsid w:val="00DD580B"/>
    <w:rsid w:val="00E2134C"/>
    <w:rsid w:val="00E35794"/>
    <w:rsid w:val="00E37362"/>
    <w:rsid w:val="00E436E3"/>
    <w:rsid w:val="00EE4467"/>
    <w:rsid w:val="00EF66FD"/>
    <w:rsid w:val="00F168AF"/>
    <w:rsid w:val="00F3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A47CB"/>
  <w15:docId w15:val="{5CA92067-E544-445E-9CA3-567F73EE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64" w:hanging="351"/>
      <w:outlineLvl w:val="0"/>
    </w:pPr>
    <w:rPr>
      <w:b/>
      <w:bCs/>
      <w:sz w:val="39"/>
      <w:szCs w:val="39"/>
    </w:rPr>
  </w:style>
  <w:style w:type="paragraph" w:styleId="Heading2">
    <w:name w:val="heading 2"/>
    <w:basedOn w:val="Normal"/>
    <w:uiPriority w:val="9"/>
    <w:unhideWhenUsed/>
    <w:qFormat/>
    <w:pPr>
      <w:ind w:left="864"/>
      <w:outlineLvl w:val="1"/>
    </w:pPr>
    <w:rPr>
      <w:b/>
      <w:bCs/>
      <w:sz w:val="31"/>
      <w:szCs w:val="31"/>
    </w:rPr>
  </w:style>
  <w:style w:type="paragraph" w:styleId="Heading3">
    <w:name w:val="heading 3"/>
    <w:basedOn w:val="Normal"/>
    <w:uiPriority w:val="9"/>
    <w:unhideWhenUsed/>
    <w:qFormat/>
    <w:pPr>
      <w:ind w:left="863"/>
      <w:outlineLvl w:val="2"/>
    </w:pPr>
    <w:rPr>
      <w:b/>
      <w:bCs/>
      <w:sz w:val="27"/>
      <w:szCs w:val="27"/>
    </w:rPr>
  </w:style>
  <w:style w:type="paragraph" w:styleId="Heading4">
    <w:name w:val="heading 4"/>
    <w:basedOn w:val="Normal"/>
    <w:uiPriority w:val="9"/>
    <w:unhideWhenUsed/>
    <w:qFormat/>
    <w:pPr>
      <w:spacing w:before="95"/>
      <w:ind w:left="103"/>
      <w:outlineLvl w:val="3"/>
    </w:pPr>
    <w:rPr>
      <w:rFonts w:ascii="Arial MT" w:eastAsia="Arial MT" w:hAnsi="Arial MT" w:cs="Arial MT"/>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230"/>
    </w:pPr>
    <w:rPr>
      <w:rFonts w:ascii="Arial MT" w:eastAsia="Arial MT" w:hAnsi="Arial MT" w:cs="Arial MT"/>
      <w:sz w:val="23"/>
      <w:szCs w:val="23"/>
    </w:rPr>
  </w:style>
  <w:style w:type="paragraph" w:styleId="TOC2">
    <w:name w:val="toc 2"/>
    <w:basedOn w:val="Normal"/>
    <w:uiPriority w:val="1"/>
    <w:qFormat/>
    <w:pPr>
      <w:spacing w:before="46"/>
      <w:ind w:left="1291" w:hanging="429"/>
    </w:pPr>
    <w:rPr>
      <w:b/>
      <w:bCs/>
      <w:sz w:val="21"/>
      <w:szCs w:val="21"/>
    </w:rPr>
  </w:style>
  <w:style w:type="paragraph" w:styleId="TOC3">
    <w:name w:val="toc 3"/>
    <w:basedOn w:val="Normal"/>
    <w:uiPriority w:val="1"/>
    <w:qFormat/>
    <w:pPr>
      <w:spacing w:before="44"/>
      <w:ind w:left="1077"/>
    </w:pPr>
    <w:rPr>
      <w:b/>
      <w:bCs/>
      <w:sz w:val="21"/>
      <w:szCs w:val="21"/>
    </w:rPr>
  </w:style>
  <w:style w:type="paragraph" w:styleId="TOC4">
    <w:name w:val="toc 4"/>
    <w:basedOn w:val="Normal"/>
    <w:uiPriority w:val="1"/>
    <w:qFormat/>
    <w:pPr>
      <w:spacing w:before="142"/>
      <w:ind w:left="1077"/>
    </w:pPr>
    <w:rPr>
      <w:b/>
      <w:bCs/>
      <w:i/>
      <w:iCs/>
    </w:rPr>
  </w:style>
  <w:style w:type="paragraph" w:styleId="TOC5">
    <w:name w:val="toc 5"/>
    <w:basedOn w:val="Normal"/>
    <w:uiPriority w:val="1"/>
    <w:qFormat/>
    <w:pPr>
      <w:spacing w:before="46"/>
      <w:ind w:left="1291"/>
    </w:pPr>
    <w:rPr>
      <w:b/>
      <w:bCs/>
      <w:sz w:val="21"/>
      <w:szCs w:val="21"/>
    </w:rPr>
  </w:style>
  <w:style w:type="paragraph" w:styleId="TOC6">
    <w:name w:val="toc 6"/>
    <w:basedOn w:val="Normal"/>
    <w:uiPriority w:val="1"/>
    <w:qFormat/>
    <w:pPr>
      <w:spacing w:before="142"/>
      <w:ind w:left="1291"/>
    </w:pPr>
    <w:rPr>
      <w:b/>
      <w:bCs/>
      <w:i/>
      <w:iCs/>
    </w:rPr>
  </w:style>
  <w:style w:type="paragraph" w:styleId="BodyText">
    <w:name w:val="Body Text"/>
    <w:basedOn w:val="Normal"/>
    <w:uiPriority w:val="1"/>
    <w:qFormat/>
    <w:rPr>
      <w:sz w:val="21"/>
      <w:szCs w:val="21"/>
    </w:rPr>
  </w:style>
  <w:style w:type="paragraph" w:styleId="Title">
    <w:name w:val="Title"/>
    <w:basedOn w:val="Normal"/>
    <w:uiPriority w:val="10"/>
    <w:qFormat/>
    <w:pPr>
      <w:spacing w:before="4"/>
      <w:ind w:left="3422" w:right="1451" w:hanging="905"/>
    </w:pPr>
    <w:rPr>
      <w:b/>
      <w:bCs/>
      <w:sz w:val="50"/>
      <w:szCs w:val="50"/>
    </w:rPr>
  </w:style>
  <w:style w:type="paragraph" w:styleId="ListParagraph">
    <w:name w:val="List Paragraph"/>
    <w:basedOn w:val="Normal"/>
    <w:uiPriority w:val="1"/>
    <w:qFormat/>
    <w:pPr>
      <w:ind w:left="1564" w:hanging="351"/>
    </w:pPr>
  </w:style>
  <w:style w:type="paragraph" w:customStyle="1" w:styleId="TableParagraph">
    <w:name w:val="Table Paragraph"/>
    <w:basedOn w:val="Normal"/>
    <w:uiPriority w:val="1"/>
    <w:qFormat/>
    <w:pPr>
      <w:spacing w:before="3" w:line="237" w:lineRule="exact"/>
      <w:ind w:left="103"/>
    </w:pPr>
  </w:style>
  <w:style w:type="paragraph" w:styleId="Revision">
    <w:name w:val="Revision"/>
    <w:hidden/>
    <w:uiPriority w:val="99"/>
    <w:semiHidden/>
    <w:rsid w:val="00006F4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06F4E"/>
    <w:rPr>
      <w:sz w:val="16"/>
      <w:szCs w:val="16"/>
    </w:rPr>
  </w:style>
  <w:style w:type="paragraph" w:styleId="CommentText">
    <w:name w:val="annotation text"/>
    <w:basedOn w:val="Normal"/>
    <w:link w:val="CommentTextChar"/>
    <w:uiPriority w:val="99"/>
    <w:unhideWhenUsed/>
    <w:rsid w:val="00006F4E"/>
    <w:rPr>
      <w:sz w:val="20"/>
      <w:szCs w:val="20"/>
    </w:rPr>
  </w:style>
  <w:style w:type="character" w:customStyle="1" w:styleId="CommentTextChar">
    <w:name w:val="Comment Text Char"/>
    <w:basedOn w:val="DefaultParagraphFont"/>
    <w:link w:val="CommentText"/>
    <w:uiPriority w:val="99"/>
    <w:rsid w:val="00006F4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6F4E"/>
    <w:rPr>
      <w:b/>
      <w:bCs/>
    </w:rPr>
  </w:style>
  <w:style w:type="character" w:customStyle="1" w:styleId="CommentSubjectChar">
    <w:name w:val="Comment Subject Char"/>
    <w:basedOn w:val="CommentTextChar"/>
    <w:link w:val="CommentSubject"/>
    <w:uiPriority w:val="99"/>
    <w:semiHidden/>
    <w:rsid w:val="00006F4E"/>
    <w:rPr>
      <w:rFonts w:ascii="Calibri" w:eastAsia="Calibri" w:hAnsi="Calibri" w:cs="Calibri"/>
      <w:b/>
      <w:bCs/>
      <w:sz w:val="20"/>
      <w:szCs w:val="20"/>
    </w:rPr>
  </w:style>
  <w:style w:type="character" w:styleId="Hyperlink">
    <w:name w:val="Hyperlink"/>
    <w:basedOn w:val="DefaultParagraphFont"/>
    <w:uiPriority w:val="99"/>
    <w:unhideWhenUsed/>
    <w:rsid w:val="00EF66FD"/>
    <w:rPr>
      <w:color w:val="0000FF" w:themeColor="hyperlink"/>
      <w:u w:val="single"/>
    </w:rPr>
  </w:style>
  <w:style w:type="character" w:styleId="UnresolvedMention">
    <w:name w:val="Unresolved Mention"/>
    <w:basedOn w:val="DefaultParagraphFont"/>
    <w:uiPriority w:val="99"/>
    <w:semiHidden/>
    <w:unhideWhenUsed/>
    <w:rsid w:val="00EF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aff.napier.ac.uk/PolicyAdministration/HomePageAdmin/Documents/Credit%20conversion%20for%20Student%20Mobility.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napier.ac.uk/your-studies/study-abroad/exchange-credit-requirement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epstudyabroa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udyabroad@napier.ac.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1905C267B9B4FADE4298604E18142" ma:contentTypeVersion="0" ma:contentTypeDescription="Create a new document." ma:contentTypeScope="" ma:versionID="f6c12bb159bb351c02c3de90fdd201d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D364B-F591-4A9B-9546-5A19E29619CF}"/>
</file>

<file path=customXml/itemProps2.xml><?xml version="1.0" encoding="utf-8"?>
<ds:datastoreItem xmlns:ds="http://schemas.openxmlformats.org/officeDocument/2006/customXml" ds:itemID="{F539B3BF-8E60-415B-AE07-D4D85F526D58}"/>
</file>

<file path=customXml/itemProps3.xml><?xml version="1.0" encoding="utf-8"?>
<ds:datastoreItem xmlns:ds="http://schemas.openxmlformats.org/officeDocument/2006/customXml" ds:itemID="{4FDCA9E1-DE35-4CA6-87E4-7EB50BC8FCDB}"/>
</file>

<file path=docProps/app.xml><?xml version="1.0" encoding="utf-8"?>
<Properties xmlns="http://schemas.openxmlformats.org/officeDocument/2006/extended-properties" xmlns:vt="http://schemas.openxmlformats.org/officeDocument/2006/docPropsVTypes">
  <Template>Normal.dotm</Template>
  <TotalTime>0</TotalTime>
  <Pages>22</Pages>
  <Words>5825</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Microsoft Word - OutgoingExchangePolicy 2024-25 FINAL.docx</vt:lpstr>
    </vt:vector>
  </TitlesOfParts>
  <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OutgoingExchangePolicy 2024-25 FINAL.docx</dc:title>
  <dc:creator>40008893</dc:creator>
  <cp:lastModifiedBy>Bennett, Sharyn</cp:lastModifiedBy>
  <cp:revision>2</cp:revision>
  <dcterms:created xsi:type="dcterms:W3CDTF">2024-08-29T16:32:00Z</dcterms:created>
  <dcterms:modified xsi:type="dcterms:W3CDTF">2024-08-29T16:32:00Z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LastSaved">
    <vt:filetime>2023-09-05T00:00:00Z</vt:filetime>
  </property>
  <property fmtid="{D5CDD505-2E9C-101B-9397-08002B2CF9AE}" pid="4" name="Producer">
    <vt:lpwstr>Microsoft: Print To PDF</vt:lpwstr>
  </property>
  <property fmtid="{D5CDD505-2E9C-101B-9397-08002B2CF9AE}" pid="5" name="GrammarlyDocumentId">
    <vt:lpwstr>f2d435cb10b1d70fb49f5e6c5a1f9099c7918318b66452e681c0f890f4d628db</vt:lpwstr>
  </property>
  <property fmtid="{D5CDD505-2E9C-101B-9397-08002B2CF9AE}" pid="6" name="ContentTypeId">
    <vt:lpwstr>0x01010004D1905C267B9B4FADE4298604E18142</vt:lpwstr>
  </property>
</Properties>
</file>