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iagrams/data1.xml" ContentType="application/vnd.openxmlformats-officedocument.drawingml.diagramData+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customXml/itemProps1.xml" ContentType="application/vnd.openxmlformats-officedocument.customXml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DA8DA" w14:textId="17AADDD4" w:rsidR="00BB38E6" w:rsidRPr="00BB38E6" w:rsidRDefault="00BB38E6" w:rsidP="00BB38E6">
      <w:pPr>
        <w:jc w:val="both"/>
        <w:rPr>
          <w:noProof/>
          <w:lang w:eastAsia="en-GB"/>
        </w:rPr>
      </w:pPr>
    </w:p>
    <w:p w14:paraId="1B3397D4" w14:textId="77777777" w:rsidR="00BB38E6" w:rsidRPr="00BB38E6" w:rsidRDefault="00BB38E6" w:rsidP="00BB38E6">
      <w:pPr>
        <w:jc w:val="both"/>
        <w:rPr>
          <w:noProof/>
          <w:lang w:eastAsia="en-GB"/>
        </w:rPr>
      </w:pPr>
    </w:p>
    <w:tbl>
      <w:tblPr>
        <w:tblStyle w:val="TableGrid3"/>
        <w:tblpPr w:leftFromText="180" w:rightFromText="180" w:vertAnchor="text" w:horzAnchor="margin" w:tblpY="75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7495"/>
      </w:tblGrid>
      <w:tr w:rsidR="00F74317" w:rsidRPr="00910461" w14:paraId="1F65CB66" w14:textId="77777777" w:rsidTr="00F74317">
        <w:trPr>
          <w:trHeight w:val="3434"/>
        </w:trPr>
        <w:tc>
          <w:tcPr>
            <w:tcW w:w="2127" w:type="dxa"/>
          </w:tcPr>
          <w:p w14:paraId="33263AF5" w14:textId="77777777" w:rsidR="00F74317" w:rsidRPr="0042637A" w:rsidRDefault="00F74317" w:rsidP="00F74317">
            <w:pPr>
              <w:autoSpaceDE w:val="0"/>
              <w:autoSpaceDN w:val="0"/>
              <w:adjustRightInd w:val="0"/>
              <w:rPr>
                <w:rFonts w:ascii="Titillium" w:eastAsiaTheme="minorEastAsia" w:hAnsi="Titillium" w:cs="Titillium-Semibold"/>
                <w:b/>
                <w:color w:val="67B8E7"/>
              </w:rPr>
            </w:pPr>
            <w:r w:rsidRPr="00D72AA6">
              <w:rPr>
                <w:rFonts w:ascii="Titillium" w:eastAsiaTheme="minorEastAsia" w:hAnsi="Titillium" w:cs="Titillium-Semibold"/>
                <w:b/>
                <w:color w:val="67B8E7"/>
              </w:rPr>
              <w:t>Table of Contents</w:t>
            </w:r>
          </w:p>
          <w:p w14:paraId="5CB0A324" w14:textId="77777777" w:rsidR="00F74317" w:rsidRPr="004401DC" w:rsidRDefault="00F74317" w:rsidP="00F74317">
            <w:pPr>
              <w:autoSpaceDE w:val="0"/>
              <w:autoSpaceDN w:val="0"/>
              <w:adjustRightInd w:val="0"/>
              <w:rPr>
                <w:rFonts w:ascii="Titillium" w:eastAsiaTheme="minorEastAsia" w:hAnsi="Titillium" w:cs="Titillium-Semibold"/>
                <w:b/>
                <w:color w:val="67B8E7"/>
              </w:rPr>
            </w:pPr>
          </w:p>
          <w:p w14:paraId="7F6F899F" w14:textId="77777777" w:rsidR="00F74317" w:rsidRPr="004401DC" w:rsidRDefault="00F74317" w:rsidP="00F74317">
            <w:pPr>
              <w:autoSpaceDE w:val="0"/>
              <w:autoSpaceDN w:val="0"/>
              <w:adjustRightInd w:val="0"/>
              <w:rPr>
                <w:rFonts w:ascii="Titillium" w:eastAsiaTheme="minorEastAsia" w:hAnsi="Titillium" w:cs="Titillium-Semibold"/>
                <w:b/>
                <w:color w:val="67B8E7"/>
              </w:rPr>
            </w:pPr>
          </w:p>
          <w:p w14:paraId="74FF8807" w14:textId="77777777" w:rsidR="00F74317" w:rsidRPr="004401DC" w:rsidRDefault="00F74317" w:rsidP="00F74317">
            <w:pPr>
              <w:autoSpaceDE w:val="0"/>
              <w:autoSpaceDN w:val="0"/>
              <w:adjustRightInd w:val="0"/>
              <w:rPr>
                <w:rFonts w:ascii="Titillium" w:eastAsiaTheme="minorEastAsia" w:hAnsi="Titillium" w:cs="Titillium-Semibold"/>
                <w:b/>
                <w:color w:val="67B8E7"/>
              </w:rPr>
            </w:pPr>
          </w:p>
          <w:p w14:paraId="0A126AB5" w14:textId="77777777" w:rsidR="00F74317" w:rsidRPr="004401DC" w:rsidRDefault="00F74317" w:rsidP="00F74317">
            <w:pPr>
              <w:autoSpaceDE w:val="0"/>
              <w:autoSpaceDN w:val="0"/>
              <w:adjustRightInd w:val="0"/>
              <w:rPr>
                <w:rFonts w:ascii="Titillium" w:eastAsiaTheme="minorEastAsia" w:hAnsi="Titillium" w:cs="Titillium-Semibold"/>
                <w:b/>
                <w:color w:val="67B8E7"/>
              </w:rPr>
            </w:pPr>
          </w:p>
          <w:p w14:paraId="7F946676" w14:textId="77777777" w:rsidR="00F74317" w:rsidRPr="004401DC" w:rsidRDefault="00F74317" w:rsidP="00F74317">
            <w:pPr>
              <w:autoSpaceDE w:val="0"/>
              <w:autoSpaceDN w:val="0"/>
              <w:adjustRightInd w:val="0"/>
              <w:rPr>
                <w:rFonts w:ascii="Titillium" w:eastAsiaTheme="minorEastAsia" w:hAnsi="Titillium" w:cs="Titillium-Semibold"/>
                <w:b/>
                <w:color w:val="67B8E7"/>
              </w:rPr>
            </w:pPr>
          </w:p>
          <w:p w14:paraId="7B2BAC5B" w14:textId="77777777" w:rsidR="00F74317" w:rsidRPr="004401DC" w:rsidRDefault="00F74317" w:rsidP="00F74317">
            <w:pPr>
              <w:autoSpaceDE w:val="0"/>
              <w:autoSpaceDN w:val="0"/>
              <w:adjustRightInd w:val="0"/>
              <w:rPr>
                <w:rFonts w:ascii="Titillium" w:eastAsiaTheme="minorEastAsia" w:hAnsi="Titillium" w:cs="Titillium-Semibold"/>
                <w:b/>
                <w:color w:val="67B8E7"/>
              </w:rPr>
            </w:pPr>
          </w:p>
          <w:p w14:paraId="55802A0D" w14:textId="77777777" w:rsidR="00F74317" w:rsidRPr="004401DC" w:rsidRDefault="00F74317" w:rsidP="00F74317">
            <w:pPr>
              <w:autoSpaceDE w:val="0"/>
              <w:autoSpaceDN w:val="0"/>
              <w:adjustRightInd w:val="0"/>
              <w:ind w:right="-243"/>
              <w:rPr>
                <w:rFonts w:ascii="Titillium" w:eastAsiaTheme="minorEastAsia" w:hAnsi="Titillium" w:cs="Titillium-Semibold"/>
                <w:b/>
                <w:color w:val="67B8E7"/>
              </w:rPr>
            </w:pPr>
          </w:p>
          <w:p w14:paraId="30DA0C77" w14:textId="77777777" w:rsidR="00F74317" w:rsidRPr="004401DC" w:rsidRDefault="00F74317" w:rsidP="00F74317">
            <w:pPr>
              <w:autoSpaceDE w:val="0"/>
              <w:autoSpaceDN w:val="0"/>
              <w:adjustRightInd w:val="0"/>
              <w:rPr>
                <w:rFonts w:ascii="Titillium" w:eastAsiaTheme="minorEastAsia" w:hAnsi="Titillium" w:cs="Titillium-Semibold"/>
                <w:b/>
                <w:color w:val="67B8E7"/>
              </w:rPr>
            </w:pPr>
          </w:p>
          <w:p w14:paraId="381CFF9B" w14:textId="77777777" w:rsidR="00F74317" w:rsidRPr="004401DC" w:rsidRDefault="00F74317" w:rsidP="00F74317">
            <w:pPr>
              <w:autoSpaceDE w:val="0"/>
              <w:autoSpaceDN w:val="0"/>
              <w:adjustRightInd w:val="0"/>
              <w:rPr>
                <w:rFonts w:ascii="Titillium" w:eastAsiaTheme="minorEastAsia" w:hAnsi="Titillium" w:cs="Titillium-Semibold"/>
                <w:b/>
                <w:color w:val="67B8E7"/>
              </w:rPr>
            </w:pPr>
          </w:p>
          <w:p w14:paraId="4B86B6FF" w14:textId="77777777" w:rsidR="00F74317" w:rsidRPr="004401DC" w:rsidRDefault="00F74317" w:rsidP="00F74317">
            <w:pPr>
              <w:autoSpaceDE w:val="0"/>
              <w:autoSpaceDN w:val="0"/>
              <w:adjustRightInd w:val="0"/>
              <w:rPr>
                <w:rFonts w:ascii="Titillium" w:eastAsiaTheme="minorEastAsia" w:hAnsi="Titillium" w:cs="Titillium-Semibold"/>
                <w:b/>
                <w:color w:val="67B8E7"/>
              </w:rPr>
            </w:pPr>
          </w:p>
          <w:p w14:paraId="795E4AA5" w14:textId="74C4F703" w:rsidR="00F74317" w:rsidRDefault="00F74317" w:rsidP="00F74317">
            <w:pPr>
              <w:autoSpaceDE w:val="0"/>
              <w:autoSpaceDN w:val="0"/>
              <w:adjustRightInd w:val="0"/>
              <w:rPr>
                <w:rFonts w:ascii="Titillium" w:eastAsiaTheme="minorEastAsia" w:hAnsi="Titillium" w:cs="Titillium-Semibold"/>
                <w:b/>
                <w:color w:val="67B8E7"/>
                <w:sz w:val="12"/>
                <w:szCs w:val="12"/>
              </w:rPr>
            </w:pPr>
          </w:p>
          <w:p w14:paraId="434520CE" w14:textId="77777777" w:rsidR="00F74317" w:rsidRPr="00847B40" w:rsidRDefault="00F74317" w:rsidP="00F74317">
            <w:pPr>
              <w:autoSpaceDE w:val="0"/>
              <w:autoSpaceDN w:val="0"/>
              <w:adjustRightInd w:val="0"/>
              <w:rPr>
                <w:rFonts w:ascii="Titillium" w:eastAsiaTheme="minorEastAsia" w:hAnsi="Titillium" w:cs="Titillium-Semibold"/>
                <w:b/>
                <w:color w:val="67B8E7"/>
                <w:sz w:val="12"/>
                <w:szCs w:val="12"/>
              </w:rPr>
            </w:pPr>
          </w:p>
          <w:p w14:paraId="6D873457" w14:textId="77777777" w:rsidR="00AA699A" w:rsidRDefault="00AA699A" w:rsidP="00F74317">
            <w:pPr>
              <w:autoSpaceDE w:val="0"/>
              <w:autoSpaceDN w:val="0"/>
              <w:adjustRightInd w:val="0"/>
              <w:rPr>
                <w:rFonts w:ascii="Titillium" w:eastAsiaTheme="minorEastAsia" w:hAnsi="Titillium" w:cs="Titillium-Semibold"/>
                <w:b/>
                <w:color w:val="67B8E7"/>
              </w:rPr>
            </w:pPr>
          </w:p>
          <w:p w14:paraId="6CED76AB" w14:textId="77777777" w:rsidR="00AA699A" w:rsidRDefault="00AA699A" w:rsidP="00F74317">
            <w:pPr>
              <w:autoSpaceDE w:val="0"/>
              <w:autoSpaceDN w:val="0"/>
              <w:adjustRightInd w:val="0"/>
              <w:rPr>
                <w:rFonts w:ascii="Titillium" w:eastAsiaTheme="minorEastAsia" w:hAnsi="Titillium" w:cs="Titillium-Semibold"/>
                <w:b/>
                <w:color w:val="67B8E7"/>
              </w:rPr>
            </w:pPr>
          </w:p>
          <w:p w14:paraId="130C97F0" w14:textId="77777777" w:rsidR="00AA699A" w:rsidRDefault="00AA699A" w:rsidP="00F74317">
            <w:pPr>
              <w:autoSpaceDE w:val="0"/>
              <w:autoSpaceDN w:val="0"/>
              <w:adjustRightInd w:val="0"/>
              <w:rPr>
                <w:rFonts w:ascii="Titillium" w:eastAsiaTheme="minorEastAsia" w:hAnsi="Titillium" w:cs="Titillium-Semibold"/>
                <w:b/>
                <w:color w:val="67B8E7"/>
              </w:rPr>
            </w:pPr>
          </w:p>
          <w:p w14:paraId="2141FBD7" w14:textId="77777777" w:rsidR="00AA699A" w:rsidRDefault="00AA699A" w:rsidP="00F74317">
            <w:pPr>
              <w:autoSpaceDE w:val="0"/>
              <w:autoSpaceDN w:val="0"/>
              <w:adjustRightInd w:val="0"/>
              <w:rPr>
                <w:rFonts w:ascii="Titillium" w:eastAsiaTheme="minorEastAsia" w:hAnsi="Titillium" w:cs="Titillium-Semibold"/>
                <w:b/>
                <w:color w:val="67B8E7"/>
              </w:rPr>
            </w:pPr>
          </w:p>
          <w:p w14:paraId="644ECEB0" w14:textId="246B0A5C" w:rsidR="003F0DCC" w:rsidRDefault="003F0DCC" w:rsidP="00F74317">
            <w:pPr>
              <w:autoSpaceDE w:val="0"/>
              <w:autoSpaceDN w:val="0"/>
              <w:adjustRightInd w:val="0"/>
              <w:rPr>
                <w:rFonts w:ascii="Titillium" w:eastAsiaTheme="minorEastAsia" w:hAnsi="Titillium" w:cs="Titillium-Semibold"/>
                <w:b/>
                <w:color w:val="67B8E7"/>
                <w:sz w:val="2"/>
              </w:rPr>
            </w:pPr>
          </w:p>
          <w:p w14:paraId="39793095" w14:textId="7987DB80" w:rsidR="003F0DCC" w:rsidRDefault="003F0DCC" w:rsidP="00F74317">
            <w:pPr>
              <w:autoSpaceDE w:val="0"/>
              <w:autoSpaceDN w:val="0"/>
              <w:adjustRightInd w:val="0"/>
              <w:rPr>
                <w:rFonts w:ascii="Titillium" w:eastAsiaTheme="minorEastAsia" w:hAnsi="Titillium" w:cs="Titillium-Semibold"/>
                <w:b/>
                <w:color w:val="67B8E7"/>
                <w:sz w:val="2"/>
              </w:rPr>
            </w:pPr>
          </w:p>
          <w:p w14:paraId="6BFCC8F0" w14:textId="0EADD84C" w:rsidR="003F0DCC" w:rsidRDefault="003F0DCC" w:rsidP="00F74317">
            <w:pPr>
              <w:autoSpaceDE w:val="0"/>
              <w:autoSpaceDN w:val="0"/>
              <w:adjustRightInd w:val="0"/>
              <w:rPr>
                <w:rFonts w:ascii="Titillium" w:eastAsiaTheme="minorEastAsia" w:hAnsi="Titillium" w:cs="Titillium-Semibold"/>
                <w:b/>
                <w:color w:val="67B8E7"/>
                <w:sz w:val="2"/>
              </w:rPr>
            </w:pPr>
          </w:p>
          <w:p w14:paraId="3E4F8618" w14:textId="0BD82030" w:rsidR="003F0DCC" w:rsidRDefault="003F0DCC" w:rsidP="00F74317">
            <w:pPr>
              <w:autoSpaceDE w:val="0"/>
              <w:autoSpaceDN w:val="0"/>
              <w:adjustRightInd w:val="0"/>
              <w:rPr>
                <w:rFonts w:ascii="Titillium" w:eastAsiaTheme="minorEastAsia" w:hAnsi="Titillium" w:cs="Titillium-Semibold"/>
                <w:b/>
                <w:color w:val="67B8E7"/>
                <w:sz w:val="2"/>
              </w:rPr>
            </w:pPr>
          </w:p>
          <w:p w14:paraId="7D578044" w14:textId="20E09EB3" w:rsidR="003F0DCC" w:rsidRDefault="003F0DCC" w:rsidP="00F74317">
            <w:pPr>
              <w:autoSpaceDE w:val="0"/>
              <w:autoSpaceDN w:val="0"/>
              <w:adjustRightInd w:val="0"/>
              <w:rPr>
                <w:rFonts w:ascii="Titillium" w:eastAsiaTheme="minorEastAsia" w:hAnsi="Titillium" w:cs="Titillium-Semibold"/>
                <w:b/>
                <w:color w:val="67B8E7"/>
                <w:sz w:val="2"/>
              </w:rPr>
            </w:pPr>
          </w:p>
          <w:p w14:paraId="64350561" w14:textId="611C3799" w:rsidR="003F0DCC" w:rsidRDefault="003F0DCC" w:rsidP="00F74317">
            <w:pPr>
              <w:autoSpaceDE w:val="0"/>
              <w:autoSpaceDN w:val="0"/>
              <w:adjustRightInd w:val="0"/>
              <w:rPr>
                <w:rFonts w:ascii="Titillium" w:eastAsiaTheme="minorEastAsia" w:hAnsi="Titillium" w:cs="Titillium-Semibold"/>
                <w:b/>
                <w:color w:val="67B8E7"/>
                <w:sz w:val="2"/>
              </w:rPr>
            </w:pPr>
          </w:p>
          <w:p w14:paraId="128DCEDD" w14:textId="6545A570" w:rsidR="003F0DCC" w:rsidRDefault="003F0DCC" w:rsidP="00F74317">
            <w:pPr>
              <w:autoSpaceDE w:val="0"/>
              <w:autoSpaceDN w:val="0"/>
              <w:adjustRightInd w:val="0"/>
              <w:rPr>
                <w:rFonts w:ascii="Titillium" w:eastAsiaTheme="minorEastAsia" w:hAnsi="Titillium" w:cs="Titillium-Semibold"/>
                <w:b/>
                <w:color w:val="67B8E7"/>
                <w:sz w:val="2"/>
              </w:rPr>
            </w:pPr>
          </w:p>
          <w:p w14:paraId="3BE89985" w14:textId="6556695E" w:rsidR="003F0DCC" w:rsidRDefault="003F0DCC" w:rsidP="00F74317">
            <w:pPr>
              <w:autoSpaceDE w:val="0"/>
              <w:autoSpaceDN w:val="0"/>
              <w:adjustRightInd w:val="0"/>
              <w:rPr>
                <w:rFonts w:ascii="Titillium" w:eastAsiaTheme="minorEastAsia" w:hAnsi="Titillium" w:cs="Titillium-Semibold"/>
                <w:b/>
                <w:color w:val="67B8E7"/>
                <w:sz w:val="2"/>
              </w:rPr>
            </w:pPr>
          </w:p>
          <w:p w14:paraId="3F152420" w14:textId="2917A576" w:rsidR="003F0DCC" w:rsidRDefault="003F0DCC" w:rsidP="00F74317">
            <w:pPr>
              <w:autoSpaceDE w:val="0"/>
              <w:autoSpaceDN w:val="0"/>
              <w:adjustRightInd w:val="0"/>
              <w:rPr>
                <w:rFonts w:ascii="Titillium" w:eastAsiaTheme="minorEastAsia" w:hAnsi="Titillium" w:cs="Titillium-Semibold"/>
                <w:b/>
                <w:color w:val="67B8E7"/>
                <w:sz w:val="2"/>
              </w:rPr>
            </w:pPr>
          </w:p>
          <w:p w14:paraId="0B335E70" w14:textId="4CBA9580" w:rsidR="003F0DCC" w:rsidRDefault="003F0DCC" w:rsidP="00F74317">
            <w:pPr>
              <w:autoSpaceDE w:val="0"/>
              <w:autoSpaceDN w:val="0"/>
              <w:adjustRightInd w:val="0"/>
              <w:rPr>
                <w:rFonts w:ascii="Titillium" w:eastAsiaTheme="minorEastAsia" w:hAnsi="Titillium" w:cs="Titillium-Semibold"/>
                <w:b/>
                <w:color w:val="67B8E7"/>
                <w:sz w:val="2"/>
              </w:rPr>
            </w:pPr>
          </w:p>
          <w:p w14:paraId="2D062CCA" w14:textId="60F0FA54" w:rsidR="003F0DCC" w:rsidRDefault="003F0DCC" w:rsidP="00F74317">
            <w:pPr>
              <w:autoSpaceDE w:val="0"/>
              <w:autoSpaceDN w:val="0"/>
              <w:adjustRightInd w:val="0"/>
              <w:rPr>
                <w:rFonts w:ascii="Titillium" w:eastAsiaTheme="minorEastAsia" w:hAnsi="Titillium" w:cs="Titillium-Semibold"/>
                <w:b/>
                <w:color w:val="67B8E7"/>
                <w:sz w:val="2"/>
              </w:rPr>
            </w:pPr>
          </w:p>
          <w:p w14:paraId="17C04428" w14:textId="46036BA0" w:rsidR="003F0DCC" w:rsidRDefault="003F0DCC" w:rsidP="00F74317">
            <w:pPr>
              <w:autoSpaceDE w:val="0"/>
              <w:autoSpaceDN w:val="0"/>
              <w:adjustRightInd w:val="0"/>
              <w:rPr>
                <w:rFonts w:ascii="Titillium" w:eastAsiaTheme="minorEastAsia" w:hAnsi="Titillium" w:cs="Titillium-Semibold"/>
                <w:b/>
                <w:color w:val="67B8E7"/>
                <w:sz w:val="2"/>
              </w:rPr>
            </w:pPr>
          </w:p>
          <w:p w14:paraId="0C44C2B4" w14:textId="7BE04AB1" w:rsidR="003F0DCC" w:rsidRDefault="003F0DCC" w:rsidP="00F74317">
            <w:pPr>
              <w:autoSpaceDE w:val="0"/>
              <w:autoSpaceDN w:val="0"/>
              <w:adjustRightInd w:val="0"/>
              <w:rPr>
                <w:rFonts w:ascii="Titillium" w:eastAsiaTheme="minorEastAsia" w:hAnsi="Titillium" w:cs="Titillium-Semibold"/>
                <w:b/>
                <w:color w:val="67B8E7"/>
                <w:sz w:val="2"/>
              </w:rPr>
            </w:pPr>
          </w:p>
          <w:p w14:paraId="669E7338" w14:textId="75398E46" w:rsidR="003F0DCC" w:rsidRDefault="003F0DCC" w:rsidP="00F74317">
            <w:pPr>
              <w:autoSpaceDE w:val="0"/>
              <w:autoSpaceDN w:val="0"/>
              <w:adjustRightInd w:val="0"/>
              <w:rPr>
                <w:rFonts w:ascii="Titillium" w:eastAsiaTheme="minorEastAsia" w:hAnsi="Titillium" w:cs="Titillium-Semibold"/>
                <w:b/>
                <w:color w:val="67B8E7"/>
                <w:sz w:val="2"/>
              </w:rPr>
            </w:pPr>
          </w:p>
          <w:p w14:paraId="3C141415" w14:textId="77777777" w:rsidR="003F0DCC" w:rsidRPr="003F0DCC" w:rsidRDefault="003F0DCC" w:rsidP="00F74317">
            <w:pPr>
              <w:autoSpaceDE w:val="0"/>
              <w:autoSpaceDN w:val="0"/>
              <w:adjustRightInd w:val="0"/>
              <w:rPr>
                <w:rFonts w:ascii="Titillium" w:eastAsiaTheme="minorEastAsia" w:hAnsi="Titillium" w:cs="Titillium-Semibold"/>
                <w:b/>
                <w:color w:val="67B8E7"/>
                <w:sz w:val="2"/>
              </w:rPr>
            </w:pPr>
          </w:p>
          <w:p w14:paraId="316293AE" w14:textId="68A262E0" w:rsidR="00F74317" w:rsidRPr="004401DC" w:rsidRDefault="00F74317" w:rsidP="00F74317">
            <w:pPr>
              <w:autoSpaceDE w:val="0"/>
              <w:autoSpaceDN w:val="0"/>
              <w:adjustRightInd w:val="0"/>
              <w:rPr>
                <w:rFonts w:ascii="Titillium" w:eastAsiaTheme="minorEastAsia" w:hAnsi="Titillium" w:cs="Titillium-Semibold"/>
                <w:b/>
                <w:color w:val="67B8E7"/>
              </w:rPr>
            </w:pPr>
            <w:r w:rsidRPr="004401DC">
              <w:rPr>
                <w:rFonts w:ascii="Titillium" w:eastAsiaTheme="minorEastAsia" w:hAnsi="Titillium" w:cs="Titillium-Semibold"/>
                <w:b/>
                <w:color w:val="67B8E7"/>
              </w:rPr>
              <w:t xml:space="preserve">Who can help? </w:t>
            </w:r>
          </w:p>
          <w:p w14:paraId="2DC837E1" w14:textId="77777777" w:rsidR="00F74317" w:rsidRPr="004401DC" w:rsidRDefault="00F74317" w:rsidP="00F74317">
            <w:pPr>
              <w:autoSpaceDE w:val="0"/>
              <w:autoSpaceDN w:val="0"/>
              <w:adjustRightInd w:val="0"/>
              <w:rPr>
                <w:rFonts w:ascii="Titillium" w:eastAsiaTheme="minorEastAsia" w:hAnsi="Titillium" w:cs="Titillium-Semibold"/>
                <w:b/>
                <w:color w:val="67B8E7"/>
              </w:rPr>
            </w:pPr>
          </w:p>
          <w:p w14:paraId="75147905" w14:textId="77777777" w:rsidR="00F74317" w:rsidRPr="004401DC" w:rsidRDefault="00F74317" w:rsidP="00F74317">
            <w:pPr>
              <w:autoSpaceDE w:val="0"/>
              <w:autoSpaceDN w:val="0"/>
              <w:adjustRightInd w:val="0"/>
              <w:rPr>
                <w:rFonts w:ascii="Titillium" w:eastAsiaTheme="minorEastAsia" w:hAnsi="Titillium" w:cs="Titillium-Semibold"/>
                <w:b/>
                <w:color w:val="67B8E7"/>
              </w:rPr>
            </w:pPr>
          </w:p>
          <w:p w14:paraId="2D739D31" w14:textId="5EBFCB64" w:rsidR="00F74317" w:rsidRPr="004401DC" w:rsidRDefault="00F74317" w:rsidP="00F74317">
            <w:pPr>
              <w:autoSpaceDE w:val="0"/>
              <w:autoSpaceDN w:val="0"/>
              <w:adjustRightInd w:val="0"/>
              <w:rPr>
                <w:rFonts w:ascii="Titillium" w:eastAsiaTheme="minorEastAsia" w:hAnsi="Titillium" w:cs="Titillium-Semibold"/>
                <w:b/>
                <w:color w:val="67B8E7"/>
              </w:rPr>
            </w:pPr>
          </w:p>
          <w:p w14:paraId="47623BB0" w14:textId="68B40F67" w:rsidR="00F74317" w:rsidRPr="004401DC" w:rsidRDefault="00F74317" w:rsidP="00F74317">
            <w:pPr>
              <w:autoSpaceDE w:val="0"/>
              <w:autoSpaceDN w:val="0"/>
              <w:adjustRightInd w:val="0"/>
              <w:rPr>
                <w:rFonts w:ascii="Titillium" w:eastAsiaTheme="minorEastAsia" w:hAnsi="Titillium" w:cs="Titillium-Semibold"/>
                <w:b/>
                <w:color w:val="67B8E7"/>
              </w:rPr>
            </w:pPr>
          </w:p>
          <w:p w14:paraId="7DF586DD" w14:textId="518B7722" w:rsidR="0053216F" w:rsidRDefault="0053216F" w:rsidP="00F74317">
            <w:pPr>
              <w:autoSpaceDE w:val="0"/>
              <w:autoSpaceDN w:val="0"/>
              <w:adjustRightInd w:val="0"/>
              <w:rPr>
                <w:rFonts w:ascii="Titillium" w:eastAsiaTheme="minorEastAsia" w:hAnsi="Titillium" w:cs="Titillium-Semibold"/>
                <w:b/>
                <w:color w:val="67B8E7"/>
                <w:sz w:val="2"/>
              </w:rPr>
            </w:pPr>
          </w:p>
          <w:p w14:paraId="6E663D73" w14:textId="2890416E" w:rsidR="003F0DCC" w:rsidRDefault="003F0DCC" w:rsidP="00F74317">
            <w:pPr>
              <w:autoSpaceDE w:val="0"/>
              <w:autoSpaceDN w:val="0"/>
              <w:adjustRightInd w:val="0"/>
              <w:rPr>
                <w:rFonts w:ascii="Titillium" w:eastAsiaTheme="minorEastAsia" w:hAnsi="Titillium" w:cs="Titillium-Semibold"/>
                <w:b/>
                <w:color w:val="67B8E7"/>
                <w:sz w:val="2"/>
              </w:rPr>
            </w:pPr>
          </w:p>
          <w:p w14:paraId="412AE3AA" w14:textId="256CCE45" w:rsidR="003F0DCC" w:rsidRDefault="003F0DCC" w:rsidP="00F74317">
            <w:pPr>
              <w:autoSpaceDE w:val="0"/>
              <w:autoSpaceDN w:val="0"/>
              <w:adjustRightInd w:val="0"/>
              <w:rPr>
                <w:rFonts w:ascii="Titillium" w:eastAsiaTheme="minorEastAsia" w:hAnsi="Titillium" w:cs="Titillium-Semibold"/>
                <w:b/>
                <w:color w:val="67B8E7"/>
                <w:sz w:val="2"/>
              </w:rPr>
            </w:pPr>
          </w:p>
          <w:p w14:paraId="5A31FAEA" w14:textId="4A73D8A5" w:rsidR="003F0DCC" w:rsidRDefault="003F0DCC" w:rsidP="00F74317">
            <w:pPr>
              <w:autoSpaceDE w:val="0"/>
              <w:autoSpaceDN w:val="0"/>
              <w:adjustRightInd w:val="0"/>
              <w:rPr>
                <w:rFonts w:ascii="Titillium" w:eastAsiaTheme="minorEastAsia" w:hAnsi="Titillium" w:cs="Titillium-Semibold"/>
                <w:b/>
                <w:color w:val="67B8E7"/>
                <w:sz w:val="2"/>
              </w:rPr>
            </w:pPr>
          </w:p>
          <w:p w14:paraId="594B1286" w14:textId="30127DB1" w:rsidR="003F0DCC" w:rsidRDefault="003F0DCC" w:rsidP="00F74317">
            <w:pPr>
              <w:autoSpaceDE w:val="0"/>
              <w:autoSpaceDN w:val="0"/>
              <w:adjustRightInd w:val="0"/>
              <w:rPr>
                <w:rFonts w:ascii="Titillium" w:eastAsiaTheme="minorEastAsia" w:hAnsi="Titillium" w:cs="Titillium-Semibold"/>
                <w:b/>
                <w:color w:val="67B8E7"/>
                <w:sz w:val="2"/>
              </w:rPr>
            </w:pPr>
          </w:p>
          <w:p w14:paraId="506CAF10" w14:textId="329DE6E8" w:rsidR="003F0DCC" w:rsidRDefault="003F0DCC" w:rsidP="00F74317">
            <w:pPr>
              <w:autoSpaceDE w:val="0"/>
              <w:autoSpaceDN w:val="0"/>
              <w:adjustRightInd w:val="0"/>
              <w:rPr>
                <w:rFonts w:ascii="Titillium" w:eastAsiaTheme="minorEastAsia" w:hAnsi="Titillium" w:cs="Titillium-Semibold"/>
                <w:b/>
                <w:color w:val="67B8E7"/>
                <w:sz w:val="2"/>
              </w:rPr>
            </w:pPr>
          </w:p>
          <w:p w14:paraId="6EB01078" w14:textId="32A69555" w:rsidR="003F0DCC" w:rsidRDefault="003F0DCC" w:rsidP="00F74317">
            <w:pPr>
              <w:autoSpaceDE w:val="0"/>
              <w:autoSpaceDN w:val="0"/>
              <w:adjustRightInd w:val="0"/>
              <w:rPr>
                <w:rFonts w:ascii="Titillium" w:eastAsiaTheme="minorEastAsia" w:hAnsi="Titillium" w:cs="Titillium-Semibold"/>
                <w:b/>
                <w:color w:val="67B8E7"/>
                <w:sz w:val="2"/>
              </w:rPr>
            </w:pPr>
          </w:p>
          <w:p w14:paraId="3BBBA79C" w14:textId="2919DB53" w:rsidR="003F0DCC" w:rsidRDefault="003F0DCC" w:rsidP="00F74317">
            <w:pPr>
              <w:autoSpaceDE w:val="0"/>
              <w:autoSpaceDN w:val="0"/>
              <w:adjustRightInd w:val="0"/>
              <w:rPr>
                <w:rFonts w:ascii="Titillium" w:eastAsiaTheme="minorEastAsia" w:hAnsi="Titillium" w:cs="Titillium-Semibold"/>
                <w:b/>
                <w:color w:val="67B8E7"/>
                <w:sz w:val="2"/>
              </w:rPr>
            </w:pPr>
          </w:p>
          <w:p w14:paraId="5FFFB5D9" w14:textId="6FF03699" w:rsidR="003F0DCC" w:rsidRDefault="003F0DCC" w:rsidP="00F74317">
            <w:pPr>
              <w:autoSpaceDE w:val="0"/>
              <w:autoSpaceDN w:val="0"/>
              <w:adjustRightInd w:val="0"/>
              <w:rPr>
                <w:rFonts w:ascii="Titillium" w:eastAsiaTheme="minorEastAsia" w:hAnsi="Titillium" w:cs="Titillium-Semibold"/>
                <w:b/>
                <w:color w:val="67B8E7"/>
                <w:sz w:val="2"/>
              </w:rPr>
            </w:pPr>
          </w:p>
          <w:p w14:paraId="6D6B7394" w14:textId="4E3DF977" w:rsidR="003F0DCC" w:rsidRDefault="003F0DCC" w:rsidP="00F74317">
            <w:pPr>
              <w:autoSpaceDE w:val="0"/>
              <w:autoSpaceDN w:val="0"/>
              <w:adjustRightInd w:val="0"/>
              <w:rPr>
                <w:rFonts w:ascii="Titillium" w:eastAsiaTheme="minorEastAsia" w:hAnsi="Titillium" w:cs="Titillium-Semibold"/>
                <w:b/>
                <w:color w:val="67B8E7"/>
                <w:sz w:val="2"/>
              </w:rPr>
            </w:pPr>
          </w:p>
          <w:p w14:paraId="3A981815" w14:textId="77E0ACE6" w:rsidR="003F0DCC" w:rsidRDefault="003F0DCC" w:rsidP="00F74317">
            <w:pPr>
              <w:autoSpaceDE w:val="0"/>
              <w:autoSpaceDN w:val="0"/>
              <w:adjustRightInd w:val="0"/>
              <w:rPr>
                <w:rFonts w:ascii="Titillium" w:eastAsiaTheme="minorEastAsia" w:hAnsi="Titillium" w:cs="Titillium-Semibold"/>
                <w:b/>
                <w:color w:val="67B8E7"/>
                <w:sz w:val="2"/>
              </w:rPr>
            </w:pPr>
          </w:p>
          <w:p w14:paraId="0155FA81" w14:textId="2BB0E3AC" w:rsidR="003F0DCC" w:rsidRDefault="003F0DCC" w:rsidP="00F74317">
            <w:pPr>
              <w:autoSpaceDE w:val="0"/>
              <w:autoSpaceDN w:val="0"/>
              <w:adjustRightInd w:val="0"/>
              <w:rPr>
                <w:rFonts w:ascii="Titillium" w:eastAsiaTheme="minorEastAsia" w:hAnsi="Titillium" w:cs="Titillium-Semibold"/>
                <w:b/>
                <w:color w:val="67B8E7"/>
                <w:sz w:val="2"/>
              </w:rPr>
            </w:pPr>
          </w:p>
          <w:p w14:paraId="3C1B1946" w14:textId="142DFB1C" w:rsidR="003F0DCC" w:rsidRDefault="003F0DCC" w:rsidP="00F74317">
            <w:pPr>
              <w:autoSpaceDE w:val="0"/>
              <w:autoSpaceDN w:val="0"/>
              <w:adjustRightInd w:val="0"/>
              <w:rPr>
                <w:rFonts w:ascii="Titillium" w:eastAsiaTheme="minorEastAsia" w:hAnsi="Titillium" w:cs="Titillium-Semibold"/>
                <w:b/>
                <w:color w:val="67B8E7"/>
                <w:sz w:val="2"/>
              </w:rPr>
            </w:pPr>
          </w:p>
          <w:p w14:paraId="43073012" w14:textId="4DD4CC3B" w:rsidR="003F0DCC" w:rsidRDefault="003F0DCC" w:rsidP="00F74317">
            <w:pPr>
              <w:autoSpaceDE w:val="0"/>
              <w:autoSpaceDN w:val="0"/>
              <w:adjustRightInd w:val="0"/>
              <w:rPr>
                <w:rFonts w:ascii="Titillium" w:eastAsiaTheme="minorEastAsia" w:hAnsi="Titillium" w:cs="Titillium-Semibold"/>
                <w:b/>
                <w:color w:val="67B8E7"/>
                <w:sz w:val="2"/>
              </w:rPr>
            </w:pPr>
          </w:p>
          <w:p w14:paraId="77ABD67C" w14:textId="77777777" w:rsidR="003F0DCC" w:rsidRPr="003F0DCC" w:rsidRDefault="003F0DCC" w:rsidP="00F74317">
            <w:pPr>
              <w:autoSpaceDE w:val="0"/>
              <w:autoSpaceDN w:val="0"/>
              <w:adjustRightInd w:val="0"/>
              <w:rPr>
                <w:rFonts w:ascii="Titillium" w:eastAsiaTheme="minorEastAsia" w:hAnsi="Titillium" w:cs="Titillium-Semibold"/>
                <w:b/>
                <w:color w:val="67B8E7"/>
                <w:sz w:val="2"/>
              </w:rPr>
            </w:pPr>
          </w:p>
          <w:p w14:paraId="29832B7F" w14:textId="09DCFD7E" w:rsidR="00F74317" w:rsidRPr="004401DC" w:rsidRDefault="00F74317" w:rsidP="00F74317">
            <w:pPr>
              <w:autoSpaceDE w:val="0"/>
              <w:autoSpaceDN w:val="0"/>
              <w:adjustRightInd w:val="0"/>
              <w:rPr>
                <w:rFonts w:ascii="Titillium" w:eastAsiaTheme="minorEastAsia" w:hAnsi="Titillium" w:cs="Titillium-Semibold"/>
                <w:color w:val="67B8E7"/>
              </w:rPr>
            </w:pPr>
            <w:r w:rsidRPr="004401DC">
              <w:rPr>
                <w:rFonts w:ascii="Titillium" w:eastAsiaTheme="minorEastAsia" w:hAnsi="Titillium" w:cs="Titillium-Semibold"/>
                <w:b/>
                <w:color w:val="67B8E7"/>
              </w:rPr>
              <w:t>Please note</w:t>
            </w:r>
          </w:p>
        </w:tc>
        <w:tc>
          <w:tcPr>
            <w:tcW w:w="7495" w:type="dxa"/>
          </w:tcPr>
          <w:p w14:paraId="28287BBC" w14:textId="30E3D316" w:rsidR="00F74317" w:rsidRPr="0010749E" w:rsidRDefault="0010749E" w:rsidP="00F74317">
            <w:pPr>
              <w:pStyle w:val="ListParagraph"/>
              <w:numPr>
                <w:ilvl w:val="0"/>
                <w:numId w:val="24"/>
              </w:numPr>
              <w:pBdr>
                <w:left w:val="single" w:sz="12" w:space="4" w:color="67B8E7"/>
              </w:pBdr>
              <w:autoSpaceDE w:val="0"/>
              <w:autoSpaceDN w:val="0"/>
              <w:adjustRightInd w:val="0"/>
              <w:spacing w:line="360" w:lineRule="auto"/>
              <w:ind w:left="317" w:hanging="284"/>
              <w:rPr>
                <w:rFonts w:ascii="Titillium" w:eastAsiaTheme="minorEastAsia" w:hAnsi="Titillium" w:cs="Titillium-Semibold"/>
                <w:color w:val="DE590A"/>
                <w:sz w:val="22"/>
                <w:szCs w:val="22"/>
              </w:rPr>
            </w:pPr>
            <w:r>
              <w:rPr>
                <w:rFonts w:ascii="Titillium" w:eastAsiaTheme="minorEastAsia" w:hAnsi="Titillium" w:cs="Titillium-Semibold"/>
                <w:sz w:val="22"/>
                <w:szCs w:val="22"/>
              </w:rPr>
              <w:t>Introduction</w:t>
            </w:r>
            <w:r w:rsidR="003F5165">
              <w:rPr>
                <w:rFonts w:ascii="Titillium" w:eastAsiaTheme="minorEastAsia" w:hAnsi="Titillium" w:cs="Titillium-Semibold"/>
                <w:sz w:val="22"/>
                <w:szCs w:val="22"/>
              </w:rPr>
              <w:t xml:space="preserve"> </w:t>
            </w:r>
            <w:r w:rsidR="00F74317" w:rsidRPr="00910461">
              <w:rPr>
                <w:rFonts w:ascii="Titillium" w:eastAsiaTheme="minorEastAsia" w:hAnsi="Titillium" w:cs="Titillium-Semibold"/>
                <w:sz w:val="22"/>
                <w:szCs w:val="22"/>
              </w:rPr>
              <w:t>………………………………………………………………………</w:t>
            </w:r>
            <w:r w:rsidR="00F74317">
              <w:rPr>
                <w:rFonts w:ascii="Titillium" w:eastAsiaTheme="minorEastAsia" w:hAnsi="Titillium" w:cs="Titillium-Semibold"/>
                <w:sz w:val="22"/>
                <w:szCs w:val="22"/>
              </w:rPr>
              <w:t>.</w:t>
            </w:r>
            <w:r w:rsidR="00F74317" w:rsidRPr="00910461">
              <w:rPr>
                <w:rFonts w:ascii="Titillium" w:eastAsiaTheme="minorEastAsia" w:hAnsi="Titillium" w:cs="Titillium-Semibold"/>
                <w:sz w:val="22"/>
                <w:szCs w:val="22"/>
              </w:rPr>
              <w:t>……</w:t>
            </w:r>
            <w:r w:rsidR="00F74317">
              <w:rPr>
                <w:rFonts w:ascii="Titillium" w:eastAsiaTheme="minorEastAsia" w:hAnsi="Titillium" w:cs="Titillium-Semibold"/>
                <w:sz w:val="22"/>
                <w:szCs w:val="22"/>
              </w:rPr>
              <w:t>.</w:t>
            </w:r>
            <w:r w:rsidR="00F74317" w:rsidRPr="00910461">
              <w:rPr>
                <w:rFonts w:ascii="Titillium" w:eastAsiaTheme="minorEastAsia" w:hAnsi="Titillium" w:cs="Titillium-Semibold"/>
                <w:sz w:val="22"/>
                <w:szCs w:val="22"/>
              </w:rPr>
              <w:t xml:space="preserve">……. </w:t>
            </w:r>
            <w:r w:rsidR="00F74317" w:rsidRPr="00910461">
              <w:rPr>
                <w:rFonts w:ascii="Titillium" w:eastAsiaTheme="minorEastAsia" w:hAnsi="Titillium" w:cs="Titillium-Semibold"/>
                <w:color w:val="969696" w:themeColor="accent3"/>
                <w:sz w:val="22"/>
                <w:szCs w:val="22"/>
              </w:rPr>
              <w:t>p.01</w:t>
            </w:r>
          </w:p>
          <w:p w14:paraId="15E10484" w14:textId="2387E86D" w:rsidR="0010749E" w:rsidRPr="0010749E" w:rsidRDefault="0010749E" w:rsidP="0010749E">
            <w:pPr>
              <w:pStyle w:val="ListParagraph"/>
              <w:numPr>
                <w:ilvl w:val="0"/>
                <w:numId w:val="24"/>
              </w:numPr>
              <w:pBdr>
                <w:left w:val="single" w:sz="12" w:space="4" w:color="67B8E7"/>
              </w:pBdr>
              <w:autoSpaceDE w:val="0"/>
              <w:autoSpaceDN w:val="0"/>
              <w:adjustRightInd w:val="0"/>
              <w:spacing w:line="360" w:lineRule="auto"/>
              <w:ind w:left="317" w:hanging="284"/>
              <w:rPr>
                <w:rFonts w:ascii="Titillium" w:eastAsiaTheme="minorEastAsia" w:hAnsi="Titillium" w:cs="Titillium-Semibold"/>
                <w:color w:val="DE590A"/>
                <w:sz w:val="22"/>
                <w:szCs w:val="22"/>
              </w:rPr>
            </w:pPr>
            <w:r>
              <w:rPr>
                <w:rFonts w:ascii="Titillium" w:eastAsiaTheme="minorEastAsia" w:hAnsi="Titillium" w:cs="Titillium-Semibold"/>
                <w:sz w:val="22"/>
                <w:szCs w:val="22"/>
              </w:rPr>
              <w:t>Eligibility ……</w:t>
            </w:r>
            <w:r w:rsidRPr="00910461">
              <w:rPr>
                <w:rFonts w:ascii="Titillium" w:eastAsiaTheme="minorEastAsia" w:hAnsi="Titillium" w:cs="Titillium-Semibold"/>
                <w:sz w:val="22"/>
                <w:szCs w:val="22"/>
              </w:rPr>
              <w:t>………………………………………………………………………</w:t>
            </w:r>
            <w:r>
              <w:rPr>
                <w:rFonts w:ascii="Titillium" w:eastAsiaTheme="minorEastAsia" w:hAnsi="Titillium" w:cs="Titillium-Semibold"/>
                <w:sz w:val="22"/>
                <w:szCs w:val="22"/>
              </w:rPr>
              <w:t>.</w:t>
            </w:r>
            <w:r w:rsidRPr="00910461">
              <w:rPr>
                <w:rFonts w:ascii="Titillium" w:eastAsiaTheme="minorEastAsia" w:hAnsi="Titillium" w:cs="Titillium-Semibold"/>
                <w:sz w:val="22"/>
                <w:szCs w:val="22"/>
              </w:rPr>
              <w:t>……</w:t>
            </w:r>
            <w:r>
              <w:rPr>
                <w:rFonts w:ascii="Titillium" w:eastAsiaTheme="minorEastAsia" w:hAnsi="Titillium" w:cs="Titillium-Semibold"/>
                <w:sz w:val="22"/>
                <w:szCs w:val="22"/>
              </w:rPr>
              <w:t>.</w:t>
            </w:r>
            <w:r w:rsidRPr="00910461">
              <w:rPr>
                <w:rFonts w:ascii="Titillium" w:eastAsiaTheme="minorEastAsia" w:hAnsi="Titillium" w:cs="Titillium-Semibold"/>
                <w:sz w:val="22"/>
                <w:szCs w:val="22"/>
              </w:rPr>
              <w:t xml:space="preserve">……. </w:t>
            </w:r>
            <w:r w:rsidRPr="00910461">
              <w:rPr>
                <w:rFonts w:ascii="Titillium" w:eastAsiaTheme="minorEastAsia" w:hAnsi="Titillium" w:cs="Titillium-Semibold"/>
                <w:color w:val="969696" w:themeColor="accent3"/>
                <w:sz w:val="22"/>
                <w:szCs w:val="22"/>
              </w:rPr>
              <w:t>p.01</w:t>
            </w:r>
          </w:p>
          <w:p w14:paraId="13952C13" w14:textId="4E173A23" w:rsidR="0010749E" w:rsidRPr="00D72AA6" w:rsidRDefault="00D72AA6" w:rsidP="0010749E">
            <w:pPr>
              <w:pStyle w:val="ListParagraph"/>
              <w:numPr>
                <w:ilvl w:val="0"/>
                <w:numId w:val="24"/>
              </w:numPr>
              <w:pBdr>
                <w:left w:val="single" w:sz="12" w:space="4" w:color="67B8E7"/>
              </w:pBdr>
              <w:autoSpaceDE w:val="0"/>
              <w:autoSpaceDN w:val="0"/>
              <w:adjustRightInd w:val="0"/>
              <w:spacing w:line="360" w:lineRule="auto"/>
              <w:ind w:left="317" w:hanging="284"/>
              <w:rPr>
                <w:rFonts w:ascii="Titillium" w:eastAsiaTheme="minorEastAsia" w:hAnsi="Titillium" w:cs="Titillium-Semibold"/>
                <w:color w:val="DE590A"/>
                <w:sz w:val="22"/>
                <w:szCs w:val="22"/>
              </w:rPr>
            </w:pPr>
            <w:r>
              <w:rPr>
                <w:rFonts w:ascii="Titillium" w:eastAsiaTheme="minorEastAsia" w:hAnsi="Titillium" w:cs="Titillium-Semibold"/>
                <w:sz w:val="22"/>
                <w:szCs w:val="22"/>
              </w:rPr>
              <w:t xml:space="preserve">Activities Within Scope of Framework </w:t>
            </w:r>
            <w:r w:rsidR="0010749E" w:rsidRPr="00910461">
              <w:rPr>
                <w:rFonts w:ascii="Titillium" w:eastAsiaTheme="minorEastAsia" w:hAnsi="Titillium" w:cs="Titillium-Semibold"/>
                <w:sz w:val="22"/>
                <w:szCs w:val="22"/>
              </w:rPr>
              <w:t>……</w:t>
            </w:r>
            <w:r w:rsidR="0010749E">
              <w:rPr>
                <w:rFonts w:ascii="Titillium" w:eastAsiaTheme="minorEastAsia" w:hAnsi="Titillium" w:cs="Titillium-Semibold"/>
                <w:sz w:val="22"/>
                <w:szCs w:val="22"/>
              </w:rPr>
              <w:t>.</w:t>
            </w:r>
            <w:r w:rsidR="0010749E" w:rsidRPr="00910461">
              <w:rPr>
                <w:rFonts w:ascii="Titillium" w:eastAsiaTheme="minorEastAsia" w:hAnsi="Titillium" w:cs="Titillium-Semibold"/>
                <w:sz w:val="22"/>
                <w:szCs w:val="22"/>
              </w:rPr>
              <w:t>……</w:t>
            </w:r>
            <w:r w:rsidR="0010749E">
              <w:rPr>
                <w:rFonts w:ascii="Titillium" w:eastAsiaTheme="minorEastAsia" w:hAnsi="Titillium" w:cs="Titillium-Semibold"/>
                <w:sz w:val="22"/>
                <w:szCs w:val="22"/>
              </w:rPr>
              <w:t>.</w:t>
            </w:r>
            <w:r w:rsidR="0010749E" w:rsidRPr="00910461">
              <w:rPr>
                <w:rFonts w:ascii="Titillium" w:eastAsiaTheme="minorEastAsia" w:hAnsi="Titillium" w:cs="Titillium-Semibold"/>
                <w:sz w:val="22"/>
                <w:szCs w:val="22"/>
              </w:rPr>
              <w:t>……</w:t>
            </w:r>
            <w:r w:rsidR="00CA6A62">
              <w:rPr>
                <w:rFonts w:ascii="Titillium" w:eastAsiaTheme="minorEastAsia" w:hAnsi="Titillium" w:cs="Titillium-Semibold"/>
                <w:sz w:val="22"/>
                <w:szCs w:val="22"/>
              </w:rPr>
              <w:t>……………………………</w:t>
            </w:r>
            <w:r w:rsidR="0010749E" w:rsidRPr="00910461">
              <w:rPr>
                <w:rFonts w:ascii="Titillium" w:eastAsiaTheme="minorEastAsia" w:hAnsi="Titillium" w:cs="Titillium-Semibold"/>
                <w:sz w:val="22"/>
                <w:szCs w:val="22"/>
              </w:rPr>
              <w:t xml:space="preserve"> </w:t>
            </w:r>
            <w:r w:rsidR="0010749E" w:rsidRPr="00910461">
              <w:rPr>
                <w:rFonts w:ascii="Titillium" w:eastAsiaTheme="minorEastAsia" w:hAnsi="Titillium" w:cs="Titillium-Semibold"/>
                <w:color w:val="969696" w:themeColor="accent3"/>
                <w:sz w:val="22"/>
                <w:szCs w:val="22"/>
              </w:rPr>
              <w:t>p.01</w:t>
            </w:r>
          </w:p>
          <w:p w14:paraId="2CE0442B" w14:textId="40C34399" w:rsidR="0010749E" w:rsidRPr="0010749E" w:rsidRDefault="00CA6A62" w:rsidP="0010749E">
            <w:pPr>
              <w:pStyle w:val="ListParagraph"/>
              <w:numPr>
                <w:ilvl w:val="0"/>
                <w:numId w:val="24"/>
              </w:numPr>
              <w:pBdr>
                <w:left w:val="single" w:sz="12" w:space="4" w:color="67B8E7"/>
              </w:pBdr>
              <w:autoSpaceDE w:val="0"/>
              <w:autoSpaceDN w:val="0"/>
              <w:adjustRightInd w:val="0"/>
              <w:spacing w:line="360" w:lineRule="auto"/>
              <w:ind w:left="317" w:hanging="284"/>
              <w:rPr>
                <w:rFonts w:ascii="Titillium" w:eastAsiaTheme="minorEastAsia" w:hAnsi="Titillium" w:cs="Titillium-Semibold"/>
                <w:color w:val="DE590A"/>
                <w:sz w:val="22"/>
                <w:szCs w:val="22"/>
              </w:rPr>
            </w:pPr>
            <w:r>
              <w:rPr>
                <w:rFonts w:ascii="Titillium" w:eastAsiaTheme="minorEastAsia" w:hAnsi="Titillium" w:cs="Titillium-Semibold"/>
                <w:sz w:val="22"/>
                <w:szCs w:val="22"/>
              </w:rPr>
              <w:t xml:space="preserve">Costing and </w:t>
            </w:r>
            <w:r w:rsidR="0010749E">
              <w:rPr>
                <w:rFonts w:ascii="Titillium" w:eastAsiaTheme="minorEastAsia" w:hAnsi="Titillium" w:cs="Titillium-Semibold"/>
                <w:sz w:val="22"/>
                <w:szCs w:val="22"/>
              </w:rPr>
              <w:t xml:space="preserve">Pricing </w:t>
            </w:r>
            <w:r>
              <w:rPr>
                <w:rFonts w:ascii="Titillium" w:eastAsiaTheme="minorEastAsia" w:hAnsi="Titillium" w:cs="Titillium-Semibold"/>
                <w:sz w:val="22"/>
                <w:szCs w:val="22"/>
              </w:rPr>
              <w:t>of Activities .</w:t>
            </w:r>
            <w:r w:rsidR="0010749E" w:rsidRPr="00910461">
              <w:rPr>
                <w:rFonts w:ascii="Titillium" w:eastAsiaTheme="minorEastAsia" w:hAnsi="Titillium" w:cs="Titillium-Semibold"/>
                <w:sz w:val="22"/>
                <w:szCs w:val="22"/>
              </w:rPr>
              <w:t>…………………………………………</w:t>
            </w:r>
            <w:r w:rsidR="0010749E">
              <w:rPr>
                <w:rFonts w:ascii="Titillium" w:eastAsiaTheme="minorEastAsia" w:hAnsi="Titillium" w:cs="Titillium-Semibold"/>
                <w:sz w:val="22"/>
                <w:szCs w:val="22"/>
              </w:rPr>
              <w:t>.</w:t>
            </w:r>
            <w:r w:rsidR="0010749E" w:rsidRPr="00910461">
              <w:rPr>
                <w:rFonts w:ascii="Titillium" w:eastAsiaTheme="minorEastAsia" w:hAnsi="Titillium" w:cs="Titillium-Semibold"/>
                <w:sz w:val="22"/>
                <w:szCs w:val="22"/>
              </w:rPr>
              <w:t>……</w:t>
            </w:r>
            <w:r w:rsidR="0010749E">
              <w:rPr>
                <w:rFonts w:ascii="Titillium" w:eastAsiaTheme="minorEastAsia" w:hAnsi="Titillium" w:cs="Titillium-Semibold"/>
                <w:sz w:val="22"/>
                <w:szCs w:val="22"/>
              </w:rPr>
              <w:t>.</w:t>
            </w:r>
            <w:r w:rsidR="0010749E" w:rsidRPr="00910461">
              <w:rPr>
                <w:rFonts w:ascii="Titillium" w:eastAsiaTheme="minorEastAsia" w:hAnsi="Titillium" w:cs="Titillium-Semibold"/>
                <w:sz w:val="22"/>
                <w:szCs w:val="22"/>
              </w:rPr>
              <w:t xml:space="preserve">……. </w:t>
            </w:r>
            <w:r>
              <w:rPr>
                <w:rFonts w:ascii="Titillium" w:eastAsiaTheme="minorEastAsia" w:hAnsi="Titillium" w:cs="Titillium-Semibold"/>
                <w:color w:val="969696" w:themeColor="accent3"/>
                <w:sz w:val="22"/>
                <w:szCs w:val="22"/>
              </w:rPr>
              <w:t>p.</w:t>
            </w:r>
            <w:r w:rsidR="00FB6204">
              <w:rPr>
                <w:rFonts w:ascii="Titillium" w:eastAsiaTheme="minorEastAsia" w:hAnsi="Titillium" w:cs="Titillium-Semibold"/>
                <w:color w:val="969696" w:themeColor="accent3"/>
                <w:sz w:val="22"/>
                <w:szCs w:val="22"/>
              </w:rPr>
              <w:t>02</w:t>
            </w:r>
          </w:p>
          <w:p w14:paraId="27FF36E6" w14:textId="7B235971" w:rsidR="0010749E" w:rsidRPr="0010749E" w:rsidRDefault="0010749E" w:rsidP="0010749E">
            <w:pPr>
              <w:pStyle w:val="ListParagraph"/>
              <w:numPr>
                <w:ilvl w:val="0"/>
                <w:numId w:val="24"/>
              </w:numPr>
              <w:pBdr>
                <w:left w:val="single" w:sz="12" w:space="4" w:color="67B8E7"/>
              </w:pBdr>
              <w:autoSpaceDE w:val="0"/>
              <w:autoSpaceDN w:val="0"/>
              <w:adjustRightInd w:val="0"/>
              <w:spacing w:line="360" w:lineRule="auto"/>
              <w:ind w:left="317" w:hanging="284"/>
              <w:rPr>
                <w:rFonts w:ascii="Titillium" w:eastAsiaTheme="minorEastAsia" w:hAnsi="Titillium" w:cs="Titillium-Semibold"/>
                <w:color w:val="DE590A"/>
                <w:sz w:val="22"/>
                <w:szCs w:val="22"/>
              </w:rPr>
            </w:pPr>
            <w:r>
              <w:rPr>
                <w:rFonts w:ascii="Titillium" w:eastAsiaTheme="minorEastAsia" w:hAnsi="Titillium" w:cs="Titillium-Semibold"/>
                <w:sz w:val="22"/>
                <w:szCs w:val="22"/>
              </w:rPr>
              <w:t xml:space="preserve">Division of </w:t>
            </w:r>
            <w:r w:rsidR="00CA6A62">
              <w:rPr>
                <w:rFonts w:ascii="Titillium" w:eastAsiaTheme="minorEastAsia" w:hAnsi="Titillium" w:cs="Titillium-Semibold"/>
                <w:sz w:val="22"/>
                <w:szCs w:val="22"/>
              </w:rPr>
              <w:t>F</w:t>
            </w:r>
            <w:r>
              <w:rPr>
                <w:rFonts w:ascii="Titillium" w:eastAsiaTheme="minorEastAsia" w:hAnsi="Titillium" w:cs="Titillium-Semibold"/>
                <w:sz w:val="22"/>
                <w:szCs w:val="22"/>
              </w:rPr>
              <w:t xml:space="preserve">ees </w:t>
            </w:r>
            <w:r w:rsidR="00AA699A">
              <w:rPr>
                <w:rFonts w:ascii="Titillium" w:eastAsiaTheme="minorEastAsia" w:hAnsi="Titillium" w:cs="Titillium-Semibold"/>
                <w:sz w:val="22"/>
                <w:szCs w:val="22"/>
              </w:rPr>
              <w:t>…</w:t>
            </w:r>
            <w:r w:rsidR="00CA6A62">
              <w:rPr>
                <w:rFonts w:ascii="Titillium" w:eastAsiaTheme="minorEastAsia" w:hAnsi="Titillium" w:cs="Titillium-Semibold"/>
                <w:sz w:val="22"/>
                <w:szCs w:val="22"/>
              </w:rPr>
              <w:t>……………………</w:t>
            </w:r>
            <w:r w:rsidR="00AA699A">
              <w:rPr>
                <w:rFonts w:ascii="Titillium" w:eastAsiaTheme="minorEastAsia" w:hAnsi="Titillium" w:cs="Titillium-Semibold"/>
                <w:sz w:val="22"/>
                <w:szCs w:val="22"/>
              </w:rPr>
              <w:t>…</w:t>
            </w:r>
            <w:r>
              <w:rPr>
                <w:rFonts w:ascii="Titillium" w:eastAsiaTheme="minorEastAsia" w:hAnsi="Titillium" w:cs="Titillium-Semibold"/>
                <w:sz w:val="22"/>
                <w:szCs w:val="22"/>
              </w:rPr>
              <w:t>.</w:t>
            </w:r>
            <w:r w:rsidRPr="00910461">
              <w:rPr>
                <w:rFonts w:ascii="Titillium" w:eastAsiaTheme="minorEastAsia" w:hAnsi="Titillium" w:cs="Titillium-Semibold"/>
                <w:sz w:val="22"/>
                <w:szCs w:val="22"/>
              </w:rPr>
              <w:t>………………………………………</w:t>
            </w:r>
            <w:r>
              <w:rPr>
                <w:rFonts w:ascii="Titillium" w:eastAsiaTheme="minorEastAsia" w:hAnsi="Titillium" w:cs="Titillium-Semibold"/>
                <w:sz w:val="22"/>
                <w:szCs w:val="22"/>
              </w:rPr>
              <w:t>.</w:t>
            </w:r>
            <w:r w:rsidRPr="00910461">
              <w:rPr>
                <w:rFonts w:ascii="Titillium" w:eastAsiaTheme="minorEastAsia" w:hAnsi="Titillium" w:cs="Titillium-Semibold"/>
                <w:sz w:val="22"/>
                <w:szCs w:val="22"/>
              </w:rPr>
              <w:t>……</w:t>
            </w:r>
            <w:r>
              <w:rPr>
                <w:rFonts w:ascii="Titillium" w:eastAsiaTheme="minorEastAsia" w:hAnsi="Titillium" w:cs="Titillium-Semibold"/>
                <w:sz w:val="22"/>
                <w:szCs w:val="22"/>
              </w:rPr>
              <w:t>.</w:t>
            </w:r>
            <w:r w:rsidRPr="00910461">
              <w:rPr>
                <w:rFonts w:ascii="Titillium" w:eastAsiaTheme="minorEastAsia" w:hAnsi="Titillium" w:cs="Titillium-Semibold"/>
                <w:sz w:val="22"/>
                <w:szCs w:val="22"/>
              </w:rPr>
              <w:t xml:space="preserve">……. </w:t>
            </w:r>
            <w:r w:rsidRPr="00910461">
              <w:rPr>
                <w:rFonts w:ascii="Titillium" w:eastAsiaTheme="minorEastAsia" w:hAnsi="Titillium" w:cs="Titillium-Semibold"/>
                <w:color w:val="969696" w:themeColor="accent3"/>
                <w:sz w:val="22"/>
                <w:szCs w:val="22"/>
              </w:rPr>
              <w:t>p.0</w:t>
            </w:r>
            <w:r w:rsidR="003F0DCC">
              <w:rPr>
                <w:rFonts w:ascii="Titillium" w:eastAsiaTheme="minorEastAsia" w:hAnsi="Titillium" w:cs="Titillium-Semibold"/>
                <w:color w:val="969696" w:themeColor="accent3"/>
                <w:sz w:val="22"/>
                <w:szCs w:val="22"/>
              </w:rPr>
              <w:t>3</w:t>
            </w:r>
          </w:p>
          <w:p w14:paraId="04E9DA6B" w14:textId="34003DC1" w:rsidR="0010749E" w:rsidRPr="00AA699A" w:rsidRDefault="00AA699A" w:rsidP="00AA699A">
            <w:pPr>
              <w:pStyle w:val="ListParagraph"/>
              <w:numPr>
                <w:ilvl w:val="0"/>
                <w:numId w:val="24"/>
              </w:numPr>
              <w:pBdr>
                <w:left w:val="single" w:sz="12" w:space="4" w:color="67B8E7"/>
              </w:pBdr>
              <w:autoSpaceDE w:val="0"/>
              <w:autoSpaceDN w:val="0"/>
              <w:adjustRightInd w:val="0"/>
              <w:spacing w:line="360" w:lineRule="auto"/>
              <w:ind w:left="317" w:hanging="284"/>
              <w:rPr>
                <w:rFonts w:ascii="Titillium" w:eastAsiaTheme="minorEastAsia" w:hAnsi="Titillium" w:cs="Titillium-Semibold"/>
                <w:color w:val="DE590A"/>
                <w:sz w:val="22"/>
                <w:szCs w:val="22"/>
              </w:rPr>
            </w:pPr>
            <w:r>
              <w:rPr>
                <w:rFonts w:ascii="Titillium" w:eastAsiaTheme="minorEastAsia" w:hAnsi="Titillium" w:cs="Titillium-Semibold"/>
                <w:sz w:val="22"/>
                <w:szCs w:val="22"/>
              </w:rPr>
              <w:t>Approval</w:t>
            </w:r>
            <w:r w:rsidR="00D72AA6">
              <w:rPr>
                <w:rFonts w:ascii="Titillium" w:eastAsiaTheme="minorEastAsia" w:hAnsi="Titillium" w:cs="Titillium-Semibold"/>
                <w:sz w:val="22"/>
                <w:szCs w:val="22"/>
              </w:rPr>
              <w:t>s</w:t>
            </w:r>
            <w:r>
              <w:rPr>
                <w:rFonts w:ascii="Titillium" w:eastAsiaTheme="minorEastAsia" w:hAnsi="Titillium" w:cs="Titillium-Semibold"/>
                <w:sz w:val="22"/>
                <w:szCs w:val="22"/>
              </w:rPr>
              <w:t xml:space="preserve"> ………………………</w:t>
            </w:r>
            <w:r w:rsidR="00F951F8">
              <w:rPr>
                <w:rFonts w:ascii="Titillium" w:eastAsiaTheme="minorEastAsia" w:hAnsi="Titillium" w:cs="Titillium-Semibold"/>
                <w:sz w:val="22"/>
                <w:szCs w:val="22"/>
              </w:rPr>
              <w:t>….</w:t>
            </w:r>
            <w:r w:rsidR="0010749E" w:rsidRPr="00910461">
              <w:rPr>
                <w:rFonts w:ascii="Titillium" w:eastAsiaTheme="minorEastAsia" w:hAnsi="Titillium" w:cs="Titillium-Semibold"/>
                <w:sz w:val="22"/>
                <w:szCs w:val="22"/>
              </w:rPr>
              <w:t>…………………………………………</w:t>
            </w:r>
            <w:r w:rsidR="0010749E">
              <w:rPr>
                <w:rFonts w:ascii="Titillium" w:eastAsiaTheme="minorEastAsia" w:hAnsi="Titillium" w:cs="Titillium-Semibold"/>
                <w:sz w:val="22"/>
                <w:szCs w:val="22"/>
              </w:rPr>
              <w:t>.</w:t>
            </w:r>
            <w:r w:rsidR="0010749E" w:rsidRPr="00910461">
              <w:rPr>
                <w:rFonts w:ascii="Titillium" w:eastAsiaTheme="minorEastAsia" w:hAnsi="Titillium" w:cs="Titillium-Semibold"/>
                <w:sz w:val="22"/>
                <w:szCs w:val="22"/>
              </w:rPr>
              <w:t>……</w:t>
            </w:r>
            <w:r w:rsidR="0010749E">
              <w:rPr>
                <w:rFonts w:ascii="Titillium" w:eastAsiaTheme="minorEastAsia" w:hAnsi="Titillium" w:cs="Titillium-Semibold"/>
                <w:sz w:val="22"/>
                <w:szCs w:val="22"/>
              </w:rPr>
              <w:t>.</w:t>
            </w:r>
            <w:r w:rsidR="0010749E" w:rsidRPr="00910461">
              <w:rPr>
                <w:rFonts w:ascii="Titillium" w:eastAsiaTheme="minorEastAsia" w:hAnsi="Titillium" w:cs="Titillium-Semibold"/>
                <w:sz w:val="22"/>
                <w:szCs w:val="22"/>
              </w:rPr>
              <w:t>……</w:t>
            </w:r>
            <w:r>
              <w:rPr>
                <w:rFonts w:ascii="Titillium" w:eastAsiaTheme="minorEastAsia" w:hAnsi="Titillium" w:cs="Titillium-Semibold"/>
                <w:sz w:val="22"/>
                <w:szCs w:val="22"/>
              </w:rPr>
              <w:t>……</w:t>
            </w:r>
            <w:r w:rsidR="00F065AA">
              <w:rPr>
                <w:rFonts w:ascii="Titillium" w:eastAsiaTheme="minorEastAsia" w:hAnsi="Titillium" w:cs="Titillium-Semibold"/>
                <w:sz w:val="22"/>
                <w:szCs w:val="22"/>
              </w:rPr>
              <w:t>.</w:t>
            </w:r>
            <w:r w:rsidR="0010749E" w:rsidRPr="00AA699A">
              <w:rPr>
                <w:rFonts w:ascii="Titillium" w:eastAsiaTheme="minorEastAsia" w:hAnsi="Titillium" w:cs="Titillium-Semibold"/>
                <w:sz w:val="22"/>
                <w:szCs w:val="22"/>
              </w:rPr>
              <w:t xml:space="preserve"> </w:t>
            </w:r>
            <w:r w:rsidR="0010749E" w:rsidRPr="00AA699A">
              <w:rPr>
                <w:rFonts w:ascii="Titillium" w:eastAsiaTheme="minorEastAsia" w:hAnsi="Titillium" w:cs="Titillium-Semibold"/>
                <w:color w:val="969696" w:themeColor="accent3"/>
                <w:sz w:val="22"/>
                <w:szCs w:val="22"/>
              </w:rPr>
              <w:t>p.0</w:t>
            </w:r>
            <w:r w:rsidR="00FB6204">
              <w:rPr>
                <w:rFonts w:ascii="Titillium" w:eastAsiaTheme="minorEastAsia" w:hAnsi="Titillium" w:cs="Titillium-Semibold"/>
                <w:color w:val="969696" w:themeColor="accent3"/>
                <w:sz w:val="22"/>
                <w:szCs w:val="22"/>
              </w:rPr>
              <w:t>3</w:t>
            </w:r>
          </w:p>
          <w:p w14:paraId="1B69AB3F" w14:textId="312B146F" w:rsidR="00AA699A" w:rsidRPr="0010749E" w:rsidRDefault="00FB6204" w:rsidP="00AA699A">
            <w:pPr>
              <w:pStyle w:val="ListParagraph"/>
              <w:numPr>
                <w:ilvl w:val="0"/>
                <w:numId w:val="24"/>
              </w:numPr>
              <w:pBdr>
                <w:left w:val="single" w:sz="12" w:space="4" w:color="67B8E7"/>
              </w:pBdr>
              <w:autoSpaceDE w:val="0"/>
              <w:autoSpaceDN w:val="0"/>
              <w:adjustRightInd w:val="0"/>
              <w:spacing w:line="360" w:lineRule="auto"/>
              <w:ind w:left="317" w:hanging="284"/>
              <w:rPr>
                <w:rFonts w:ascii="Titillium" w:eastAsiaTheme="minorEastAsia" w:hAnsi="Titillium" w:cs="Titillium-Semibold"/>
                <w:color w:val="DE590A"/>
                <w:sz w:val="22"/>
                <w:szCs w:val="22"/>
              </w:rPr>
            </w:pPr>
            <w:r>
              <w:rPr>
                <w:rFonts w:ascii="Titillium" w:eastAsiaTheme="minorEastAsia" w:hAnsi="Titillium" w:cs="Titillium-Semibold"/>
                <w:sz w:val="22"/>
                <w:szCs w:val="22"/>
              </w:rPr>
              <w:t xml:space="preserve">Balancing Activities </w:t>
            </w:r>
            <w:r w:rsidR="00F065AA">
              <w:rPr>
                <w:rFonts w:ascii="Titillium" w:eastAsiaTheme="minorEastAsia" w:hAnsi="Titillium" w:cs="Titillium-Semibold"/>
                <w:sz w:val="22"/>
                <w:szCs w:val="22"/>
              </w:rPr>
              <w:t>……………………………………………</w:t>
            </w:r>
            <w:r w:rsidR="00F951F8">
              <w:rPr>
                <w:rFonts w:ascii="Titillium" w:eastAsiaTheme="minorEastAsia" w:hAnsi="Titillium" w:cs="Titillium-Semibold"/>
                <w:sz w:val="22"/>
                <w:szCs w:val="22"/>
              </w:rPr>
              <w:t>….</w:t>
            </w:r>
            <w:r w:rsidR="00AA699A">
              <w:rPr>
                <w:rFonts w:ascii="Titillium" w:eastAsiaTheme="minorEastAsia" w:hAnsi="Titillium" w:cs="Titillium-Semibold"/>
                <w:sz w:val="22"/>
                <w:szCs w:val="22"/>
              </w:rPr>
              <w:t>…</w:t>
            </w:r>
            <w:r w:rsidR="00AA699A" w:rsidRPr="00910461">
              <w:rPr>
                <w:rFonts w:ascii="Titillium" w:eastAsiaTheme="minorEastAsia" w:hAnsi="Titillium" w:cs="Titillium-Semibold"/>
                <w:sz w:val="22"/>
                <w:szCs w:val="22"/>
              </w:rPr>
              <w:t>…………</w:t>
            </w:r>
            <w:r w:rsidR="00AA699A">
              <w:rPr>
                <w:rFonts w:ascii="Titillium" w:eastAsiaTheme="minorEastAsia" w:hAnsi="Titillium" w:cs="Titillium-Semibold"/>
                <w:sz w:val="22"/>
                <w:szCs w:val="22"/>
              </w:rPr>
              <w:t>.</w:t>
            </w:r>
            <w:r w:rsidR="00AA699A" w:rsidRPr="00910461">
              <w:rPr>
                <w:rFonts w:ascii="Titillium" w:eastAsiaTheme="minorEastAsia" w:hAnsi="Titillium" w:cs="Titillium-Semibold"/>
                <w:sz w:val="22"/>
                <w:szCs w:val="22"/>
              </w:rPr>
              <w:t>……</w:t>
            </w:r>
            <w:r w:rsidR="003F0DCC">
              <w:rPr>
                <w:rFonts w:ascii="Titillium" w:eastAsiaTheme="minorEastAsia" w:hAnsi="Titillium" w:cs="Titillium-Semibold"/>
                <w:sz w:val="22"/>
                <w:szCs w:val="22"/>
              </w:rPr>
              <w:t xml:space="preserve">……. </w:t>
            </w:r>
            <w:r w:rsidR="00AA699A" w:rsidRPr="00910461">
              <w:rPr>
                <w:rFonts w:ascii="Titillium" w:eastAsiaTheme="minorEastAsia" w:hAnsi="Titillium" w:cs="Titillium-Semibold"/>
                <w:color w:val="969696" w:themeColor="accent3"/>
                <w:sz w:val="22"/>
                <w:szCs w:val="22"/>
              </w:rPr>
              <w:t>p.</w:t>
            </w:r>
            <w:r w:rsidR="00AA699A">
              <w:rPr>
                <w:rFonts w:ascii="Titillium" w:eastAsiaTheme="minorEastAsia" w:hAnsi="Titillium" w:cs="Titillium-Semibold"/>
                <w:color w:val="969696" w:themeColor="accent3"/>
                <w:sz w:val="22"/>
                <w:szCs w:val="22"/>
              </w:rPr>
              <w:t>04</w:t>
            </w:r>
          </w:p>
          <w:p w14:paraId="487412BA" w14:textId="286EEC73" w:rsidR="0010749E" w:rsidRPr="00FB6204" w:rsidRDefault="00AA699A" w:rsidP="00F94927">
            <w:pPr>
              <w:pStyle w:val="ListParagraph"/>
              <w:numPr>
                <w:ilvl w:val="0"/>
                <w:numId w:val="24"/>
              </w:numPr>
              <w:pBdr>
                <w:left w:val="single" w:sz="12" w:space="4" w:color="67B8E7"/>
              </w:pBdr>
              <w:autoSpaceDE w:val="0"/>
              <w:autoSpaceDN w:val="0"/>
              <w:adjustRightInd w:val="0"/>
              <w:spacing w:line="360" w:lineRule="auto"/>
              <w:ind w:left="317" w:hanging="284"/>
              <w:rPr>
                <w:rFonts w:ascii="Titillium" w:eastAsiaTheme="minorEastAsia" w:hAnsi="Titillium" w:cs="Titillium-Semibold"/>
                <w:color w:val="DE590A"/>
                <w:sz w:val="22"/>
                <w:szCs w:val="22"/>
              </w:rPr>
            </w:pPr>
            <w:r w:rsidRPr="00AA699A">
              <w:rPr>
                <w:rFonts w:ascii="Titillium" w:eastAsiaTheme="minorEastAsia" w:hAnsi="Titillium" w:cs="Titillium-Semibold"/>
                <w:sz w:val="22"/>
                <w:szCs w:val="22"/>
              </w:rPr>
              <w:t>Respo</w:t>
            </w:r>
            <w:r w:rsidR="0053216F">
              <w:rPr>
                <w:rFonts w:ascii="Titillium" w:eastAsiaTheme="minorEastAsia" w:hAnsi="Titillium" w:cs="Titillium-Semibold"/>
                <w:sz w:val="22"/>
                <w:szCs w:val="22"/>
              </w:rPr>
              <w:t>nsibilities ………………………………………………</w:t>
            </w:r>
            <w:r w:rsidR="00F951F8">
              <w:rPr>
                <w:rFonts w:ascii="Titillium" w:eastAsiaTheme="minorEastAsia" w:hAnsi="Titillium" w:cs="Titillium-Semibold"/>
                <w:sz w:val="22"/>
                <w:szCs w:val="22"/>
              </w:rPr>
              <w:t>….</w:t>
            </w:r>
            <w:r w:rsidRPr="00AA699A">
              <w:rPr>
                <w:rFonts w:ascii="Titillium" w:eastAsiaTheme="minorEastAsia" w:hAnsi="Titillium" w:cs="Titillium-Semibold"/>
                <w:sz w:val="22"/>
                <w:szCs w:val="22"/>
              </w:rPr>
              <w:t xml:space="preserve">……………….…….……. </w:t>
            </w:r>
            <w:r w:rsidR="008116D4">
              <w:rPr>
                <w:rFonts w:ascii="Titillium" w:eastAsiaTheme="minorEastAsia" w:hAnsi="Titillium" w:cs="Titillium-Semibold"/>
                <w:color w:val="969696" w:themeColor="accent3"/>
                <w:sz w:val="22"/>
                <w:szCs w:val="22"/>
              </w:rPr>
              <w:t>p.04</w:t>
            </w:r>
          </w:p>
          <w:p w14:paraId="43B68432" w14:textId="22D13417" w:rsidR="00FB6204" w:rsidRPr="00FB6204" w:rsidRDefault="00FB6204" w:rsidP="00FB6204">
            <w:pPr>
              <w:pStyle w:val="ListParagraph"/>
              <w:numPr>
                <w:ilvl w:val="0"/>
                <w:numId w:val="24"/>
              </w:numPr>
              <w:pBdr>
                <w:left w:val="single" w:sz="12" w:space="4" w:color="67B8E7"/>
              </w:pBdr>
              <w:autoSpaceDE w:val="0"/>
              <w:autoSpaceDN w:val="0"/>
              <w:adjustRightInd w:val="0"/>
              <w:spacing w:line="360" w:lineRule="auto"/>
              <w:ind w:left="317" w:hanging="284"/>
              <w:rPr>
                <w:rFonts w:ascii="Titillium" w:eastAsiaTheme="minorEastAsia" w:hAnsi="Titillium" w:cs="Titillium-Semibold"/>
                <w:color w:val="DE590A"/>
                <w:sz w:val="22"/>
                <w:szCs w:val="22"/>
              </w:rPr>
            </w:pPr>
            <w:r>
              <w:rPr>
                <w:rFonts w:ascii="Titillium" w:eastAsiaTheme="minorEastAsia" w:hAnsi="Titillium" w:cs="Titillium-Semibold"/>
                <w:sz w:val="22"/>
                <w:szCs w:val="22"/>
              </w:rPr>
              <w:t>Related Policies  ………………………………………………</w:t>
            </w:r>
            <w:r w:rsidR="00F951F8">
              <w:rPr>
                <w:rFonts w:ascii="Titillium" w:eastAsiaTheme="minorEastAsia" w:hAnsi="Titillium" w:cs="Titillium-Semibold"/>
                <w:sz w:val="22"/>
                <w:szCs w:val="22"/>
              </w:rPr>
              <w:t>….</w:t>
            </w:r>
            <w:r w:rsidRPr="00AA699A">
              <w:rPr>
                <w:rFonts w:ascii="Titillium" w:eastAsiaTheme="minorEastAsia" w:hAnsi="Titillium" w:cs="Titillium-Semibold"/>
                <w:sz w:val="22"/>
                <w:szCs w:val="22"/>
              </w:rPr>
              <w:t>……………</w:t>
            </w:r>
            <w:r>
              <w:rPr>
                <w:rFonts w:ascii="Titillium" w:eastAsiaTheme="minorEastAsia" w:hAnsi="Titillium" w:cs="Titillium-Semibold"/>
                <w:sz w:val="22"/>
                <w:szCs w:val="22"/>
              </w:rPr>
              <w:t>….…….…...</w:t>
            </w:r>
            <w:r w:rsidRPr="00AA699A">
              <w:rPr>
                <w:rFonts w:ascii="Titillium" w:eastAsiaTheme="minorEastAsia" w:hAnsi="Titillium" w:cs="Titillium-Semibold"/>
                <w:sz w:val="22"/>
                <w:szCs w:val="22"/>
              </w:rPr>
              <w:t xml:space="preserve">. </w:t>
            </w:r>
            <w:r w:rsidRPr="00AA699A">
              <w:rPr>
                <w:rFonts w:ascii="Titillium" w:eastAsiaTheme="minorEastAsia" w:hAnsi="Titillium" w:cs="Titillium-Semibold"/>
                <w:color w:val="969696" w:themeColor="accent3"/>
                <w:sz w:val="22"/>
                <w:szCs w:val="22"/>
              </w:rPr>
              <w:t>p.0</w:t>
            </w:r>
            <w:r w:rsidR="007E5644">
              <w:rPr>
                <w:rFonts w:ascii="Titillium" w:eastAsiaTheme="minorEastAsia" w:hAnsi="Titillium" w:cs="Titillium-Semibold"/>
                <w:color w:val="969696" w:themeColor="accent3"/>
                <w:sz w:val="22"/>
                <w:szCs w:val="22"/>
              </w:rPr>
              <w:t>5</w:t>
            </w:r>
          </w:p>
          <w:p w14:paraId="2188A900" w14:textId="77777777" w:rsidR="00F74317" w:rsidRPr="00910461" w:rsidRDefault="00F74317" w:rsidP="00F74317">
            <w:pPr>
              <w:pBdr>
                <w:left w:val="single" w:sz="12" w:space="4" w:color="67B8E7"/>
              </w:pBdr>
              <w:autoSpaceDE w:val="0"/>
              <w:autoSpaceDN w:val="0"/>
              <w:adjustRightInd w:val="0"/>
              <w:spacing w:line="360" w:lineRule="auto"/>
              <w:ind w:left="317" w:hanging="284"/>
              <w:rPr>
                <w:rFonts w:ascii="Titillium" w:eastAsiaTheme="minorEastAsia" w:hAnsi="Titillium" w:cs="Titillium-Semibold"/>
                <w:b/>
                <w:sz w:val="8"/>
                <w:szCs w:val="8"/>
              </w:rPr>
            </w:pPr>
          </w:p>
          <w:p w14:paraId="6B1A1B11" w14:textId="77777777" w:rsidR="00C4231F" w:rsidRPr="00910461" w:rsidRDefault="00C4231F" w:rsidP="00F74317">
            <w:pPr>
              <w:pBdr>
                <w:left w:val="single" w:sz="12" w:space="4" w:color="67B8E7"/>
              </w:pBdr>
              <w:autoSpaceDE w:val="0"/>
              <w:autoSpaceDN w:val="0"/>
              <w:adjustRightInd w:val="0"/>
              <w:spacing w:line="360" w:lineRule="auto"/>
              <w:ind w:left="317" w:hanging="284"/>
              <w:rPr>
                <w:rFonts w:ascii="Titillium" w:eastAsiaTheme="minorEastAsia" w:hAnsi="Titillium" w:cs="Titillium-Semibold"/>
                <w:sz w:val="10"/>
                <w:szCs w:val="10"/>
              </w:rPr>
            </w:pPr>
          </w:p>
          <w:p w14:paraId="2C16A95A" w14:textId="5DC9110E" w:rsidR="00F74317" w:rsidRDefault="00F74317" w:rsidP="00F74317">
            <w:pPr>
              <w:pBdr>
                <w:left w:val="single" w:sz="12" w:space="4" w:color="67B8E7"/>
              </w:pBdr>
              <w:autoSpaceDE w:val="0"/>
              <w:autoSpaceDN w:val="0"/>
              <w:adjustRightInd w:val="0"/>
              <w:spacing w:line="360" w:lineRule="auto"/>
              <w:ind w:left="317" w:hanging="284"/>
              <w:rPr>
                <w:rFonts w:ascii="Titillium" w:eastAsiaTheme="minorEastAsia" w:hAnsi="Titillium" w:cs="Titillium-Semibold"/>
                <w:sz w:val="22"/>
                <w:szCs w:val="22"/>
              </w:rPr>
            </w:pPr>
            <w:r w:rsidRPr="00910461">
              <w:rPr>
                <w:rFonts w:ascii="Titillium" w:eastAsiaTheme="minorEastAsia" w:hAnsi="Titillium" w:cs="Titillium-Semibold"/>
                <w:sz w:val="22"/>
                <w:szCs w:val="22"/>
              </w:rPr>
              <w:t>Appendix 1</w:t>
            </w:r>
            <w:r w:rsidR="00AA699A">
              <w:rPr>
                <w:rFonts w:ascii="Titillium" w:eastAsiaTheme="minorEastAsia" w:hAnsi="Titillium" w:cs="Titillium-Semibold"/>
                <w:sz w:val="22"/>
                <w:szCs w:val="22"/>
              </w:rPr>
              <w:t xml:space="preserve"> – Overview of </w:t>
            </w:r>
            <w:r w:rsidR="00C65388">
              <w:rPr>
                <w:rFonts w:ascii="Titillium" w:eastAsiaTheme="minorEastAsia" w:hAnsi="Titillium" w:cs="Titillium-Semibold"/>
                <w:sz w:val="22"/>
                <w:szCs w:val="22"/>
              </w:rPr>
              <w:t>F</w:t>
            </w:r>
            <w:r w:rsidR="00AA699A">
              <w:rPr>
                <w:rFonts w:ascii="Titillium" w:eastAsiaTheme="minorEastAsia" w:hAnsi="Titillium" w:cs="Titillium-Semibold"/>
                <w:sz w:val="22"/>
                <w:szCs w:val="22"/>
              </w:rPr>
              <w:t>ramework Process</w:t>
            </w:r>
            <w:r w:rsidRPr="00910461">
              <w:rPr>
                <w:rFonts w:ascii="Titillium" w:eastAsiaTheme="minorEastAsia" w:hAnsi="Titillium" w:cs="Titillium-Semibold"/>
                <w:sz w:val="22"/>
                <w:szCs w:val="22"/>
              </w:rPr>
              <w:t xml:space="preserve"> </w:t>
            </w:r>
          </w:p>
          <w:p w14:paraId="05A02852" w14:textId="5DDF885E" w:rsidR="0053216F" w:rsidRDefault="0053216F" w:rsidP="00F74317">
            <w:pPr>
              <w:pBdr>
                <w:left w:val="single" w:sz="12" w:space="4" w:color="67B8E7"/>
              </w:pBdr>
              <w:autoSpaceDE w:val="0"/>
              <w:autoSpaceDN w:val="0"/>
              <w:adjustRightInd w:val="0"/>
              <w:spacing w:line="360" w:lineRule="auto"/>
              <w:ind w:left="317" w:hanging="284"/>
              <w:rPr>
                <w:rFonts w:ascii="Titillium" w:eastAsiaTheme="minorEastAsia" w:hAnsi="Titillium" w:cs="Titillium-Semibold"/>
                <w:sz w:val="22"/>
                <w:szCs w:val="22"/>
              </w:rPr>
            </w:pPr>
            <w:r>
              <w:rPr>
                <w:rFonts w:ascii="Titillium" w:eastAsiaTheme="minorEastAsia" w:hAnsi="Titillium" w:cs="Titillium-Semibold"/>
                <w:sz w:val="22"/>
                <w:szCs w:val="22"/>
              </w:rPr>
              <w:t xml:space="preserve">Appendix 2 – Activities Out </w:t>
            </w:r>
            <w:proofErr w:type="gramStart"/>
            <w:r>
              <w:rPr>
                <w:rFonts w:ascii="Titillium" w:eastAsiaTheme="minorEastAsia" w:hAnsi="Titillium" w:cs="Titillium-Semibold"/>
                <w:sz w:val="22"/>
                <w:szCs w:val="22"/>
              </w:rPr>
              <w:t>With</w:t>
            </w:r>
            <w:proofErr w:type="gramEnd"/>
            <w:r>
              <w:rPr>
                <w:rFonts w:ascii="Titillium" w:eastAsiaTheme="minorEastAsia" w:hAnsi="Titillium" w:cs="Titillium-Semibold"/>
                <w:sz w:val="22"/>
                <w:szCs w:val="22"/>
              </w:rPr>
              <w:t xml:space="preserve"> Scope of Framework</w:t>
            </w:r>
          </w:p>
          <w:p w14:paraId="7C6BA893" w14:textId="638D5173" w:rsidR="00F74317" w:rsidRDefault="00F74317" w:rsidP="00AA699A">
            <w:pPr>
              <w:autoSpaceDE w:val="0"/>
              <w:autoSpaceDN w:val="0"/>
              <w:adjustRightInd w:val="0"/>
              <w:spacing w:line="360" w:lineRule="auto"/>
              <w:rPr>
                <w:rFonts w:ascii="Titillium" w:eastAsiaTheme="minorEastAsia" w:hAnsi="Titillium" w:cs="Titillium-Semibold"/>
                <w:color w:val="859EA4"/>
                <w:sz w:val="22"/>
                <w:szCs w:val="22"/>
              </w:rPr>
            </w:pPr>
          </w:p>
          <w:p w14:paraId="12DE9075" w14:textId="77777777" w:rsidR="005747F9" w:rsidRDefault="00C4231F" w:rsidP="005747F9">
            <w:pPr>
              <w:numPr>
                <w:ilvl w:val="0"/>
                <w:numId w:val="5"/>
              </w:numPr>
              <w:pBdr>
                <w:left w:val="single" w:sz="12" w:space="4" w:color="67B8E7"/>
              </w:pBdr>
              <w:autoSpaceDE w:val="0"/>
              <w:autoSpaceDN w:val="0"/>
              <w:adjustRightInd w:val="0"/>
              <w:contextualSpacing/>
              <w:jc w:val="both"/>
              <w:rPr>
                <w:rFonts w:ascii="Titillium" w:eastAsiaTheme="minorEastAsia" w:hAnsi="Titillium" w:cs="Titillium-Semibold"/>
                <w:sz w:val="22"/>
                <w:szCs w:val="22"/>
              </w:rPr>
            </w:pPr>
            <w:r>
              <w:rPr>
                <w:rFonts w:ascii="Titillium" w:eastAsiaTheme="minorEastAsia" w:hAnsi="Titillium" w:cs="Titillium-Semibold"/>
                <w:sz w:val="22"/>
                <w:szCs w:val="22"/>
              </w:rPr>
              <w:t>Research, Innovation &amp; Enterprise (RIE)</w:t>
            </w:r>
            <w:r w:rsidR="00EC4CF3">
              <w:rPr>
                <w:rFonts w:ascii="Titillium" w:eastAsiaTheme="minorEastAsia" w:hAnsi="Titillium" w:cs="Titillium-Semibold"/>
                <w:sz w:val="22"/>
                <w:szCs w:val="22"/>
              </w:rPr>
              <w:t xml:space="preserve"> will</w:t>
            </w:r>
            <w:r w:rsidR="00F74317" w:rsidRPr="00910461">
              <w:rPr>
                <w:rFonts w:ascii="Titillium" w:eastAsiaTheme="minorEastAsia" w:hAnsi="Titillium" w:cs="Titillium-Semibold"/>
                <w:sz w:val="22"/>
                <w:szCs w:val="22"/>
              </w:rPr>
              <w:t xml:space="preserve"> provide support and advice with the application of t</w:t>
            </w:r>
            <w:r>
              <w:rPr>
                <w:rFonts w:ascii="Titillium" w:eastAsiaTheme="minorEastAsia" w:hAnsi="Titillium" w:cs="Titillium-Semibold"/>
                <w:sz w:val="22"/>
                <w:szCs w:val="22"/>
              </w:rPr>
              <w:t xml:space="preserve">he </w:t>
            </w:r>
            <w:r w:rsidR="00EC4CF3">
              <w:rPr>
                <w:rFonts w:ascii="Titillium" w:eastAsiaTheme="minorEastAsia" w:hAnsi="Titillium" w:cs="Titillium-Semibold"/>
                <w:sz w:val="22"/>
                <w:szCs w:val="22"/>
              </w:rPr>
              <w:t>Framework</w:t>
            </w:r>
            <w:r>
              <w:rPr>
                <w:rFonts w:ascii="Titillium" w:eastAsiaTheme="minorEastAsia" w:hAnsi="Titillium" w:cs="Titillium-Semibold"/>
                <w:sz w:val="22"/>
                <w:szCs w:val="22"/>
              </w:rPr>
              <w:t xml:space="preserve"> </w:t>
            </w:r>
            <w:r w:rsidR="00F74317" w:rsidRPr="00910461">
              <w:rPr>
                <w:rFonts w:ascii="Titillium" w:eastAsiaTheme="minorEastAsia" w:hAnsi="Titillium" w:cs="Titillium-Semibold"/>
                <w:sz w:val="22"/>
                <w:szCs w:val="22"/>
              </w:rPr>
              <w:t>and answer any questions that you may have.</w:t>
            </w:r>
            <w:r w:rsidR="000A551C">
              <w:rPr>
                <w:rFonts w:ascii="Titillium" w:eastAsiaTheme="minorEastAsia" w:hAnsi="Titillium" w:cs="Titillium-Semibold"/>
                <w:sz w:val="22"/>
                <w:szCs w:val="22"/>
              </w:rPr>
              <w:t xml:space="preserve"> Please speak to your School’s Business Development and Relationship Manager, </w:t>
            </w:r>
            <w:r w:rsidR="00EC4CF3">
              <w:rPr>
                <w:rFonts w:ascii="Titillium" w:eastAsiaTheme="minorEastAsia" w:hAnsi="Titillium" w:cs="Titillium-Semibold"/>
                <w:sz w:val="22"/>
                <w:szCs w:val="22"/>
              </w:rPr>
              <w:t xml:space="preserve">contact </w:t>
            </w:r>
            <w:r w:rsidR="000A551C">
              <w:rPr>
                <w:rFonts w:ascii="Titillium" w:eastAsiaTheme="minorEastAsia" w:hAnsi="Titillium" w:cs="Titillium-Semibold"/>
                <w:sz w:val="22"/>
                <w:szCs w:val="22"/>
              </w:rPr>
              <w:t xml:space="preserve">details can be found </w:t>
            </w:r>
            <w:hyperlink r:id="rId8" w:history="1">
              <w:r w:rsidR="000A551C" w:rsidRPr="000A551C">
                <w:rPr>
                  <w:rStyle w:val="Hyperlink"/>
                  <w:rFonts w:ascii="Titillium" w:eastAsiaTheme="minorEastAsia" w:hAnsi="Titillium" w:cs="Titillium-Semibold"/>
                  <w:sz w:val="22"/>
                  <w:szCs w:val="22"/>
                </w:rPr>
                <w:t>here</w:t>
              </w:r>
            </w:hyperlink>
            <w:r w:rsidR="00D34269">
              <w:rPr>
                <w:rFonts w:ascii="Titillium" w:eastAsiaTheme="minorEastAsia" w:hAnsi="Titillium" w:cs="Titillium-Semibold"/>
                <w:sz w:val="22"/>
                <w:szCs w:val="22"/>
              </w:rPr>
              <w:t>.</w:t>
            </w:r>
          </w:p>
          <w:p w14:paraId="36C95E1B" w14:textId="5435111E" w:rsidR="00C65388" w:rsidRPr="005747F9" w:rsidRDefault="00C4231F" w:rsidP="005747F9">
            <w:pPr>
              <w:numPr>
                <w:ilvl w:val="0"/>
                <w:numId w:val="5"/>
              </w:numPr>
              <w:pBdr>
                <w:left w:val="single" w:sz="12" w:space="4" w:color="67B8E7"/>
              </w:pBdr>
              <w:autoSpaceDE w:val="0"/>
              <w:autoSpaceDN w:val="0"/>
              <w:adjustRightInd w:val="0"/>
              <w:contextualSpacing/>
              <w:jc w:val="both"/>
              <w:rPr>
                <w:rFonts w:ascii="Titillium" w:eastAsiaTheme="minorEastAsia" w:hAnsi="Titillium" w:cs="Titillium-Semibold"/>
                <w:sz w:val="22"/>
                <w:szCs w:val="22"/>
              </w:rPr>
            </w:pPr>
            <w:r w:rsidRPr="005747F9">
              <w:rPr>
                <w:rFonts w:ascii="Titillium" w:eastAsiaTheme="minorEastAsia" w:hAnsi="Titillium" w:cs="Titillium-Semibold"/>
                <w:sz w:val="22"/>
                <w:szCs w:val="22"/>
              </w:rPr>
              <w:t>For queries</w:t>
            </w:r>
            <w:r w:rsidR="00421EB8" w:rsidRPr="005747F9">
              <w:rPr>
                <w:rFonts w:ascii="Titillium" w:eastAsiaTheme="minorEastAsia" w:hAnsi="Titillium" w:cs="Titillium-Semibold"/>
                <w:sz w:val="22"/>
                <w:szCs w:val="22"/>
              </w:rPr>
              <w:t xml:space="preserve"> relating the</w:t>
            </w:r>
            <w:r w:rsidR="008B4136" w:rsidRPr="005747F9">
              <w:rPr>
                <w:rFonts w:ascii="Titillium" w:eastAsiaTheme="minorEastAsia" w:hAnsi="Titillium" w:cs="Titillium-Semibold"/>
                <w:sz w:val="22"/>
                <w:szCs w:val="22"/>
              </w:rPr>
              <w:t xml:space="preserve"> payment of fees, please</w:t>
            </w:r>
            <w:r w:rsidRPr="005747F9">
              <w:rPr>
                <w:rFonts w:ascii="Titillium" w:eastAsiaTheme="minorEastAsia" w:hAnsi="Titillium" w:cs="Titillium-Semibold"/>
                <w:sz w:val="22"/>
                <w:szCs w:val="22"/>
              </w:rPr>
              <w:t xml:space="preserve"> contact </w:t>
            </w:r>
            <w:r w:rsidR="00EC4CF3" w:rsidRPr="005747F9">
              <w:rPr>
                <w:rFonts w:ascii="Titillium" w:eastAsiaTheme="minorEastAsia" w:hAnsi="Titillium" w:cs="Titillium-Semibold"/>
                <w:sz w:val="22"/>
                <w:szCs w:val="22"/>
              </w:rPr>
              <w:t xml:space="preserve">Payroll: </w:t>
            </w:r>
            <w:hyperlink r:id="rId9" w:history="1">
              <w:r w:rsidRPr="005747F9">
                <w:rPr>
                  <w:rStyle w:val="Hyperlink"/>
                  <w:rFonts w:ascii="Titillium" w:eastAsiaTheme="minorEastAsia" w:hAnsi="Titillium" w:cs="Titillium-Semibold"/>
                  <w:sz w:val="22"/>
                  <w:szCs w:val="22"/>
                </w:rPr>
                <w:t>payroll@napier.ac.uk</w:t>
              </w:r>
            </w:hyperlink>
            <w:r w:rsidRPr="005747F9">
              <w:rPr>
                <w:rFonts w:ascii="Titillium" w:eastAsiaTheme="minorEastAsia" w:hAnsi="Titillium" w:cs="Titillium-Semibold"/>
                <w:sz w:val="22"/>
                <w:szCs w:val="22"/>
              </w:rPr>
              <w:t xml:space="preserve"> </w:t>
            </w:r>
          </w:p>
          <w:p w14:paraId="25D90306" w14:textId="0E26B078" w:rsidR="00C65388" w:rsidRDefault="00C65388" w:rsidP="00C65388">
            <w:pPr>
              <w:pBdr>
                <w:left w:val="single" w:sz="12" w:space="4" w:color="67B8E7"/>
              </w:pBdr>
              <w:autoSpaceDE w:val="0"/>
              <w:autoSpaceDN w:val="0"/>
              <w:adjustRightInd w:val="0"/>
              <w:ind w:left="33"/>
              <w:contextualSpacing/>
              <w:jc w:val="both"/>
              <w:rPr>
                <w:rFonts w:ascii="Titillium" w:eastAsiaTheme="minorEastAsia" w:hAnsi="Titillium" w:cs="Titillium-Semibold"/>
                <w:sz w:val="22"/>
                <w:szCs w:val="22"/>
              </w:rPr>
            </w:pPr>
          </w:p>
          <w:p w14:paraId="66A09016" w14:textId="54EA9CAD" w:rsidR="00F74317" w:rsidRDefault="00F74317" w:rsidP="00AA699A">
            <w:pPr>
              <w:pBdr>
                <w:left w:val="single" w:sz="12" w:space="4" w:color="67B8E7"/>
              </w:pBdr>
              <w:autoSpaceDE w:val="0"/>
              <w:autoSpaceDN w:val="0"/>
              <w:adjustRightInd w:val="0"/>
              <w:ind w:left="33"/>
              <w:contextualSpacing/>
              <w:jc w:val="both"/>
              <w:rPr>
                <w:rFonts w:ascii="Titillium" w:eastAsiaTheme="minorEastAsia" w:hAnsi="Titillium" w:cs="Titillium-Semibold"/>
                <w:sz w:val="22"/>
                <w:szCs w:val="22"/>
              </w:rPr>
            </w:pPr>
            <w:r w:rsidRPr="009E2475">
              <w:rPr>
                <w:rFonts w:ascii="Titillium" w:eastAsiaTheme="minorEastAsia" w:hAnsi="Titillium" w:cs="Titillium-Semibold"/>
                <w:sz w:val="22"/>
                <w:szCs w:val="22"/>
              </w:rPr>
              <w:t xml:space="preserve">This </w:t>
            </w:r>
            <w:r w:rsidR="00C4231F">
              <w:rPr>
                <w:rFonts w:ascii="Titillium" w:eastAsiaTheme="minorEastAsia" w:hAnsi="Titillium" w:cs="Titillium-Semibold"/>
                <w:sz w:val="22"/>
                <w:szCs w:val="22"/>
              </w:rPr>
              <w:t>Framework</w:t>
            </w:r>
            <w:r w:rsidRPr="009E2475">
              <w:rPr>
                <w:rFonts w:ascii="Titillium" w:eastAsiaTheme="minorEastAsia" w:hAnsi="Titillium" w:cs="Titillium-Semibold"/>
                <w:sz w:val="22"/>
                <w:szCs w:val="22"/>
              </w:rPr>
              <w:t xml:space="preserve"> does not form part of your contract of employment with the University and may be subject to change</w:t>
            </w:r>
            <w:r w:rsidR="00C4231F">
              <w:rPr>
                <w:rFonts w:ascii="Titillium" w:eastAsiaTheme="minorEastAsia" w:hAnsi="Titillium" w:cs="Titillium-Semibold"/>
                <w:sz w:val="22"/>
                <w:szCs w:val="22"/>
              </w:rPr>
              <w:t xml:space="preserve"> at any time</w:t>
            </w:r>
            <w:r w:rsidRPr="009E2475">
              <w:rPr>
                <w:rFonts w:ascii="Titillium" w:eastAsiaTheme="minorEastAsia" w:hAnsi="Titillium" w:cs="Titillium-Semibold"/>
                <w:sz w:val="22"/>
                <w:szCs w:val="22"/>
              </w:rPr>
              <w:t>.</w:t>
            </w:r>
          </w:p>
          <w:p w14:paraId="4789711D" w14:textId="7EC53E52" w:rsidR="00363BF4" w:rsidRDefault="00363BF4" w:rsidP="00AA699A">
            <w:pPr>
              <w:pBdr>
                <w:left w:val="single" w:sz="12" w:space="4" w:color="67B8E7"/>
              </w:pBdr>
              <w:autoSpaceDE w:val="0"/>
              <w:autoSpaceDN w:val="0"/>
              <w:adjustRightInd w:val="0"/>
              <w:ind w:left="33"/>
              <w:contextualSpacing/>
              <w:jc w:val="both"/>
              <w:rPr>
                <w:rFonts w:ascii="Titillium" w:eastAsiaTheme="minorEastAsia" w:hAnsi="Titillium" w:cs="Titillium-Semibold"/>
              </w:rPr>
            </w:pPr>
          </w:p>
          <w:p w14:paraId="6FF4D95B" w14:textId="011588DA" w:rsidR="00363BF4" w:rsidRDefault="00363BF4" w:rsidP="00AA699A">
            <w:pPr>
              <w:pBdr>
                <w:left w:val="single" w:sz="12" w:space="4" w:color="67B8E7"/>
              </w:pBdr>
              <w:autoSpaceDE w:val="0"/>
              <w:autoSpaceDN w:val="0"/>
              <w:adjustRightInd w:val="0"/>
              <w:ind w:left="33"/>
              <w:contextualSpacing/>
              <w:jc w:val="both"/>
              <w:rPr>
                <w:rFonts w:ascii="Titillium" w:eastAsiaTheme="minorEastAsia" w:hAnsi="Titillium" w:cs="Titillium-Semibold"/>
                <w:sz w:val="22"/>
                <w:szCs w:val="22"/>
              </w:rPr>
            </w:pPr>
            <w:r>
              <w:rPr>
                <w:rFonts w:ascii="Titillium" w:eastAsiaTheme="minorEastAsia" w:hAnsi="Titillium" w:cs="Titillium-Semibold"/>
              </w:rPr>
              <w:t xml:space="preserve">The Framework covers the consultancy and commercial activities as outlined throughout the document. The framework does not cover Transnational Education (TNE) activities. While these vital activities do generate commercial income, it is recognised that that in nearly all cases they are planned in line with the Workload Allocation Framework. </w:t>
            </w:r>
          </w:p>
          <w:p w14:paraId="2337668C" w14:textId="42CA515F" w:rsidR="00C65388" w:rsidRPr="009E2475" w:rsidRDefault="00C65388" w:rsidP="00AA699A">
            <w:pPr>
              <w:pBdr>
                <w:left w:val="single" w:sz="12" w:space="4" w:color="67B8E7"/>
              </w:pBdr>
              <w:autoSpaceDE w:val="0"/>
              <w:autoSpaceDN w:val="0"/>
              <w:adjustRightInd w:val="0"/>
              <w:ind w:left="33"/>
              <w:contextualSpacing/>
              <w:jc w:val="both"/>
              <w:rPr>
                <w:rFonts w:ascii="Titillium" w:eastAsiaTheme="minorEastAsia" w:hAnsi="Titillium" w:cs="Titillium-Semibold"/>
                <w:sz w:val="10"/>
                <w:szCs w:val="10"/>
              </w:rPr>
            </w:pPr>
          </w:p>
        </w:tc>
      </w:tr>
    </w:tbl>
    <w:p w14:paraId="7B5B95E4" w14:textId="77777777" w:rsidR="008B4136" w:rsidRDefault="009E223F" w:rsidP="00AA699A">
      <w:pPr>
        <w:tabs>
          <w:tab w:val="center" w:pos="4513"/>
        </w:tabs>
        <w:spacing w:after="160" w:line="400" w:lineRule="atLeast"/>
        <w:ind w:right="312"/>
        <w:jc w:val="both"/>
        <w:rPr>
          <w:rFonts w:ascii="Titillium" w:hAnsi="Titillium"/>
          <w:b/>
          <w:color w:val="67B8E7"/>
          <w:sz w:val="32"/>
          <w:szCs w:val="32"/>
        </w:rPr>
      </w:pPr>
      <w:r>
        <w:rPr>
          <w:rFonts w:ascii="Titillium-Semibold" w:eastAsiaTheme="minorEastAsia" w:hAnsi="Titillium-Semibold" w:cs="Titillium-Semibold"/>
          <w:color w:val="579FBB"/>
          <w:sz w:val="20"/>
          <w:szCs w:val="20"/>
        </w:rPr>
        <w:br w:type="textWrapping" w:clear="all"/>
      </w:r>
    </w:p>
    <w:p w14:paraId="206A0A69" w14:textId="77777777" w:rsidR="008B4136" w:rsidRDefault="008B4136">
      <w:pPr>
        <w:rPr>
          <w:rFonts w:ascii="Titillium" w:hAnsi="Titillium"/>
          <w:b/>
          <w:color w:val="67B8E7"/>
          <w:sz w:val="32"/>
          <w:szCs w:val="32"/>
        </w:rPr>
      </w:pPr>
      <w:r>
        <w:rPr>
          <w:rFonts w:ascii="Titillium" w:hAnsi="Titillium"/>
          <w:b/>
          <w:color w:val="67B8E7"/>
          <w:sz w:val="32"/>
          <w:szCs w:val="32"/>
        </w:rPr>
        <w:br w:type="page"/>
      </w:r>
    </w:p>
    <w:p w14:paraId="1825A416" w14:textId="2E33110D" w:rsidR="005D14A3" w:rsidRDefault="00AA699A" w:rsidP="0053216F">
      <w:pPr>
        <w:tabs>
          <w:tab w:val="center" w:pos="4513"/>
        </w:tabs>
        <w:ind w:left="567" w:right="312" w:hanging="567"/>
        <w:jc w:val="both"/>
        <w:rPr>
          <w:rFonts w:ascii="Titillium" w:hAnsi="Titillium"/>
          <w:b/>
          <w:color w:val="67B8E7"/>
          <w:sz w:val="32"/>
          <w:szCs w:val="32"/>
        </w:rPr>
      </w:pPr>
      <w:r>
        <w:rPr>
          <w:rFonts w:ascii="Titillium" w:hAnsi="Titillium"/>
          <w:b/>
          <w:color w:val="67B8E7"/>
          <w:sz w:val="32"/>
          <w:szCs w:val="32"/>
        </w:rPr>
        <w:lastRenderedPageBreak/>
        <w:t xml:space="preserve">1. </w:t>
      </w:r>
      <w:r w:rsidR="008B4136">
        <w:rPr>
          <w:rFonts w:ascii="Titillium" w:hAnsi="Titillium"/>
          <w:b/>
          <w:color w:val="67B8E7"/>
          <w:sz w:val="32"/>
          <w:szCs w:val="32"/>
        </w:rPr>
        <w:tab/>
      </w:r>
      <w:r w:rsidR="0075442B">
        <w:rPr>
          <w:rFonts w:ascii="Titillium" w:hAnsi="Titillium"/>
          <w:b/>
          <w:color w:val="67B8E7"/>
          <w:sz w:val="32"/>
          <w:szCs w:val="32"/>
        </w:rPr>
        <w:t xml:space="preserve">Introduction </w:t>
      </w:r>
    </w:p>
    <w:p w14:paraId="7821FE5B" w14:textId="77777777" w:rsidR="0074551F" w:rsidRPr="0074551F" w:rsidRDefault="0074551F" w:rsidP="0053216F">
      <w:pPr>
        <w:tabs>
          <w:tab w:val="center" w:pos="4513"/>
        </w:tabs>
        <w:ind w:left="567" w:right="312" w:hanging="567"/>
        <w:jc w:val="both"/>
        <w:rPr>
          <w:b/>
          <w:color w:val="67B8E7"/>
        </w:rPr>
      </w:pPr>
    </w:p>
    <w:p w14:paraId="2A2E8ED9" w14:textId="4A0F5F48" w:rsidR="003F5165" w:rsidRDefault="003F5165" w:rsidP="0053216F">
      <w:pPr>
        <w:ind w:left="567"/>
        <w:jc w:val="both"/>
        <w:rPr>
          <w:rFonts w:ascii="Titillium" w:hAnsi="Titillium"/>
          <w:sz w:val="22"/>
          <w:szCs w:val="22"/>
        </w:rPr>
      </w:pPr>
      <w:r>
        <w:rPr>
          <w:rFonts w:ascii="Titillium" w:hAnsi="Titillium"/>
          <w:sz w:val="22"/>
          <w:szCs w:val="22"/>
        </w:rPr>
        <w:t>The Framework has been developed to encourage and incentivise staff to undertake consultancy</w:t>
      </w:r>
      <w:r w:rsidR="00A95748">
        <w:rPr>
          <w:rFonts w:ascii="Titillium" w:hAnsi="Titillium"/>
          <w:sz w:val="22"/>
          <w:szCs w:val="22"/>
        </w:rPr>
        <w:t xml:space="preserve"> and</w:t>
      </w:r>
      <w:r w:rsidR="00B4208A" w:rsidRPr="00B4208A">
        <w:rPr>
          <w:rFonts w:ascii="Titillium" w:hAnsi="Titillium"/>
          <w:sz w:val="22"/>
          <w:szCs w:val="22"/>
        </w:rPr>
        <w:t xml:space="preserve"> </w:t>
      </w:r>
      <w:r w:rsidR="00B4208A">
        <w:rPr>
          <w:rFonts w:ascii="Titillium" w:hAnsi="Titillium"/>
          <w:sz w:val="22"/>
          <w:szCs w:val="22"/>
        </w:rPr>
        <w:t>non-credit bearing</w:t>
      </w:r>
      <w:r w:rsidR="003069CC">
        <w:rPr>
          <w:rFonts w:ascii="Titillium" w:hAnsi="Titillium"/>
          <w:sz w:val="22"/>
          <w:szCs w:val="22"/>
        </w:rPr>
        <w:t xml:space="preserve"> bespoke </w:t>
      </w:r>
      <w:r w:rsidR="00B4208A">
        <w:rPr>
          <w:rFonts w:ascii="Titillium" w:hAnsi="Titillium"/>
          <w:sz w:val="22"/>
          <w:szCs w:val="22"/>
        </w:rPr>
        <w:t>CPD activities</w:t>
      </w:r>
      <w:r>
        <w:rPr>
          <w:rFonts w:ascii="Titillium" w:hAnsi="Titillium"/>
          <w:sz w:val="22"/>
          <w:szCs w:val="22"/>
        </w:rPr>
        <w:t xml:space="preserve"> </w:t>
      </w:r>
      <w:r w:rsidR="004957DA">
        <w:rPr>
          <w:rFonts w:ascii="Titillium" w:hAnsi="Titillium"/>
          <w:sz w:val="22"/>
          <w:szCs w:val="22"/>
        </w:rPr>
        <w:t>in support of knowledge exchange and external collaboration</w:t>
      </w:r>
      <w:r w:rsidR="00B4208A">
        <w:rPr>
          <w:rFonts w:ascii="Titillium" w:hAnsi="Titillium"/>
          <w:sz w:val="22"/>
          <w:szCs w:val="22"/>
        </w:rPr>
        <w:t xml:space="preserve">. These activities have </w:t>
      </w:r>
      <w:r>
        <w:rPr>
          <w:rFonts w:ascii="Titillium" w:hAnsi="Titillium"/>
          <w:sz w:val="22"/>
          <w:szCs w:val="22"/>
        </w:rPr>
        <w:t>career and reputational benefits</w:t>
      </w:r>
      <w:r w:rsidR="004957DA">
        <w:rPr>
          <w:rFonts w:ascii="Titillium" w:hAnsi="Titillium"/>
          <w:sz w:val="22"/>
          <w:szCs w:val="22"/>
        </w:rPr>
        <w:t xml:space="preserve"> for the staff member</w:t>
      </w:r>
      <w:r>
        <w:rPr>
          <w:rFonts w:ascii="Titillium" w:hAnsi="Titillium"/>
          <w:sz w:val="22"/>
          <w:szCs w:val="22"/>
        </w:rPr>
        <w:t xml:space="preserve"> and will support the delivery of the University’s strategic objectives</w:t>
      </w:r>
      <w:r w:rsidR="004957DA">
        <w:rPr>
          <w:rFonts w:ascii="Titillium" w:hAnsi="Titillium"/>
          <w:sz w:val="22"/>
          <w:szCs w:val="22"/>
        </w:rPr>
        <w:t>.</w:t>
      </w:r>
      <w:r w:rsidR="00F3722A">
        <w:rPr>
          <w:rFonts w:ascii="Titillium" w:hAnsi="Titillium"/>
          <w:sz w:val="22"/>
          <w:szCs w:val="22"/>
        </w:rPr>
        <w:t xml:space="preserve"> If the activity is undertaken out with WAM, the staff member has the option to claim an additional payment. </w:t>
      </w:r>
    </w:p>
    <w:p w14:paraId="66681CFC" w14:textId="432CE2F0" w:rsidR="004957DA" w:rsidRDefault="004957DA" w:rsidP="0053216F">
      <w:pPr>
        <w:jc w:val="both"/>
        <w:rPr>
          <w:rFonts w:ascii="Titillium" w:hAnsi="Titillium"/>
          <w:sz w:val="22"/>
          <w:szCs w:val="22"/>
        </w:rPr>
      </w:pPr>
    </w:p>
    <w:p w14:paraId="24BD3AF0" w14:textId="512B4EEB" w:rsidR="00E13472" w:rsidRDefault="00B970D2" w:rsidP="0053216F">
      <w:pPr>
        <w:ind w:left="567"/>
        <w:jc w:val="both"/>
        <w:rPr>
          <w:rFonts w:ascii="Titillium" w:hAnsi="Titillium"/>
          <w:sz w:val="22"/>
          <w:szCs w:val="22"/>
        </w:rPr>
      </w:pPr>
      <w:r>
        <w:rPr>
          <w:rFonts w:ascii="Titillium" w:hAnsi="Titillium"/>
          <w:sz w:val="22"/>
          <w:szCs w:val="22"/>
        </w:rPr>
        <w:t>This</w:t>
      </w:r>
      <w:r w:rsidR="0075442B">
        <w:rPr>
          <w:rFonts w:ascii="Titillium" w:hAnsi="Titillium"/>
          <w:sz w:val="22"/>
          <w:szCs w:val="22"/>
        </w:rPr>
        <w:t xml:space="preserve"> </w:t>
      </w:r>
      <w:r>
        <w:rPr>
          <w:rFonts w:ascii="Titillium" w:hAnsi="Titillium"/>
          <w:sz w:val="22"/>
          <w:szCs w:val="22"/>
        </w:rPr>
        <w:t xml:space="preserve">document </w:t>
      </w:r>
      <w:r w:rsidR="00B4208A">
        <w:rPr>
          <w:rFonts w:ascii="Titillium" w:hAnsi="Titillium"/>
          <w:sz w:val="22"/>
          <w:szCs w:val="22"/>
        </w:rPr>
        <w:t xml:space="preserve">intends to </w:t>
      </w:r>
      <w:r w:rsidR="004957DA">
        <w:rPr>
          <w:rFonts w:ascii="Titillium" w:hAnsi="Titillium"/>
          <w:sz w:val="22"/>
          <w:szCs w:val="22"/>
        </w:rPr>
        <w:t xml:space="preserve">outline the </w:t>
      </w:r>
      <w:r w:rsidR="00C82734">
        <w:rPr>
          <w:rFonts w:ascii="Titillium" w:hAnsi="Titillium"/>
          <w:sz w:val="22"/>
          <w:szCs w:val="22"/>
        </w:rPr>
        <w:t xml:space="preserve">information, </w:t>
      </w:r>
      <w:proofErr w:type="gramStart"/>
      <w:r w:rsidR="004957DA">
        <w:rPr>
          <w:rFonts w:ascii="Titillium" w:hAnsi="Titillium"/>
          <w:sz w:val="22"/>
          <w:szCs w:val="22"/>
        </w:rPr>
        <w:t>governance</w:t>
      </w:r>
      <w:proofErr w:type="gramEnd"/>
      <w:r w:rsidR="004957DA">
        <w:rPr>
          <w:rFonts w:ascii="Titillium" w:hAnsi="Titillium"/>
          <w:sz w:val="22"/>
          <w:szCs w:val="22"/>
        </w:rPr>
        <w:t xml:space="preserve"> and processes for</w:t>
      </w:r>
      <w:r w:rsidR="0075442B">
        <w:rPr>
          <w:rFonts w:ascii="Titillium" w:hAnsi="Titillium"/>
          <w:sz w:val="22"/>
          <w:szCs w:val="22"/>
        </w:rPr>
        <w:t xml:space="preserve"> the management of </w:t>
      </w:r>
      <w:r w:rsidR="00B4208A">
        <w:rPr>
          <w:rFonts w:ascii="Titillium" w:hAnsi="Titillium"/>
          <w:sz w:val="22"/>
          <w:szCs w:val="22"/>
        </w:rPr>
        <w:t>activities</w:t>
      </w:r>
      <w:r w:rsidR="00C82734">
        <w:rPr>
          <w:rFonts w:ascii="Titillium" w:hAnsi="Titillium"/>
          <w:sz w:val="22"/>
          <w:szCs w:val="22"/>
        </w:rPr>
        <w:t xml:space="preserve"> </w:t>
      </w:r>
      <w:r w:rsidR="0075442B">
        <w:rPr>
          <w:rFonts w:ascii="Titillium" w:hAnsi="Titillium"/>
          <w:sz w:val="22"/>
          <w:szCs w:val="22"/>
        </w:rPr>
        <w:t>and seeks to ensure the benefits</w:t>
      </w:r>
      <w:r>
        <w:rPr>
          <w:rFonts w:ascii="Titillium" w:hAnsi="Titillium"/>
          <w:sz w:val="22"/>
          <w:szCs w:val="22"/>
        </w:rPr>
        <w:t>,</w:t>
      </w:r>
      <w:r w:rsidR="0075442B">
        <w:rPr>
          <w:rFonts w:ascii="Titillium" w:hAnsi="Titillium"/>
          <w:sz w:val="22"/>
          <w:szCs w:val="22"/>
        </w:rPr>
        <w:t xml:space="preserve"> whilst </w:t>
      </w:r>
      <w:r w:rsidR="00B4208A">
        <w:rPr>
          <w:rFonts w:ascii="Titillium" w:hAnsi="Titillium"/>
          <w:sz w:val="22"/>
          <w:szCs w:val="22"/>
        </w:rPr>
        <w:t xml:space="preserve">minimising risks and </w:t>
      </w:r>
      <w:r w:rsidR="0075442B">
        <w:rPr>
          <w:rFonts w:ascii="Titillium" w:hAnsi="Titillium"/>
          <w:sz w:val="22"/>
          <w:szCs w:val="22"/>
        </w:rPr>
        <w:t xml:space="preserve">protecting the interests of both the University and staff.  </w:t>
      </w:r>
      <w:r w:rsidR="008B4136">
        <w:rPr>
          <w:rFonts w:ascii="Titillium" w:hAnsi="Titillium"/>
          <w:sz w:val="22"/>
          <w:szCs w:val="22"/>
        </w:rPr>
        <w:t xml:space="preserve">An overview of the </w:t>
      </w:r>
      <w:r w:rsidR="003069CC">
        <w:rPr>
          <w:rFonts w:ascii="Titillium" w:hAnsi="Titillium"/>
          <w:sz w:val="22"/>
          <w:szCs w:val="22"/>
        </w:rPr>
        <w:t>high-level</w:t>
      </w:r>
      <w:r>
        <w:rPr>
          <w:rFonts w:ascii="Titillium" w:hAnsi="Titillium"/>
          <w:sz w:val="22"/>
          <w:szCs w:val="22"/>
        </w:rPr>
        <w:t xml:space="preserve"> </w:t>
      </w:r>
      <w:r w:rsidR="008B4136">
        <w:rPr>
          <w:rFonts w:ascii="Titillium" w:hAnsi="Titillium"/>
          <w:sz w:val="22"/>
          <w:szCs w:val="22"/>
        </w:rPr>
        <w:t xml:space="preserve">process </w:t>
      </w:r>
      <w:r>
        <w:rPr>
          <w:rFonts w:ascii="Titillium" w:hAnsi="Titillium"/>
          <w:sz w:val="22"/>
          <w:szCs w:val="22"/>
        </w:rPr>
        <w:t xml:space="preserve">can be found in </w:t>
      </w:r>
      <w:r w:rsidR="008B4136">
        <w:rPr>
          <w:rFonts w:ascii="Titillium" w:hAnsi="Titillium"/>
          <w:sz w:val="22"/>
          <w:szCs w:val="22"/>
        </w:rPr>
        <w:t>Appendix 1</w:t>
      </w:r>
      <w:r w:rsidR="001D5BC7">
        <w:rPr>
          <w:rFonts w:ascii="Titillium" w:hAnsi="Titillium"/>
          <w:sz w:val="22"/>
          <w:szCs w:val="22"/>
        </w:rPr>
        <w:t xml:space="preserve"> and full </w:t>
      </w:r>
      <w:r w:rsidR="00526EF1">
        <w:rPr>
          <w:rFonts w:ascii="Titillium" w:hAnsi="Titillium"/>
          <w:sz w:val="22"/>
          <w:szCs w:val="22"/>
        </w:rPr>
        <w:t xml:space="preserve">related </w:t>
      </w:r>
      <w:r w:rsidR="001D5BC7">
        <w:rPr>
          <w:rFonts w:ascii="Titillium" w:hAnsi="Titillium"/>
          <w:sz w:val="22"/>
          <w:szCs w:val="22"/>
        </w:rPr>
        <w:t>guidance can be found on the RIE intranet pages</w:t>
      </w:r>
      <w:r w:rsidR="0053216F">
        <w:rPr>
          <w:rFonts w:ascii="Titillium" w:hAnsi="Titillium"/>
          <w:sz w:val="22"/>
          <w:szCs w:val="22"/>
        </w:rPr>
        <w:t>.</w:t>
      </w:r>
    </w:p>
    <w:p w14:paraId="057F67AA" w14:textId="01EE9C49" w:rsidR="006D77BA" w:rsidRDefault="006D77BA" w:rsidP="0053216F">
      <w:pPr>
        <w:ind w:left="567"/>
        <w:jc w:val="both"/>
        <w:rPr>
          <w:rFonts w:ascii="Titillium" w:hAnsi="Titillium"/>
          <w:sz w:val="22"/>
          <w:szCs w:val="22"/>
        </w:rPr>
      </w:pPr>
    </w:p>
    <w:p w14:paraId="39EE4E33" w14:textId="13AD1491" w:rsidR="006D77BA" w:rsidRDefault="003F0DCC" w:rsidP="0053216F">
      <w:pPr>
        <w:ind w:left="567"/>
        <w:jc w:val="both"/>
        <w:rPr>
          <w:rFonts w:ascii="Titillium" w:hAnsi="Titillium"/>
          <w:sz w:val="22"/>
          <w:szCs w:val="22"/>
        </w:rPr>
      </w:pPr>
      <w:r>
        <w:rPr>
          <w:rFonts w:ascii="Titillium" w:hAnsi="Titillium"/>
          <w:sz w:val="22"/>
          <w:szCs w:val="22"/>
        </w:rPr>
        <w:t>The a</w:t>
      </w:r>
      <w:r w:rsidR="006D77BA">
        <w:rPr>
          <w:rFonts w:ascii="Titillium" w:hAnsi="Titillium"/>
          <w:sz w:val="22"/>
          <w:szCs w:val="22"/>
        </w:rPr>
        <w:t xml:space="preserve">pplication of this Framework offers substantial benefits </w:t>
      </w:r>
      <w:r w:rsidR="00AF1375">
        <w:rPr>
          <w:rFonts w:ascii="Titillium" w:hAnsi="Titillium"/>
          <w:sz w:val="22"/>
          <w:szCs w:val="22"/>
        </w:rPr>
        <w:t>to staff members who will be</w:t>
      </w:r>
      <w:r w:rsidR="0063275E">
        <w:rPr>
          <w:rFonts w:ascii="Titillium" w:hAnsi="Titillium"/>
          <w:sz w:val="22"/>
          <w:szCs w:val="22"/>
        </w:rPr>
        <w:t xml:space="preserve"> supported with accurate costing, pricing, contractual </w:t>
      </w:r>
      <w:proofErr w:type="gramStart"/>
      <w:r w:rsidR="0063275E">
        <w:rPr>
          <w:rFonts w:ascii="Titillium" w:hAnsi="Titillium"/>
          <w:sz w:val="22"/>
          <w:szCs w:val="22"/>
        </w:rPr>
        <w:t>negotiation</w:t>
      </w:r>
      <w:proofErr w:type="gramEnd"/>
      <w:r w:rsidR="0063275E">
        <w:rPr>
          <w:rFonts w:ascii="Titillium" w:hAnsi="Titillium"/>
          <w:sz w:val="22"/>
          <w:szCs w:val="22"/>
        </w:rPr>
        <w:t xml:space="preserve"> and insurance. The University will </w:t>
      </w:r>
      <w:r w:rsidR="00281C27">
        <w:rPr>
          <w:rFonts w:ascii="Titillium" w:hAnsi="Titillium"/>
          <w:sz w:val="22"/>
          <w:szCs w:val="22"/>
        </w:rPr>
        <w:t>manage</w:t>
      </w:r>
      <w:r w:rsidR="0063275E">
        <w:rPr>
          <w:rFonts w:ascii="Titillium" w:hAnsi="Titillium"/>
          <w:sz w:val="22"/>
          <w:szCs w:val="22"/>
        </w:rPr>
        <w:t xml:space="preserve"> the risk</w:t>
      </w:r>
      <w:r w:rsidR="00281C27">
        <w:rPr>
          <w:rFonts w:ascii="Titillium" w:hAnsi="Titillium"/>
          <w:sz w:val="22"/>
          <w:szCs w:val="22"/>
        </w:rPr>
        <w:t xml:space="preserve"> </w:t>
      </w:r>
      <w:r w:rsidR="0063275E">
        <w:rPr>
          <w:rFonts w:ascii="Titillium" w:hAnsi="Titillium"/>
          <w:sz w:val="22"/>
          <w:szCs w:val="22"/>
        </w:rPr>
        <w:t>of</w:t>
      </w:r>
      <w:r w:rsidR="00281C27">
        <w:rPr>
          <w:rFonts w:ascii="Titillium" w:hAnsi="Titillium"/>
          <w:sz w:val="22"/>
          <w:szCs w:val="22"/>
        </w:rPr>
        <w:t xml:space="preserve"> the project and will be responsible for invoicing t</w:t>
      </w:r>
      <w:r w:rsidR="00E929AD">
        <w:rPr>
          <w:rFonts w:ascii="Titillium" w:hAnsi="Titillium"/>
          <w:sz w:val="22"/>
          <w:szCs w:val="22"/>
        </w:rPr>
        <w:t>he client for the agreed fee as well as</w:t>
      </w:r>
      <w:r w:rsidR="00281C27">
        <w:rPr>
          <w:rFonts w:ascii="Titillium" w:hAnsi="Titillium"/>
          <w:sz w:val="22"/>
          <w:szCs w:val="22"/>
        </w:rPr>
        <w:t xml:space="preserve"> collecting</w:t>
      </w:r>
      <w:r w:rsidR="0063275E">
        <w:rPr>
          <w:rFonts w:ascii="Titillium" w:hAnsi="Titillium"/>
          <w:sz w:val="22"/>
          <w:szCs w:val="22"/>
        </w:rPr>
        <w:t xml:space="preserve"> payment</w:t>
      </w:r>
      <w:r w:rsidR="00AF1375">
        <w:rPr>
          <w:rFonts w:ascii="Titillium" w:hAnsi="Titillium"/>
          <w:sz w:val="22"/>
          <w:szCs w:val="22"/>
        </w:rPr>
        <w:t xml:space="preserve">. Activity </w:t>
      </w:r>
      <w:r w:rsidR="0063275E">
        <w:rPr>
          <w:rFonts w:ascii="Titillium" w:hAnsi="Titillium"/>
          <w:sz w:val="22"/>
          <w:szCs w:val="22"/>
        </w:rPr>
        <w:t xml:space="preserve">will </w:t>
      </w:r>
      <w:r w:rsidR="00AF1375">
        <w:rPr>
          <w:rFonts w:ascii="Titillium" w:hAnsi="Titillium"/>
          <w:sz w:val="22"/>
          <w:szCs w:val="22"/>
        </w:rPr>
        <w:t xml:space="preserve">enhance the reputation of the academic and </w:t>
      </w:r>
      <w:r w:rsidR="0063275E">
        <w:rPr>
          <w:rFonts w:ascii="Titillium" w:hAnsi="Titillium"/>
          <w:sz w:val="22"/>
          <w:szCs w:val="22"/>
        </w:rPr>
        <w:t xml:space="preserve">be relevant for </w:t>
      </w:r>
      <w:r w:rsidR="00AF1375">
        <w:rPr>
          <w:rFonts w:ascii="Titillium" w:hAnsi="Titillium"/>
          <w:sz w:val="22"/>
          <w:szCs w:val="22"/>
        </w:rPr>
        <w:t xml:space="preserve">submission for career </w:t>
      </w:r>
      <w:r w:rsidR="0063275E">
        <w:rPr>
          <w:rFonts w:ascii="Titillium" w:hAnsi="Titillium"/>
          <w:sz w:val="22"/>
          <w:szCs w:val="22"/>
        </w:rPr>
        <w:t xml:space="preserve">promotional purposes. </w:t>
      </w:r>
    </w:p>
    <w:p w14:paraId="593C261C" w14:textId="77777777" w:rsidR="00600B3C" w:rsidRDefault="00600B3C" w:rsidP="0053216F">
      <w:pPr>
        <w:jc w:val="both"/>
        <w:rPr>
          <w:rFonts w:ascii="Titillium" w:hAnsi="Titillium"/>
          <w:sz w:val="22"/>
          <w:szCs w:val="22"/>
        </w:rPr>
      </w:pPr>
    </w:p>
    <w:p w14:paraId="62646248" w14:textId="51D79429" w:rsidR="00BD7B6C" w:rsidRPr="0074551F" w:rsidRDefault="002B628C" w:rsidP="0053216F">
      <w:pPr>
        <w:pStyle w:val="ListParagraph"/>
        <w:numPr>
          <w:ilvl w:val="0"/>
          <w:numId w:val="40"/>
        </w:numPr>
        <w:ind w:left="567" w:hanging="567"/>
        <w:rPr>
          <w:b/>
          <w:color w:val="67B8E7"/>
        </w:rPr>
      </w:pPr>
      <w:r>
        <w:rPr>
          <w:rFonts w:ascii="Titillium" w:hAnsi="Titillium"/>
          <w:b/>
          <w:color w:val="67B8E7"/>
          <w:sz w:val="32"/>
          <w:szCs w:val="32"/>
        </w:rPr>
        <w:t>Eligibility</w:t>
      </w:r>
    </w:p>
    <w:p w14:paraId="565BDB4F" w14:textId="77777777" w:rsidR="0074551F" w:rsidRPr="0074551F" w:rsidRDefault="0074551F" w:rsidP="0053216F">
      <w:pPr>
        <w:pStyle w:val="ListParagraph"/>
        <w:ind w:left="567"/>
        <w:rPr>
          <w:b/>
          <w:color w:val="67B8E7"/>
        </w:rPr>
      </w:pPr>
    </w:p>
    <w:p w14:paraId="58AC72B3" w14:textId="57BA3FBC" w:rsidR="00874F34" w:rsidRDefault="004957DA" w:rsidP="0053216F">
      <w:pPr>
        <w:pStyle w:val="ListParagraph"/>
        <w:ind w:left="567"/>
        <w:jc w:val="both"/>
        <w:rPr>
          <w:rFonts w:ascii="Titillium" w:hAnsi="Titillium"/>
          <w:sz w:val="22"/>
          <w:szCs w:val="22"/>
        </w:rPr>
      </w:pPr>
      <w:r>
        <w:rPr>
          <w:rFonts w:ascii="Titillium" w:hAnsi="Titillium"/>
          <w:sz w:val="22"/>
          <w:szCs w:val="22"/>
        </w:rPr>
        <w:t>A</w:t>
      </w:r>
      <w:r w:rsidRPr="00E76DC9">
        <w:rPr>
          <w:rFonts w:ascii="Titillium" w:hAnsi="Titillium"/>
          <w:sz w:val="22"/>
          <w:szCs w:val="22"/>
        </w:rPr>
        <w:t>ll staff</w:t>
      </w:r>
      <w:r w:rsidR="002717E5">
        <w:rPr>
          <w:rFonts w:ascii="Titillium" w:hAnsi="Titillium"/>
          <w:sz w:val="22"/>
          <w:szCs w:val="22"/>
        </w:rPr>
        <w:t xml:space="preserve"> (academic and professional services)</w:t>
      </w:r>
      <w:r w:rsidRPr="00E76DC9">
        <w:rPr>
          <w:rFonts w:ascii="Titillium" w:hAnsi="Titillium"/>
          <w:sz w:val="22"/>
          <w:szCs w:val="22"/>
        </w:rPr>
        <w:t xml:space="preserve"> </w:t>
      </w:r>
      <w:r w:rsidRPr="00B1025D">
        <w:rPr>
          <w:rFonts w:ascii="Titillium" w:hAnsi="Titillium"/>
          <w:b/>
          <w:bCs/>
          <w:i/>
          <w:iCs/>
          <w:sz w:val="22"/>
          <w:szCs w:val="22"/>
          <w:u w:val="single"/>
        </w:rPr>
        <w:t>excluding</w:t>
      </w:r>
      <w:r w:rsidRPr="00E76DC9">
        <w:rPr>
          <w:rFonts w:ascii="Titillium" w:hAnsi="Titillium"/>
          <w:sz w:val="22"/>
          <w:szCs w:val="22"/>
        </w:rPr>
        <w:t xml:space="preserve"> honorary</w:t>
      </w:r>
      <w:r w:rsidR="00B4208A">
        <w:rPr>
          <w:rFonts w:ascii="Titillium" w:hAnsi="Titillium"/>
          <w:sz w:val="22"/>
          <w:szCs w:val="22"/>
        </w:rPr>
        <w:t xml:space="preserve"> staff, a</w:t>
      </w:r>
      <w:r w:rsidRPr="00E76DC9">
        <w:rPr>
          <w:rFonts w:ascii="Titillium" w:hAnsi="Titillium"/>
          <w:sz w:val="22"/>
          <w:szCs w:val="22"/>
        </w:rPr>
        <w:t>ssociate staff</w:t>
      </w:r>
      <w:r w:rsidR="00B4208A">
        <w:rPr>
          <w:rFonts w:ascii="Titillium" w:hAnsi="Titillium"/>
          <w:sz w:val="22"/>
          <w:szCs w:val="22"/>
        </w:rPr>
        <w:t xml:space="preserve">, </w:t>
      </w:r>
      <w:r w:rsidRPr="00E76DC9">
        <w:rPr>
          <w:rFonts w:ascii="Titillium" w:hAnsi="Titillium"/>
          <w:sz w:val="22"/>
          <w:szCs w:val="22"/>
        </w:rPr>
        <w:t xml:space="preserve">research students and staff </w:t>
      </w:r>
      <w:r w:rsidR="003069CC" w:rsidRPr="00E76DC9">
        <w:rPr>
          <w:rFonts w:ascii="Titillium" w:hAnsi="Titillium"/>
          <w:sz w:val="22"/>
          <w:szCs w:val="22"/>
        </w:rPr>
        <w:t xml:space="preserve">who perform </w:t>
      </w:r>
      <w:r w:rsidR="003069CC">
        <w:rPr>
          <w:rFonts w:ascii="Titillium" w:hAnsi="Titillium"/>
          <w:sz w:val="22"/>
          <w:szCs w:val="22"/>
        </w:rPr>
        <w:t xml:space="preserve">any of these activities </w:t>
      </w:r>
      <w:r w:rsidRPr="00E76DC9">
        <w:rPr>
          <w:rFonts w:ascii="Titillium" w:hAnsi="Titillium"/>
          <w:sz w:val="22"/>
          <w:szCs w:val="22"/>
        </w:rPr>
        <w:t xml:space="preserve">as a major part of their role (e.g., RMP), </w:t>
      </w:r>
      <w:r>
        <w:rPr>
          <w:rFonts w:ascii="Titillium" w:hAnsi="Titillium"/>
          <w:sz w:val="22"/>
          <w:szCs w:val="22"/>
        </w:rPr>
        <w:t>are</w:t>
      </w:r>
      <w:r w:rsidRPr="00E76DC9">
        <w:rPr>
          <w:rFonts w:ascii="Titillium" w:hAnsi="Titillium"/>
          <w:sz w:val="22"/>
          <w:szCs w:val="22"/>
        </w:rPr>
        <w:t xml:space="preserve"> eligible to undertake</w:t>
      </w:r>
      <w:r w:rsidR="00526EF1">
        <w:rPr>
          <w:rFonts w:ascii="Titillium" w:hAnsi="Titillium"/>
          <w:sz w:val="22"/>
          <w:szCs w:val="22"/>
        </w:rPr>
        <w:t xml:space="preserve"> activity which </w:t>
      </w:r>
      <w:r w:rsidR="00526EF1" w:rsidRPr="00B1025D">
        <w:rPr>
          <w:rFonts w:ascii="Titillium" w:hAnsi="Titillium"/>
          <w:sz w:val="22"/>
          <w:szCs w:val="22"/>
        </w:rPr>
        <w:t xml:space="preserve">will be rewarded with an additional payment when </w:t>
      </w:r>
      <w:bookmarkStart w:id="0" w:name="_Hlk92904536"/>
      <w:r w:rsidR="00526EF1" w:rsidRPr="00B1025D">
        <w:rPr>
          <w:rFonts w:ascii="Titillium" w:hAnsi="Titillium"/>
          <w:sz w:val="22"/>
          <w:szCs w:val="22"/>
        </w:rPr>
        <w:t xml:space="preserve">undertaken out with </w:t>
      </w:r>
      <w:r w:rsidR="001F6CA1">
        <w:rPr>
          <w:rFonts w:ascii="Titillium" w:hAnsi="Titillium"/>
          <w:sz w:val="22"/>
          <w:szCs w:val="22"/>
        </w:rPr>
        <w:t>workload allocation model (</w:t>
      </w:r>
      <w:r w:rsidR="00526EF1" w:rsidRPr="00B1025D">
        <w:rPr>
          <w:rFonts w:ascii="Titillium" w:hAnsi="Titillium"/>
          <w:sz w:val="22"/>
          <w:szCs w:val="22"/>
        </w:rPr>
        <w:t>WAM</w:t>
      </w:r>
      <w:r w:rsidR="00B1025D">
        <w:rPr>
          <w:rFonts w:ascii="Titillium" w:hAnsi="Titillium"/>
          <w:sz w:val="22"/>
          <w:szCs w:val="22"/>
        </w:rPr>
        <w:t>)</w:t>
      </w:r>
      <w:r w:rsidR="00FE0F91">
        <w:rPr>
          <w:rFonts w:ascii="Titillium" w:hAnsi="Titillium"/>
          <w:sz w:val="22"/>
          <w:szCs w:val="22"/>
        </w:rPr>
        <w:t>.</w:t>
      </w:r>
    </w:p>
    <w:bookmarkEnd w:id="0"/>
    <w:p w14:paraId="186828BF" w14:textId="77777777" w:rsidR="00600B3C" w:rsidRPr="006A407D" w:rsidRDefault="00600B3C" w:rsidP="0053216F">
      <w:pPr>
        <w:jc w:val="both"/>
        <w:rPr>
          <w:rFonts w:ascii="Titillium" w:hAnsi="Titillium"/>
          <w:sz w:val="22"/>
          <w:szCs w:val="22"/>
        </w:rPr>
      </w:pPr>
    </w:p>
    <w:p w14:paraId="52CF3791" w14:textId="634E8258" w:rsidR="0074551F" w:rsidRPr="006A407D" w:rsidRDefault="003069CC" w:rsidP="0053216F">
      <w:pPr>
        <w:pStyle w:val="ListParagraph"/>
        <w:numPr>
          <w:ilvl w:val="0"/>
          <w:numId w:val="40"/>
        </w:numPr>
        <w:ind w:left="567" w:hanging="609"/>
        <w:rPr>
          <w:b/>
          <w:color w:val="67B8E7"/>
        </w:rPr>
      </w:pPr>
      <w:bookmarkStart w:id="1" w:name="_Hlk92904417"/>
      <w:r w:rsidRPr="006A407D">
        <w:rPr>
          <w:rFonts w:ascii="Titillium" w:hAnsi="Titillium"/>
          <w:b/>
          <w:color w:val="67B8E7"/>
          <w:sz w:val="32"/>
          <w:szCs w:val="32"/>
        </w:rPr>
        <w:t xml:space="preserve">Activities Within Scope of Framework </w:t>
      </w:r>
      <w:bookmarkEnd w:id="1"/>
    </w:p>
    <w:p w14:paraId="05EA5BD1" w14:textId="77777777" w:rsidR="006A407D" w:rsidRDefault="006A407D" w:rsidP="0053216F">
      <w:pPr>
        <w:pStyle w:val="ListParagraph"/>
        <w:ind w:left="567"/>
        <w:jc w:val="both"/>
        <w:rPr>
          <w:rFonts w:ascii="Titillium" w:hAnsi="Titillium"/>
          <w:sz w:val="22"/>
          <w:szCs w:val="22"/>
        </w:rPr>
      </w:pPr>
    </w:p>
    <w:p w14:paraId="154B6775" w14:textId="27370C94" w:rsidR="001F6CA1" w:rsidRPr="00681344" w:rsidRDefault="001F6CA1" w:rsidP="0053216F">
      <w:pPr>
        <w:pStyle w:val="ListParagraph"/>
        <w:ind w:left="567"/>
        <w:jc w:val="both"/>
        <w:rPr>
          <w:rFonts w:ascii="Titillium" w:hAnsi="Titillium"/>
          <w:sz w:val="22"/>
          <w:szCs w:val="22"/>
        </w:rPr>
      </w:pPr>
      <w:r w:rsidRPr="00681344">
        <w:rPr>
          <w:rFonts w:ascii="Titillium" w:hAnsi="Titillium"/>
          <w:sz w:val="22"/>
          <w:szCs w:val="22"/>
        </w:rPr>
        <w:t>The following activities are within scope of the Framework:</w:t>
      </w:r>
    </w:p>
    <w:p w14:paraId="60CE28AB" w14:textId="77777777" w:rsidR="001F6CA1" w:rsidRDefault="001F6CA1" w:rsidP="0053216F">
      <w:pPr>
        <w:pStyle w:val="ListParagraph"/>
        <w:ind w:left="567"/>
        <w:jc w:val="both"/>
        <w:rPr>
          <w:rFonts w:ascii="Titillium" w:hAnsi="Titillium"/>
          <w:b/>
          <w:sz w:val="22"/>
          <w:szCs w:val="22"/>
        </w:rPr>
      </w:pPr>
    </w:p>
    <w:p w14:paraId="04401696" w14:textId="48A136EA" w:rsidR="000D4E5D" w:rsidRDefault="000D4E5D" w:rsidP="0053216F">
      <w:pPr>
        <w:pStyle w:val="ListParagraph"/>
        <w:ind w:left="567"/>
        <w:jc w:val="both"/>
        <w:rPr>
          <w:rFonts w:ascii="Titillium" w:hAnsi="Titillium"/>
          <w:sz w:val="22"/>
          <w:szCs w:val="22"/>
        </w:rPr>
      </w:pPr>
      <w:r w:rsidRPr="00681344">
        <w:rPr>
          <w:rFonts w:ascii="Titillium" w:hAnsi="Titillium"/>
          <w:b/>
          <w:sz w:val="22"/>
          <w:szCs w:val="22"/>
        </w:rPr>
        <w:t>Consultancy</w:t>
      </w:r>
      <w:r w:rsidRPr="0075442B">
        <w:rPr>
          <w:rFonts w:ascii="Titillium" w:hAnsi="Titillium"/>
          <w:sz w:val="22"/>
          <w:szCs w:val="22"/>
        </w:rPr>
        <w:t xml:space="preserve"> is defined as the undertaking of work </w:t>
      </w:r>
      <w:r w:rsidRPr="000D4E5D">
        <w:rPr>
          <w:rFonts w:ascii="Titillium" w:hAnsi="Titillium"/>
          <w:sz w:val="22"/>
          <w:szCs w:val="22"/>
        </w:rPr>
        <w:t>within or related to t</w:t>
      </w:r>
      <w:r w:rsidR="006B0192">
        <w:rPr>
          <w:rFonts w:ascii="Titillium" w:hAnsi="Titillium"/>
          <w:sz w:val="22"/>
          <w:szCs w:val="22"/>
        </w:rPr>
        <w:t xml:space="preserve">he staff </w:t>
      </w:r>
      <w:r w:rsidR="00F94927">
        <w:rPr>
          <w:rFonts w:ascii="Titillium" w:hAnsi="Titillium"/>
          <w:sz w:val="22"/>
          <w:szCs w:val="22"/>
        </w:rPr>
        <w:t>member’s</w:t>
      </w:r>
      <w:r w:rsidRPr="000D4E5D">
        <w:rPr>
          <w:rFonts w:ascii="Titillium" w:hAnsi="Titillium"/>
          <w:sz w:val="22"/>
          <w:szCs w:val="22"/>
        </w:rPr>
        <w:t xml:space="preserve"> professional field through which their expertise is exchanged with an external organisation for a fee, but which does not involve original research work or creation of new knowledge.</w:t>
      </w:r>
      <w:r w:rsidR="00F94927">
        <w:rPr>
          <w:rFonts w:ascii="Titillium" w:hAnsi="Titillium"/>
          <w:sz w:val="22"/>
          <w:szCs w:val="22"/>
        </w:rPr>
        <w:t xml:space="preserve"> </w:t>
      </w:r>
      <w:r>
        <w:rPr>
          <w:rFonts w:ascii="Titillium" w:hAnsi="Titillium"/>
          <w:sz w:val="22"/>
          <w:szCs w:val="22"/>
        </w:rPr>
        <w:t xml:space="preserve">This </w:t>
      </w:r>
      <w:r w:rsidR="006B0192">
        <w:rPr>
          <w:rFonts w:ascii="Titillium" w:hAnsi="Titillium"/>
          <w:sz w:val="22"/>
          <w:szCs w:val="22"/>
        </w:rPr>
        <w:t xml:space="preserve">activity </w:t>
      </w:r>
      <w:r>
        <w:rPr>
          <w:rFonts w:ascii="Titillium" w:hAnsi="Titillium"/>
          <w:sz w:val="22"/>
          <w:szCs w:val="22"/>
        </w:rPr>
        <w:t xml:space="preserve">will normally be short-term in nature. </w:t>
      </w:r>
    </w:p>
    <w:p w14:paraId="12D25D6C" w14:textId="77777777" w:rsidR="000D4E5D" w:rsidRDefault="000D4E5D" w:rsidP="0053216F">
      <w:pPr>
        <w:pStyle w:val="ListParagraph"/>
        <w:ind w:left="567"/>
        <w:jc w:val="both"/>
        <w:rPr>
          <w:rFonts w:ascii="Titillium" w:hAnsi="Titillium"/>
          <w:sz w:val="22"/>
          <w:szCs w:val="22"/>
        </w:rPr>
      </w:pPr>
    </w:p>
    <w:p w14:paraId="12B929B8" w14:textId="5A851AB7" w:rsidR="000D4E5D" w:rsidRDefault="001F6CA1" w:rsidP="0053216F">
      <w:pPr>
        <w:pStyle w:val="ListParagraph"/>
        <w:ind w:left="567"/>
        <w:jc w:val="both"/>
        <w:rPr>
          <w:rFonts w:ascii="Titillium" w:hAnsi="Titillium"/>
          <w:sz w:val="22"/>
          <w:szCs w:val="22"/>
        </w:rPr>
      </w:pPr>
      <w:r w:rsidRPr="00B1025D">
        <w:rPr>
          <w:rFonts w:ascii="Titillium" w:hAnsi="Titillium"/>
          <w:b/>
          <w:sz w:val="22"/>
          <w:szCs w:val="22"/>
        </w:rPr>
        <w:t>N</w:t>
      </w:r>
      <w:r w:rsidR="000D4E5D" w:rsidRPr="00B1025D">
        <w:rPr>
          <w:rFonts w:ascii="Titillium" w:hAnsi="Titillium"/>
          <w:b/>
          <w:sz w:val="22"/>
          <w:szCs w:val="22"/>
        </w:rPr>
        <w:t xml:space="preserve">on-credit </w:t>
      </w:r>
      <w:r>
        <w:rPr>
          <w:rFonts w:ascii="Titillium" w:hAnsi="Titillium"/>
          <w:b/>
          <w:sz w:val="22"/>
          <w:szCs w:val="22"/>
        </w:rPr>
        <w:t>B</w:t>
      </w:r>
      <w:r w:rsidR="000D4E5D" w:rsidRPr="00B1025D">
        <w:rPr>
          <w:rFonts w:ascii="Titillium" w:hAnsi="Titillium"/>
          <w:b/>
          <w:sz w:val="22"/>
          <w:szCs w:val="22"/>
        </w:rPr>
        <w:t xml:space="preserve">earing </w:t>
      </w:r>
      <w:r>
        <w:rPr>
          <w:rFonts w:ascii="Titillium" w:hAnsi="Titillium"/>
          <w:b/>
          <w:sz w:val="22"/>
          <w:szCs w:val="22"/>
        </w:rPr>
        <w:t xml:space="preserve">Bespoke </w:t>
      </w:r>
      <w:r w:rsidR="000D4E5D" w:rsidRPr="00B1025D">
        <w:rPr>
          <w:rFonts w:ascii="Titillium" w:hAnsi="Titillium"/>
          <w:b/>
          <w:sz w:val="22"/>
          <w:szCs w:val="22"/>
        </w:rPr>
        <w:t xml:space="preserve">CPD </w:t>
      </w:r>
      <w:r>
        <w:rPr>
          <w:rFonts w:ascii="Titillium" w:hAnsi="Titillium"/>
          <w:b/>
          <w:sz w:val="22"/>
          <w:szCs w:val="22"/>
        </w:rPr>
        <w:t>C</w:t>
      </w:r>
      <w:r w:rsidR="000D4E5D" w:rsidRPr="00B1025D">
        <w:rPr>
          <w:rFonts w:ascii="Titillium" w:hAnsi="Titillium"/>
          <w:b/>
          <w:sz w:val="22"/>
          <w:szCs w:val="22"/>
        </w:rPr>
        <w:t>ourses</w:t>
      </w:r>
      <w:r w:rsidR="000D4E5D">
        <w:rPr>
          <w:rFonts w:ascii="Titillium" w:hAnsi="Titillium"/>
          <w:sz w:val="22"/>
          <w:szCs w:val="22"/>
        </w:rPr>
        <w:t xml:space="preserve"> </w:t>
      </w:r>
      <w:r>
        <w:rPr>
          <w:rFonts w:ascii="Titillium" w:hAnsi="Titillium"/>
          <w:sz w:val="22"/>
          <w:szCs w:val="22"/>
        </w:rPr>
        <w:t xml:space="preserve">is defined as </w:t>
      </w:r>
      <w:r w:rsidR="000D4E5D" w:rsidRPr="003F5165">
        <w:rPr>
          <w:rFonts w:ascii="Titillium" w:hAnsi="Titillium"/>
          <w:sz w:val="22"/>
          <w:szCs w:val="22"/>
        </w:rPr>
        <w:t>training programmes for learners already in work, who are undertaking the course for purposes of professional development</w:t>
      </w:r>
      <w:r>
        <w:rPr>
          <w:rFonts w:ascii="Titillium" w:hAnsi="Titillium"/>
          <w:sz w:val="22"/>
          <w:szCs w:val="22"/>
        </w:rPr>
        <w:t xml:space="preserve"> whereby the</w:t>
      </w:r>
      <w:r w:rsidR="000D4E5D" w:rsidRPr="003F5165">
        <w:rPr>
          <w:rFonts w:ascii="Titillium" w:hAnsi="Titillium"/>
          <w:sz w:val="22"/>
          <w:szCs w:val="22"/>
        </w:rPr>
        <w:t xml:space="preserve"> </w:t>
      </w:r>
      <w:r>
        <w:rPr>
          <w:rFonts w:ascii="Titillium" w:hAnsi="Titillium"/>
          <w:sz w:val="22"/>
          <w:szCs w:val="22"/>
        </w:rPr>
        <w:t>b</w:t>
      </w:r>
      <w:r w:rsidR="000D4E5D" w:rsidRPr="003F5165">
        <w:rPr>
          <w:rFonts w:ascii="Titillium" w:hAnsi="Titillium"/>
          <w:sz w:val="22"/>
          <w:szCs w:val="22"/>
        </w:rPr>
        <w:t xml:space="preserve">espoke </w:t>
      </w:r>
      <w:r>
        <w:rPr>
          <w:rFonts w:ascii="Titillium" w:hAnsi="Titillium"/>
          <w:sz w:val="22"/>
          <w:szCs w:val="22"/>
        </w:rPr>
        <w:t xml:space="preserve">provision is </w:t>
      </w:r>
      <w:r w:rsidR="000D4E5D" w:rsidRPr="003F5165">
        <w:rPr>
          <w:rFonts w:ascii="Titillium" w:hAnsi="Titillium"/>
          <w:sz w:val="22"/>
          <w:szCs w:val="22"/>
        </w:rPr>
        <w:t>tailored specific</w:t>
      </w:r>
      <w:r>
        <w:rPr>
          <w:rFonts w:ascii="Titillium" w:hAnsi="Titillium"/>
          <w:sz w:val="22"/>
          <w:szCs w:val="22"/>
        </w:rPr>
        <w:t>ally to an</w:t>
      </w:r>
      <w:r w:rsidR="000D4E5D" w:rsidRPr="003F5165">
        <w:rPr>
          <w:rFonts w:ascii="Titillium" w:hAnsi="Titillium"/>
          <w:sz w:val="22"/>
          <w:szCs w:val="22"/>
        </w:rPr>
        <w:t xml:space="preserve"> organisation’s workforce and skills development needs</w:t>
      </w:r>
      <w:r w:rsidR="008A00BC">
        <w:rPr>
          <w:rFonts w:ascii="Titillium" w:hAnsi="Titillium"/>
          <w:sz w:val="22"/>
          <w:szCs w:val="22"/>
        </w:rPr>
        <w:t xml:space="preserve"> or for a professional body’s membership</w:t>
      </w:r>
      <w:r>
        <w:rPr>
          <w:rFonts w:ascii="Titillium" w:hAnsi="Titillium"/>
          <w:sz w:val="22"/>
          <w:szCs w:val="22"/>
        </w:rPr>
        <w:t xml:space="preserve">. </w:t>
      </w:r>
      <w:r w:rsidR="008A00BC">
        <w:rPr>
          <w:rFonts w:ascii="Titillium" w:hAnsi="Titillium"/>
          <w:sz w:val="22"/>
          <w:szCs w:val="22"/>
        </w:rPr>
        <w:t>Normally, t</w:t>
      </w:r>
      <w:r>
        <w:rPr>
          <w:rFonts w:ascii="Titillium" w:hAnsi="Titillium"/>
          <w:sz w:val="22"/>
          <w:szCs w:val="22"/>
        </w:rPr>
        <w:t xml:space="preserve">he </w:t>
      </w:r>
      <w:r w:rsidR="000D4E5D" w:rsidRPr="003F5165">
        <w:rPr>
          <w:rFonts w:ascii="Titillium" w:hAnsi="Titillium"/>
          <w:sz w:val="22"/>
          <w:szCs w:val="22"/>
        </w:rPr>
        <w:t>employer pays the fees for employees to enrol as learners</w:t>
      </w:r>
      <w:r w:rsidR="00F3722A">
        <w:rPr>
          <w:rFonts w:ascii="Titillium" w:hAnsi="Titillium"/>
          <w:sz w:val="22"/>
          <w:szCs w:val="22"/>
        </w:rPr>
        <w:t xml:space="preserve"> and is invoiced directly</w:t>
      </w:r>
      <w:r>
        <w:rPr>
          <w:rFonts w:ascii="Titillium" w:hAnsi="Titillium"/>
          <w:sz w:val="22"/>
          <w:szCs w:val="22"/>
        </w:rPr>
        <w:t xml:space="preserve">. </w:t>
      </w:r>
    </w:p>
    <w:p w14:paraId="19A2A2FD" w14:textId="7F349EDB" w:rsidR="00F86754" w:rsidRPr="00A95748" w:rsidRDefault="00F86754" w:rsidP="00A95748">
      <w:pPr>
        <w:jc w:val="both"/>
        <w:rPr>
          <w:rFonts w:ascii="Titillium" w:hAnsi="Titillium"/>
          <w:sz w:val="22"/>
          <w:szCs w:val="22"/>
        </w:rPr>
      </w:pPr>
    </w:p>
    <w:p w14:paraId="7CAAB684" w14:textId="7848BCD8" w:rsidR="00F86754" w:rsidRDefault="00F86754" w:rsidP="0053216F">
      <w:pPr>
        <w:pStyle w:val="ListParagraph"/>
        <w:ind w:left="567"/>
        <w:jc w:val="both"/>
        <w:rPr>
          <w:rFonts w:ascii="Titillium" w:hAnsi="Titillium"/>
          <w:sz w:val="22"/>
          <w:szCs w:val="22"/>
        </w:rPr>
      </w:pPr>
      <w:r>
        <w:rPr>
          <w:rFonts w:ascii="Titillium" w:hAnsi="Titillium"/>
          <w:sz w:val="22"/>
          <w:szCs w:val="22"/>
        </w:rPr>
        <w:lastRenderedPageBreak/>
        <w:t xml:space="preserve">In accordance with the definitions above, all activity that arises naturally from, and is related to employment at the University, </w:t>
      </w:r>
      <w:r w:rsidR="00C216DB">
        <w:rPr>
          <w:rFonts w:ascii="Titillium" w:hAnsi="Titillium"/>
          <w:sz w:val="22"/>
          <w:szCs w:val="22"/>
        </w:rPr>
        <w:t>should be</w:t>
      </w:r>
      <w:r>
        <w:rPr>
          <w:rFonts w:ascii="Titillium" w:hAnsi="Titillium"/>
          <w:sz w:val="22"/>
          <w:szCs w:val="22"/>
        </w:rPr>
        <w:t xml:space="preserve"> carried out through the</w:t>
      </w:r>
      <w:r w:rsidR="00D67BFB">
        <w:rPr>
          <w:rFonts w:ascii="Titillium" w:hAnsi="Titillium"/>
          <w:sz w:val="22"/>
          <w:szCs w:val="22"/>
        </w:rPr>
        <w:t xml:space="preserve"> Consultancy and Commercial Activities</w:t>
      </w:r>
      <w:r>
        <w:rPr>
          <w:rFonts w:ascii="Titillium" w:hAnsi="Titillium"/>
          <w:sz w:val="22"/>
          <w:szCs w:val="22"/>
        </w:rPr>
        <w:t xml:space="preserve"> Framework</w:t>
      </w:r>
      <w:r w:rsidR="00C216DB">
        <w:rPr>
          <w:rFonts w:ascii="Titillium" w:hAnsi="Titillium"/>
          <w:sz w:val="22"/>
          <w:szCs w:val="22"/>
        </w:rPr>
        <w:t xml:space="preserve"> to ensure additional payment eligibility</w:t>
      </w:r>
      <w:r>
        <w:rPr>
          <w:rFonts w:ascii="Titillium" w:hAnsi="Titillium"/>
          <w:sz w:val="22"/>
          <w:szCs w:val="22"/>
        </w:rPr>
        <w:t>. Activity must be approved in accorda</w:t>
      </w:r>
      <w:r w:rsidR="006A407D">
        <w:rPr>
          <w:rFonts w:ascii="Titillium" w:hAnsi="Titillium"/>
          <w:sz w:val="22"/>
          <w:szCs w:val="22"/>
        </w:rPr>
        <w:t xml:space="preserve">nce with the required </w:t>
      </w:r>
      <w:r w:rsidR="00F3722A">
        <w:rPr>
          <w:rFonts w:ascii="Titillium" w:hAnsi="Titillium"/>
          <w:sz w:val="22"/>
          <w:szCs w:val="22"/>
        </w:rPr>
        <w:t>process</w:t>
      </w:r>
      <w:r w:rsidR="006A407D">
        <w:rPr>
          <w:rFonts w:ascii="Titillium" w:hAnsi="Titillium"/>
          <w:sz w:val="22"/>
          <w:szCs w:val="22"/>
        </w:rPr>
        <w:t xml:space="preserve"> </w:t>
      </w:r>
      <w:r>
        <w:rPr>
          <w:rFonts w:ascii="Titillium" w:hAnsi="Titillium"/>
          <w:sz w:val="22"/>
          <w:szCs w:val="22"/>
        </w:rPr>
        <w:t xml:space="preserve">and governed by a contract signed off by RIE with the external organisation, whereby due diligence has been undertaken and which ensures appropriate insurance covers applies. </w:t>
      </w:r>
    </w:p>
    <w:p w14:paraId="77903E29" w14:textId="300E9833" w:rsidR="006A407D" w:rsidRDefault="006A407D" w:rsidP="0053216F">
      <w:pPr>
        <w:pStyle w:val="ListParagraph"/>
        <w:ind w:left="567"/>
        <w:jc w:val="both"/>
        <w:rPr>
          <w:rFonts w:ascii="Titillium" w:hAnsi="Titillium"/>
          <w:sz w:val="22"/>
          <w:szCs w:val="22"/>
        </w:rPr>
      </w:pPr>
    </w:p>
    <w:p w14:paraId="20BF26D4" w14:textId="78D82514" w:rsidR="00F86754" w:rsidRPr="007637CF" w:rsidRDefault="006A407D" w:rsidP="0053216F">
      <w:pPr>
        <w:pStyle w:val="ListParagraph"/>
        <w:ind w:left="567"/>
        <w:jc w:val="both"/>
      </w:pPr>
      <w:r>
        <w:rPr>
          <w:rFonts w:ascii="Titillium" w:hAnsi="Titillium"/>
          <w:sz w:val="22"/>
          <w:szCs w:val="22"/>
        </w:rPr>
        <w:t xml:space="preserve">Please see Appendix 2 for a list of activities that are </w:t>
      </w:r>
      <w:r w:rsidR="00A90E7B">
        <w:rPr>
          <w:rFonts w:ascii="Titillium" w:hAnsi="Titillium"/>
          <w:sz w:val="22"/>
          <w:szCs w:val="22"/>
        </w:rPr>
        <w:t>out with scope of the Framework.</w:t>
      </w:r>
    </w:p>
    <w:p w14:paraId="74CE69AE" w14:textId="2DB94142" w:rsidR="0010749E" w:rsidRDefault="0010749E" w:rsidP="0053216F">
      <w:pPr>
        <w:pStyle w:val="ListParagraph"/>
        <w:ind w:left="0"/>
        <w:jc w:val="both"/>
        <w:rPr>
          <w:rFonts w:ascii="Titillium" w:hAnsi="Titillium"/>
          <w:sz w:val="22"/>
          <w:szCs w:val="22"/>
        </w:rPr>
      </w:pPr>
    </w:p>
    <w:p w14:paraId="233C2A6A" w14:textId="755E99B2" w:rsidR="00BF45D3" w:rsidRDefault="00033FCC" w:rsidP="0053216F">
      <w:pPr>
        <w:pStyle w:val="ListParagraph"/>
        <w:numPr>
          <w:ilvl w:val="0"/>
          <w:numId w:val="40"/>
        </w:numPr>
        <w:ind w:left="567" w:hanging="567"/>
        <w:jc w:val="both"/>
        <w:rPr>
          <w:rFonts w:ascii="Titillium" w:hAnsi="Titillium"/>
          <w:b/>
          <w:color w:val="67B8E7"/>
          <w:sz w:val="32"/>
          <w:szCs w:val="32"/>
        </w:rPr>
      </w:pPr>
      <w:r>
        <w:rPr>
          <w:rFonts w:ascii="Titillium" w:hAnsi="Titillium"/>
          <w:b/>
          <w:color w:val="67B8E7"/>
          <w:sz w:val="32"/>
          <w:szCs w:val="32"/>
        </w:rPr>
        <w:t xml:space="preserve">Costing and </w:t>
      </w:r>
      <w:r w:rsidR="004957DA">
        <w:rPr>
          <w:rFonts w:ascii="Titillium" w:hAnsi="Titillium"/>
          <w:b/>
          <w:color w:val="67B8E7"/>
          <w:sz w:val="32"/>
          <w:szCs w:val="32"/>
        </w:rPr>
        <w:t xml:space="preserve">Pricing </w:t>
      </w:r>
      <w:r>
        <w:rPr>
          <w:rFonts w:ascii="Titillium" w:hAnsi="Titillium"/>
          <w:b/>
          <w:color w:val="67B8E7"/>
          <w:sz w:val="32"/>
          <w:szCs w:val="32"/>
        </w:rPr>
        <w:t xml:space="preserve">of </w:t>
      </w:r>
      <w:r w:rsidR="004957DA">
        <w:rPr>
          <w:rFonts w:ascii="Titillium" w:hAnsi="Titillium"/>
          <w:b/>
          <w:color w:val="67B8E7"/>
          <w:sz w:val="32"/>
          <w:szCs w:val="32"/>
        </w:rPr>
        <w:t>Activit</w:t>
      </w:r>
      <w:r>
        <w:rPr>
          <w:rFonts w:ascii="Titillium" w:hAnsi="Titillium"/>
          <w:b/>
          <w:color w:val="67B8E7"/>
          <w:sz w:val="32"/>
          <w:szCs w:val="32"/>
        </w:rPr>
        <w:t>ies</w:t>
      </w:r>
      <w:r w:rsidR="004957DA">
        <w:rPr>
          <w:rFonts w:ascii="Titillium" w:hAnsi="Titillium"/>
          <w:b/>
          <w:color w:val="67B8E7"/>
          <w:sz w:val="32"/>
          <w:szCs w:val="32"/>
        </w:rPr>
        <w:t xml:space="preserve"> </w:t>
      </w:r>
    </w:p>
    <w:p w14:paraId="493B4563" w14:textId="77777777" w:rsidR="00BF45D3" w:rsidRPr="00BF45D3" w:rsidRDefault="00BF45D3" w:rsidP="0053216F">
      <w:pPr>
        <w:jc w:val="both"/>
        <w:rPr>
          <w:rFonts w:ascii="Titillium" w:hAnsi="Titillium"/>
          <w:b/>
          <w:color w:val="67B8E7"/>
          <w:sz w:val="32"/>
          <w:szCs w:val="32"/>
        </w:rPr>
      </w:pPr>
    </w:p>
    <w:p w14:paraId="591D64A6" w14:textId="442FB4DB" w:rsidR="003F58EF" w:rsidRDefault="003F58EF" w:rsidP="003F58EF">
      <w:pPr>
        <w:ind w:left="567"/>
        <w:jc w:val="both"/>
        <w:rPr>
          <w:rFonts w:ascii="Titillium" w:hAnsi="Titillium"/>
          <w:sz w:val="22"/>
          <w:szCs w:val="22"/>
        </w:rPr>
      </w:pPr>
      <w:r>
        <w:rPr>
          <w:rFonts w:ascii="Titillium" w:hAnsi="Titillium"/>
          <w:sz w:val="22"/>
          <w:szCs w:val="22"/>
        </w:rPr>
        <w:t xml:space="preserve">All activity must be costed using full economic costing and priced in conjunction with RIE Business Development </w:t>
      </w:r>
      <w:r w:rsidR="00527DE8">
        <w:rPr>
          <w:rFonts w:ascii="Titillium" w:hAnsi="Titillium"/>
          <w:sz w:val="22"/>
          <w:szCs w:val="22"/>
        </w:rPr>
        <w:t xml:space="preserve">&amp; </w:t>
      </w:r>
      <w:r>
        <w:rPr>
          <w:rFonts w:ascii="Titillium" w:hAnsi="Titillium"/>
          <w:sz w:val="22"/>
          <w:szCs w:val="22"/>
        </w:rPr>
        <w:t xml:space="preserve">Relationship Managers </w:t>
      </w:r>
      <w:r w:rsidRPr="00CE2753">
        <w:rPr>
          <w:rFonts w:ascii="Titillium" w:hAnsi="Titillium"/>
          <w:sz w:val="22"/>
          <w:szCs w:val="22"/>
        </w:rPr>
        <w:t>at market rate</w:t>
      </w:r>
      <w:r>
        <w:rPr>
          <w:rFonts w:ascii="Titillium" w:hAnsi="Titillium"/>
          <w:sz w:val="22"/>
          <w:szCs w:val="22"/>
        </w:rPr>
        <w:t xml:space="preserve"> to ensure compliance with State Aid </w:t>
      </w:r>
      <w:r w:rsidR="00527DE8">
        <w:rPr>
          <w:rFonts w:ascii="Titillium" w:hAnsi="Titillium"/>
          <w:sz w:val="22"/>
          <w:szCs w:val="22"/>
        </w:rPr>
        <w:t>r</w:t>
      </w:r>
      <w:r>
        <w:rPr>
          <w:rFonts w:ascii="Titillium" w:hAnsi="Titillium"/>
          <w:sz w:val="22"/>
          <w:szCs w:val="22"/>
        </w:rPr>
        <w:t xml:space="preserve">ules.  Approval by either the Dean of School, Director of Service or Delegate Approver is required in advance of a final quote being issued to the client. Indicative client quick quotes can be provided in advance of a final quote; however, these are only for information and not legally binding. For indicative day rates </w:t>
      </w:r>
      <w:r w:rsidR="008600BB">
        <w:rPr>
          <w:rFonts w:ascii="Titillium" w:hAnsi="Titillium"/>
          <w:sz w:val="22"/>
          <w:szCs w:val="22"/>
        </w:rPr>
        <w:t>contact Business Development &amp; Relationship Managers</w:t>
      </w:r>
      <w:r>
        <w:rPr>
          <w:rFonts w:ascii="Titillium" w:hAnsi="Titillium"/>
          <w:sz w:val="22"/>
          <w:szCs w:val="22"/>
        </w:rPr>
        <w:t xml:space="preserve">. </w:t>
      </w:r>
    </w:p>
    <w:p w14:paraId="6F2F4D72" w14:textId="77777777" w:rsidR="00681344" w:rsidRDefault="00681344" w:rsidP="0053216F">
      <w:pPr>
        <w:ind w:left="567"/>
        <w:jc w:val="both"/>
        <w:rPr>
          <w:rFonts w:ascii="Titillium" w:hAnsi="Titillium"/>
          <w:sz w:val="22"/>
          <w:szCs w:val="22"/>
        </w:rPr>
      </w:pPr>
    </w:p>
    <w:p w14:paraId="3E85CE93" w14:textId="77777777" w:rsidR="003F58EF" w:rsidRDefault="003F58EF" w:rsidP="003F58EF">
      <w:pPr>
        <w:ind w:left="1134" w:hanging="567"/>
        <w:jc w:val="both"/>
        <w:rPr>
          <w:rFonts w:ascii="Titillium" w:hAnsi="Titillium"/>
          <w:sz w:val="22"/>
          <w:szCs w:val="22"/>
        </w:rPr>
      </w:pPr>
      <w:r>
        <w:rPr>
          <w:rFonts w:ascii="Titillium" w:hAnsi="Titillium"/>
          <w:sz w:val="22"/>
          <w:szCs w:val="22"/>
        </w:rPr>
        <w:t>The full economic cost of the project will include the following four components:</w:t>
      </w:r>
    </w:p>
    <w:p w14:paraId="3626E37C" w14:textId="68C5DCD7" w:rsidR="00E834D5" w:rsidRDefault="00E834D5" w:rsidP="0053216F">
      <w:pPr>
        <w:ind w:left="1134" w:hanging="567"/>
        <w:jc w:val="both"/>
        <w:rPr>
          <w:rFonts w:ascii="Titillium" w:hAnsi="Titillium"/>
          <w:sz w:val="22"/>
          <w:szCs w:val="22"/>
        </w:rPr>
      </w:pPr>
    </w:p>
    <w:p w14:paraId="3187627F" w14:textId="77777777" w:rsidR="003F58EF" w:rsidRDefault="003F58EF" w:rsidP="003F58EF">
      <w:pPr>
        <w:pStyle w:val="ListParagraph"/>
        <w:numPr>
          <w:ilvl w:val="0"/>
          <w:numId w:val="33"/>
        </w:numPr>
        <w:ind w:left="850" w:hanging="283"/>
        <w:jc w:val="both"/>
        <w:rPr>
          <w:rFonts w:ascii="Titillium" w:hAnsi="Titillium"/>
          <w:b/>
          <w:bCs/>
          <w:sz w:val="22"/>
          <w:szCs w:val="22"/>
        </w:rPr>
      </w:pPr>
      <w:r>
        <w:rPr>
          <w:rFonts w:ascii="Titillium" w:hAnsi="Titillium"/>
          <w:b/>
          <w:bCs/>
          <w:sz w:val="22"/>
          <w:szCs w:val="22"/>
        </w:rPr>
        <w:t>Directly Incurred Costs - C</w:t>
      </w:r>
      <w:r w:rsidRPr="00C646D1">
        <w:rPr>
          <w:rFonts w:ascii="Titillium" w:hAnsi="Titillium"/>
          <w:b/>
          <w:bCs/>
          <w:sz w:val="22"/>
          <w:szCs w:val="22"/>
        </w:rPr>
        <w:t>osts which are explicitly identifiable as arising from the conduct of a project</w:t>
      </w:r>
      <w:r>
        <w:rPr>
          <w:rFonts w:ascii="Titillium" w:hAnsi="Titillium"/>
          <w:b/>
          <w:bCs/>
          <w:sz w:val="22"/>
          <w:szCs w:val="22"/>
        </w:rPr>
        <w:t xml:space="preserve">. </w:t>
      </w:r>
    </w:p>
    <w:p w14:paraId="68ACDB80" w14:textId="21810067" w:rsidR="00816AFB" w:rsidRDefault="00816AFB" w:rsidP="00B35880">
      <w:pPr>
        <w:ind w:left="283" w:firstLine="567"/>
        <w:jc w:val="both"/>
        <w:rPr>
          <w:rFonts w:ascii="Titillium" w:hAnsi="Titillium"/>
          <w:sz w:val="22"/>
          <w:szCs w:val="22"/>
        </w:rPr>
      </w:pPr>
      <w:r>
        <w:rPr>
          <w:rFonts w:ascii="Titillium" w:hAnsi="Titillium"/>
          <w:sz w:val="22"/>
          <w:szCs w:val="22"/>
        </w:rPr>
        <w:t>Consumables</w:t>
      </w:r>
    </w:p>
    <w:p w14:paraId="5BDAEFC9" w14:textId="7FEEE5EA" w:rsidR="00816AFB" w:rsidRDefault="00816AFB" w:rsidP="00B35880">
      <w:pPr>
        <w:ind w:left="850"/>
        <w:jc w:val="both"/>
        <w:rPr>
          <w:rFonts w:ascii="Titillium" w:hAnsi="Titillium"/>
          <w:sz w:val="22"/>
          <w:szCs w:val="22"/>
        </w:rPr>
      </w:pPr>
      <w:r>
        <w:rPr>
          <w:rFonts w:ascii="Titillium" w:hAnsi="Titillium"/>
          <w:sz w:val="22"/>
          <w:szCs w:val="22"/>
        </w:rPr>
        <w:t xml:space="preserve">Travel and </w:t>
      </w:r>
      <w:r w:rsidR="00E834D5">
        <w:rPr>
          <w:rFonts w:ascii="Titillium" w:hAnsi="Titillium"/>
          <w:sz w:val="22"/>
          <w:szCs w:val="22"/>
        </w:rPr>
        <w:t>subs</w:t>
      </w:r>
      <w:r w:rsidR="00100349">
        <w:rPr>
          <w:rFonts w:ascii="Titillium" w:hAnsi="Titillium"/>
          <w:sz w:val="22"/>
          <w:szCs w:val="22"/>
        </w:rPr>
        <w:t>iste</w:t>
      </w:r>
      <w:r w:rsidR="00E834D5">
        <w:rPr>
          <w:rFonts w:ascii="Titillium" w:hAnsi="Titillium"/>
          <w:sz w:val="22"/>
          <w:szCs w:val="22"/>
        </w:rPr>
        <w:t>nce</w:t>
      </w:r>
    </w:p>
    <w:p w14:paraId="706126C7" w14:textId="0AF72F08" w:rsidR="00816AFB" w:rsidRDefault="00816AFB" w:rsidP="00B35880">
      <w:pPr>
        <w:ind w:left="850"/>
        <w:jc w:val="both"/>
        <w:rPr>
          <w:rFonts w:ascii="Titillium" w:hAnsi="Titillium"/>
          <w:sz w:val="22"/>
          <w:szCs w:val="22"/>
        </w:rPr>
      </w:pPr>
      <w:r>
        <w:rPr>
          <w:rFonts w:ascii="Titillium" w:hAnsi="Titillium"/>
          <w:sz w:val="22"/>
          <w:szCs w:val="22"/>
        </w:rPr>
        <w:t xml:space="preserve">Any </w:t>
      </w:r>
      <w:r w:rsidR="00E834D5">
        <w:rPr>
          <w:rFonts w:ascii="Titillium" w:hAnsi="Titillium"/>
          <w:sz w:val="22"/>
          <w:szCs w:val="22"/>
        </w:rPr>
        <w:t>equipment</w:t>
      </w:r>
      <w:r w:rsidR="00033FCC">
        <w:rPr>
          <w:rFonts w:ascii="Titillium" w:hAnsi="Titillium"/>
          <w:sz w:val="22"/>
          <w:szCs w:val="22"/>
        </w:rPr>
        <w:t xml:space="preserve"> and </w:t>
      </w:r>
      <w:r w:rsidR="00E834D5">
        <w:rPr>
          <w:rFonts w:ascii="Titillium" w:hAnsi="Titillium"/>
          <w:sz w:val="22"/>
          <w:szCs w:val="22"/>
        </w:rPr>
        <w:t>sof</w:t>
      </w:r>
      <w:r w:rsidR="001800F0">
        <w:rPr>
          <w:rFonts w:ascii="Titillium" w:hAnsi="Titillium"/>
          <w:sz w:val="22"/>
          <w:szCs w:val="22"/>
        </w:rPr>
        <w:t>t</w:t>
      </w:r>
      <w:r w:rsidR="00E834D5">
        <w:rPr>
          <w:rFonts w:ascii="Titillium" w:hAnsi="Titillium"/>
          <w:sz w:val="22"/>
          <w:szCs w:val="22"/>
        </w:rPr>
        <w:t>ware</w:t>
      </w:r>
    </w:p>
    <w:p w14:paraId="79E3BE9F" w14:textId="5525DB42" w:rsidR="00816AFB" w:rsidRDefault="00816AFB" w:rsidP="00B35880">
      <w:pPr>
        <w:ind w:left="850"/>
        <w:jc w:val="both"/>
        <w:rPr>
          <w:rFonts w:ascii="Titillium" w:hAnsi="Titillium"/>
          <w:sz w:val="22"/>
          <w:szCs w:val="22"/>
        </w:rPr>
      </w:pPr>
      <w:r>
        <w:rPr>
          <w:rFonts w:ascii="Titillium" w:hAnsi="Titillium"/>
          <w:sz w:val="22"/>
          <w:szCs w:val="22"/>
        </w:rPr>
        <w:t xml:space="preserve">Any other identifiable direct </w:t>
      </w:r>
      <w:r w:rsidR="00BF45D3">
        <w:rPr>
          <w:rFonts w:ascii="Titillium" w:hAnsi="Titillium"/>
          <w:sz w:val="22"/>
          <w:szCs w:val="22"/>
        </w:rPr>
        <w:t>costs (</w:t>
      </w:r>
      <w:proofErr w:type="gramStart"/>
      <w:r w:rsidR="0078722D">
        <w:rPr>
          <w:rFonts w:ascii="Titillium" w:hAnsi="Titillium"/>
          <w:sz w:val="22"/>
          <w:szCs w:val="22"/>
        </w:rPr>
        <w:t>e.g.</w:t>
      </w:r>
      <w:proofErr w:type="gramEnd"/>
      <w:r>
        <w:rPr>
          <w:rFonts w:ascii="Titillium" w:hAnsi="Titillium"/>
          <w:sz w:val="22"/>
          <w:szCs w:val="22"/>
        </w:rPr>
        <w:t xml:space="preserve"> administration costs</w:t>
      </w:r>
      <w:r w:rsidR="00100349">
        <w:rPr>
          <w:rFonts w:ascii="Titillium" w:hAnsi="Titillium"/>
          <w:sz w:val="22"/>
          <w:szCs w:val="22"/>
        </w:rPr>
        <w:t>,</w:t>
      </w:r>
      <w:r w:rsidR="006D6D78">
        <w:rPr>
          <w:rFonts w:ascii="Titillium" w:hAnsi="Titillium"/>
          <w:sz w:val="22"/>
          <w:szCs w:val="22"/>
        </w:rPr>
        <w:t xml:space="preserve"> research and technical assistant </w:t>
      </w:r>
      <w:r w:rsidR="00033FCC">
        <w:rPr>
          <w:rFonts w:ascii="Titillium" w:hAnsi="Titillium"/>
          <w:sz w:val="22"/>
          <w:szCs w:val="22"/>
        </w:rPr>
        <w:t xml:space="preserve">costs </w:t>
      </w:r>
      <w:r w:rsidR="006D6D78">
        <w:rPr>
          <w:rFonts w:ascii="Titillium" w:hAnsi="Titillium"/>
          <w:sz w:val="22"/>
          <w:szCs w:val="22"/>
        </w:rPr>
        <w:t>(non-academic staff),</w:t>
      </w:r>
      <w:r w:rsidR="00100349">
        <w:rPr>
          <w:rFonts w:ascii="Titillium" w:hAnsi="Titillium"/>
          <w:sz w:val="22"/>
          <w:szCs w:val="22"/>
        </w:rPr>
        <w:t xml:space="preserve"> professional services</w:t>
      </w:r>
      <w:r w:rsidR="00BF45D3">
        <w:rPr>
          <w:rFonts w:ascii="Titillium" w:hAnsi="Titillium"/>
          <w:sz w:val="22"/>
          <w:szCs w:val="22"/>
        </w:rPr>
        <w:t>)</w:t>
      </w:r>
    </w:p>
    <w:p w14:paraId="50D7115B" w14:textId="65C1A639" w:rsidR="00E834D5" w:rsidRDefault="00E834D5" w:rsidP="00B35880">
      <w:pPr>
        <w:ind w:left="850" w:hanging="567"/>
        <w:jc w:val="both"/>
        <w:rPr>
          <w:rFonts w:ascii="Titillium" w:hAnsi="Titillium"/>
          <w:sz w:val="22"/>
          <w:szCs w:val="22"/>
        </w:rPr>
      </w:pPr>
    </w:p>
    <w:p w14:paraId="743738C5" w14:textId="77777777" w:rsidR="003100E9" w:rsidRDefault="003100E9" w:rsidP="003100E9">
      <w:pPr>
        <w:pStyle w:val="ListParagraph"/>
        <w:numPr>
          <w:ilvl w:val="0"/>
          <w:numId w:val="33"/>
        </w:numPr>
        <w:ind w:left="850" w:hanging="283"/>
        <w:jc w:val="both"/>
        <w:rPr>
          <w:rFonts w:ascii="Titillium" w:hAnsi="Titillium"/>
          <w:b/>
          <w:bCs/>
          <w:sz w:val="22"/>
          <w:szCs w:val="22"/>
        </w:rPr>
      </w:pPr>
      <w:r>
        <w:rPr>
          <w:rFonts w:ascii="Titillium" w:hAnsi="Titillium"/>
          <w:b/>
          <w:bCs/>
          <w:sz w:val="22"/>
          <w:szCs w:val="22"/>
        </w:rPr>
        <w:t xml:space="preserve">Directly allocated costs - </w:t>
      </w:r>
      <w:r w:rsidRPr="00457088">
        <w:rPr>
          <w:rFonts w:ascii="Titillium" w:hAnsi="Titillium"/>
          <w:b/>
          <w:bCs/>
          <w:sz w:val="22"/>
          <w:szCs w:val="22"/>
        </w:rPr>
        <w:t>Costs of resources used by a project</w:t>
      </w:r>
      <w:r w:rsidRPr="00457088">
        <w:rPr>
          <w:rFonts w:ascii="Calibri" w:hAnsi="Calibri" w:cs="Calibri"/>
          <w:b/>
          <w:bCs/>
          <w:sz w:val="22"/>
          <w:szCs w:val="22"/>
        </w:rPr>
        <w:t> </w:t>
      </w:r>
      <w:r w:rsidRPr="00457088">
        <w:rPr>
          <w:rFonts w:ascii="Titillium" w:hAnsi="Titillium"/>
          <w:b/>
          <w:bCs/>
          <w:sz w:val="22"/>
          <w:szCs w:val="22"/>
        </w:rPr>
        <w:t>that are shared by other activities.</w:t>
      </w:r>
    </w:p>
    <w:p w14:paraId="657874E9" w14:textId="5C12B16C" w:rsidR="00E834D5" w:rsidRDefault="00DC24C2" w:rsidP="00B35880">
      <w:pPr>
        <w:ind w:left="850"/>
        <w:jc w:val="both"/>
        <w:rPr>
          <w:rFonts w:ascii="Titillium" w:hAnsi="Titillium"/>
          <w:sz w:val="22"/>
          <w:szCs w:val="22"/>
        </w:rPr>
      </w:pPr>
      <w:r>
        <w:rPr>
          <w:rFonts w:ascii="Titillium" w:hAnsi="Titillium"/>
          <w:sz w:val="22"/>
          <w:szCs w:val="22"/>
        </w:rPr>
        <w:t>S</w:t>
      </w:r>
      <w:r w:rsidR="00E834D5">
        <w:rPr>
          <w:rFonts w:ascii="Titillium" w:hAnsi="Titillium"/>
          <w:sz w:val="22"/>
          <w:szCs w:val="22"/>
        </w:rPr>
        <w:t xml:space="preserve">taff time, including </w:t>
      </w:r>
      <w:r w:rsidR="00033FCC">
        <w:rPr>
          <w:rFonts w:ascii="Titillium" w:hAnsi="Titillium"/>
          <w:sz w:val="22"/>
          <w:szCs w:val="22"/>
        </w:rPr>
        <w:t>on-costs (</w:t>
      </w:r>
      <w:r w:rsidR="00D818BE">
        <w:rPr>
          <w:rFonts w:ascii="Titillium" w:hAnsi="Titillium"/>
          <w:sz w:val="22"/>
          <w:szCs w:val="22"/>
        </w:rPr>
        <w:t xml:space="preserve">Employer’s </w:t>
      </w:r>
      <w:r w:rsidR="00033FCC">
        <w:rPr>
          <w:rFonts w:ascii="Titillium" w:hAnsi="Titillium"/>
          <w:sz w:val="22"/>
          <w:szCs w:val="22"/>
        </w:rPr>
        <w:t xml:space="preserve">national insurance and pension </w:t>
      </w:r>
      <w:r w:rsidR="00D818BE">
        <w:rPr>
          <w:rFonts w:ascii="Titillium" w:hAnsi="Titillium"/>
          <w:sz w:val="22"/>
          <w:szCs w:val="22"/>
        </w:rPr>
        <w:t>contributions</w:t>
      </w:r>
      <w:r w:rsidR="00033FCC">
        <w:rPr>
          <w:rFonts w:ascii="Titillium" w:hAnsi="Titillium"/>
          <w:sz w:val="22"/>
          <w:szCs w:val="22"/>
        </w:rPr>
        <w:t xml:space="preserve">) </w:t>
      </w:r>
    </w:p>
    <w:p w14:paraId="49BCB881" w14:textId="67FEFB16" w:rsidR="003100E9" w:rsidRDefault="003100E9" w:rsidP="00B35880">
      <w:pPr>
        <w:ind w:left="850"/>
        <w:jc w:val="both"/>
        <w:rPr>
          <w:rFonts w:ascii="Titillium" w:hAnsi="Titillium"/>
          <w:sz w:val="22"/>
          <w:szCs w:val="22"/>
        </w:rPr>
      </w:pPr>
    </w:p>
    <w:p w14:paraId="3BF37893" w14:textId="7FB8A050" w:rsidR="003100E9" w:rsidRPr="003100E9" w:rsidRDefault="003100E9" w:rsidP="003100E9">
      <w:pPr>
        <w:pStyle w:val="ListParagraph"/>
        <w:numPr>
          <w:ilvl w:val="0"/>
          <w:numId w:val="33"/>
        </w:numPr>
        <w:jc w:val="both"/>
        <w:rPr>
          <w:rFonts w:ascii="Titillium" w:hAnsi="Titillium"/>
          <w:b/>
          <w:bCs/>
          <w:sz w:val="22"/>
          <w:szCs w:val="22"/>
        </w:rPr>
      </w:pPr>
      <w:r w:rsidRPr="003100E9">
        <w:rPr>
          <w:rFonts w:ascii="Titillium" w:hAnsi="Titillium"/>
          <w:b/>
          <w:bCs/>
          <w:sz w:val="22"/>
          <w:szCs w:val="22"/>
        </w:rPr>
        <w:t xml:space="preserve">Estate and Indirect Costs – </w:t>
      </w:r>
      <w:proofErr w:type="spellStart"/>
      <w:proofErr w:type="gramStart"/>
      <w:r w:rsidRPr="003100E9">
        <w:rPr>
          <w:rFonts w:ascii="Titillium" w:hAnsi="Titillium"/>
          <w:b/>
          <w:bCs/>
          <w:sz w:val="22"/>
          <w:szCs w:val="22"/>
        </w:rPr>
        <w:t>Non specific</w:t>
      </w:r>
      <w:proofErr w:type="spellEnd"/>
      <w:proofErr w:type="gramEnd"/>
      <w:r w:rsidRPr="003100E9">
        <w:rPr>
          <w:rFonts w:ascii="Titillium" w:hAnsi="Titillium"/>
          <w:b/>
          <w:bCs/>
          <w:sz w:val="22"/>
          <w:szCs w:val="22"/>
        </w:rPr>
        <w:t xml:space="preserve"> costs charged across all projects</w:t>
      </w:r>
      <w:r>
        <w:rPr>
          <w:rFonts w:ascii="Titillium" w:hAnsi="Titillium"/>
          <w:b/>
          <w:bCs/>
          <w:sz w:val="22"/>
          <w:szCs w:val="22"/>
        </w:rPr>
        <w:t xml:space="preserve"> (</w:t>
      </w:r>
      <w:proofErr w:type="spellStart"/>
      <w:r>
        <w:rPr>
          <w:rFonts w:ascii="Titillium" w:hAnsi="Titillium"/>
          <w:b/>
          <w:bCs/>
          <w:sz w:val="22"/>
          <w:szCs w:val="22"/>
        </w:rPr>
        <w:t>E.g</w:t>
      </w:r>
      <w:proofErr w:type="spellEnd"/>
      <w:r>
        <w:rPr>
          <w:rFonts w:ascii="Titillium" w:hAnsi="Titillium"/>
          <w:b/>
          <w:bCs/>
          <w:sz w:val="22"/>
          <w:szCs w:val="22"/>
        </w:rPr>
        <w:t xml:space="preserve"> admin, finance, Business Development)</w:t>
      </w:r>
      <w:r w:rsidRPr="003100E9">
        <w:rPr>
          <w:rFonts w:ascii="Titillium" w:hAnsi="Titillium"/>
          <w:b/>
          <w:bCs/>
          <w:sz w:val="22"/>
          <w:szCs w:val="22"/>
        </w:rPr>
        <w:t xml:space="preserve">. </w:t>
      </w:r>
    </w:p>
    <w:p w14:paraId="3790175A" w14:textId="2DDCADDD" w:rsidR="00E834D5" w:rsidRDefault="00E834D5" w:rsidP="00B35880">
      <w:pPr>
        <w:ind w:left="850" w:hanging="567"/>
        <w:jc w:val="both"/>
        <w:rPr>
          <w:rFonts w:ascii="Titillium" w:hAnsi="Titillium"/>
          <w:sz w:val="22"/>
          <w:szCs w:val="22"/>
        </w:rPr>
      </w:pPr>
    </w:p>
    <w:p w14:paraId="774E469A" w14:textId="1E4A8F1E" w:rsidR="00E834D5" w:rsidRPr="00874F34" w:rsidRDefault="00E834D5" w:rsidP="00B35880">
      <w:pPr>
        <w:pStyle w:val="ListParagraph"/>
        <w:numPr>
          <w:ilvl w:val="0"/>
          <w:numId w:val="33"/>
        </w:numPr>
        <w:ind w:left="850" w:hanging="283"/>
        <w:jc w:val="both"/>
        <w:rPr>
          <w:rFonts w:ascii="Titillium" w:hAnsi="Titillium"/>
          <w:b/>
          <w:bCs/>
          <w:sz w:val="22"/>
          <w:szCs w:val="22"/>
        </w:rPr>
      </w:pPr>
      <w:r w:rsidRPr="00874F34">
        <w:rPr>
          <w:rFonts w:ascii="Titillium" w:hAnsi="Titillium"/>
          <w:b/>
          <w:bCs/>
          <w:sz w:val="22"/>
          <w:szCs w:val="22"/>
        </w:rPr>
        <w:t>Surplus</w:t>
      </w:r>
      <w:r w:rsidR="005932D4">
        <w:rPr>
          <w:rFonts w:ascii="Titillium" w:hAnsi="Titillium"/>
          <w:b/>
          <w:bCs/>
          <w:sz w:val="22"/>
          <w:szCs w:val="22"/>
        </w:rPr>
        <w:t xml:space="preserve"> </w:t>
      </w:r>
    </w:p>
    <w:p w14:paraId="1F6E3FEB" w14:textId="38B01C36" w:rsidR="0037222B" w:rsidRDefault="003100E9" w:rsidP="00B35880">
      <w:pPr>
        <w:ind w:left="850"/>
        <w:jc w:val="both"/>
        <w:rPr>
          <w:rFonts w:ascii="Titillium" w:hAnsi="Titillium"/>
          <w:sz w:val="22"/>
          <w:szCs w:val="22"/>
        </w:rPr>
      </w:pPr>
      <w:r>
        <w:rPr>
          <w:rFonts w:ascii="Titillium" w:hAnsi="Titillium"/>
          <w:sz w:val="22"/>
          <w:szCs w:val="22"/>
        </w:rPr>
        <w:t>The Surplus on consultancy and commercial activity is based</w:t>
      </w:r>
      <w:r w:rsidR="0037222B">
        <w:rPr>
          <w:rFonts w:ascii="Titillium" w:hAnsi="Titillium"/>
          <w:sz w:val="22"/>
          <w:szCs w:val="22"/>
        </w:rPr>
        <w:t xml:space="preserve"> on the following three price components:</w:t>
      </w:r>
      <w:r w:rsidR="00E43A71">
        <w:rPr>
          <w:rFonts w:ascii="Titillium" w:hAnsi="Titillium"/>
          <w:sz w:val="22"/>
          <w:szCs w:val="22"/>
        </w:rPr>
        <w:t xml:space="preserve"> </w:t>
      </w:r>
      <w:r w:rsidR="0037222B">
        <w:rPr>
          <w:rFonts w:ascii="Titillium" w:hAnsi="Titillium"/>
          <w:sz w:val="22"/>
          <w:szCs w:val="22"/>
        </w:rPr>
        <w:t xml:space="preserve">the academic time, </w:t>
      </w:r>
      <w:r w:rsidR="00E43A71">
        <w:rPr>
          <w:rFonts w:ascii="Titillium" w:hAnsi="Titillium"/>
          <w:sz w:val="22"/>
          <w:szCs w:val="22"/>
        </w:rPr>
        <w:t xml:space="preserve">the </w:t>
      </w:r>
      <w:r w:rsidR="00E834D5">
        <w:rPr>
          <w:rFonts w:ascii="Titillium" w:hAnsi="Titillium"/>
          <w:sz w:val="22"/>
          <w:szCs w:val="22"/>
        </w:rPr>
        <w:t>estates and indirect costs</w:t>
      </w:r>
      <w:r w:rsidR="0037222B">
        <w:rPr>
          <w:rFonts w:ascii="Titillium" w:hAnsi="Titillium"/>
          <w:sz w:val="22"/>
          <w:szCs w:val="22"/>
        </w:rPr>
        <w:t xml:space="preserve"> and</w:t>
      </w:r>
      <w:r w:rsidR="00D818BE">
        <w:rPr>
          <w:rFonts w:ascii="Titillium" w:hAnsi="Titillium"/>
          <w:sz w:val="22"/>
          <w:szCs w:val="22"/>
        </w:rPr>
        <w:t xml:space="preserve"> </w:t>
      </w:r>
      <w:r w:rsidR="00E834D5">
        <w:rPr>
          <w:rFonts w:ascii="Titillium" w:hAnsi="Titillium"/>
          <w:sz w:val="22"/>
          <w:szCs w:val="22"/>
        </w:rPr>
        <w:t>any</w:t>
      </w:r>
      <w:r w:rsidR="00FD45C1">
        <w:rPr>
          <w:rFonts w:ascii="Titillium" w:hAnsi="Titillium"/>
          <w:sz w:val="22"/>
          <w:szCs w:val="22"/>
        </w:rPr>
        <w:t xml:space="preserve"> profit</w:t>
      </w:r>
      <w:r w:rsidR="00AA280A">
        <w:rPr>
          <w:rFonts w:ascii="Titillium" w:hAnsi="Titillium"/>
          <w:sz w:val="22"/>
          <w:szCs w:val="22"/>
        </w:rPr>
        <w:t xml:space="preserve"> uplift</w:t>
      </w:r>
      <w:r w:rsidR="0037222B">
        <w:rPr>
          <w:rFonts w:ascii="Titillium" w:hAnsi="Titillium"/>
          <w:sz w:val="22"/>
          <w:szCs w:val="22"/>
        </w:rPr>
        <w:t>.</w:t>
      </w:r>
    </w:p>
    <w:p w14:paraId="6432B11E" w14:textId="36D834CC" w:rsidR="00E834D5" w:rsidRDefault="00527DE8" w:rsidP="00B35880">
      <w:pPr>
        <w:ind w:left="850"/>
        <w:jc w:val="both"/>
        <w:rPr>
          <w:rFonts w:ascii="Titillium" w:hAnsi="Titillium"/>
          <w:sz w:val="22"/>
          <w:szCs w:val="22"/>
        </w:rPr>
      </w:pPr>
      <w:r>
        <w:rPr>
          <w:rFonts w:ascii="Titillium" w:hAnsi="Titillium"/>
          <w:sz w:val="22"/>
          <w:szCs w:val="22"/>
        </w:rPr>
        <w:t xml:space="preserve"> </w:t>
      </w:r>
    </w:p>
    <w:p w14:paraId="7AF31927" w14:textId="44CAADA7" w:rsidR="00600B3C" w:rsidRDefault="00600B3C" w:rsidP="0053216F">
      <w:pPr>
        <w:jc w:val="both"/>
        <w:rPr>
          <w:rFonts w:ascii="Titillium" w:hAnsi="Titillium"/>
          <w:sz w:val="22"/>
          <w:szCs w:val="22"/>
        </w:rPr>
      </w:pPr>
    </w:p>
    <w:p w14:paraId="2A3D4EF1" w14:textId="77777777" w:rsidR="00502EB2" w:rsidRDefault="00502EB2" w:rsidP="0053216F">
      <w:pPr>
        <w:jc w:val="both"/>
        <w:rPr>
          <w:rFonts w:ascii="Titillium" w:hAnsi="Titillium"/>
          <w:sz w:val="22"/>
          <w:szCs w:val="22"/>
        </w:rPr>
      </w:pPr>
    </w:p>
    <w:p w14:paraId="314850D3" w14:textId="0A377717" w:rsidR="00874F34" w:rsidRDefault="00874F34" w:rsidP="0053216F">
      <w:pPr>
        <w:pStyle w:val="ListParagraph"/>
        <w:numPr>
          <w:ilvl w:val="0"/>
          <w:numId w:val="40"/>
        </w:numPr>
        <w:ind w:left="567" w:hanging="567"/>
        <w:jc w:val="both"/>
        <w:rPr>
          <w:rFonts w:ascii="Titillium" w:hAnsi="Titillium"/>
          <w:b/>
          <w:color w:val="67B8E7"/>
          <w:sz w:val="32"/>
          <w:szCs w:val="32"/>
        </w:rPr>
      </w:pPr>
      <w:r>
        <w:rPr>
          <w:rFonts w:ascii="Titillium" w:hAnsi="Titillium"/>
          <w:b/>
          <w:color w:val="67B8E7"/>
          <w:sz w:val="32"/>
          <w:szCs w:val="32"/>
        </w:rPr>
        <w:lastRenderedPageBreak/>
        <w:t>Division of Fees</w:t>
      </w:r>
    </w:p>
    <w:p w14:paraId="0CE06AF3" w14:textId="77777777" w:rsidR="00BF45D3" w:rsidRPr="00BF45D3" w:rsidRDefault="00BF45D3" w:rsidP="0053216F">
      <w:pPr>
        <w:pStyle w:val="ListParagraph"/>
        <w:ind w:left="567"/>
        <w:jc w:val="both"/>
        <w:rPr>
          <w:rFonts w:ascii="Titillium" w:hAnsi="Titillium"/>
          <w:b/>
          <w:color w:val="67B8E7"/>
          <w:sz w:val="32"/>
          <w:szCs w:val="32"/>
        </w:rPr>
      </w:pPr>
    </w:p>
    <w:p w14:paraId="3B039AE4" w14:textId="33206FEA" w:rsidR="00016319" w:rsidRDefault="00874F34" w:rsidP="0053216F">
      <w:pPr>
        <w:ind w:left="567"/>
        <w:jc w:val="both"/>
        <w:rPr>
          <w:rFonts w:ascii="Titillium" w:hAnsi="Titillium"/>
          <w:sz w:val="22"/>
          <w:szCs w:val="22"/>
        </w:rPr>
      </w:pPr>
      <w:r>
        <w:rPr>
          <w:rFonts w:ascii="Titillium" w:hAnsi="Titillium"/>
          <w:sz w:val="22"/>
          <w:szCs w:val="22"/>
        </w:rPr>
        <w:t>After the deduction of any</w:t>
      </w:r>
      <w:r w:rsidR="0001687B">
        <w:rPr>
          <w:rFonts w:ascii="Titillium" w:hAnsi="Titillium"/>
          <w:sz w:val="22"/>
          <w:szCs w:val="22"/>
        </w:rPr>
        <w:t xml:space="preserve"> </w:t>
      </w:r>
      <w:r w:rsidR="00527DE8">
        <w:rPr>
          <w:rFonts w:ascii="Titillium" w:hAnsi="Titillium"/>
          <w:sz w:val="22"/>
          <w:szCs w:val="22"/>
        </w:rPr>
        <w:t xml:space="preserve">directly incurred </w:t>
      </w:r>
      <w:r>
        <w:rPr>
          <w:rFonts w:ascii="Titillium" w:hAnsi="Titillium"/>
          <w:sz w:val="22"/>
          <w:szCs w:val="22"/>
        </w:rPr>
        <w:t>costs</w:t>
      </w:r>
      <w:r w:rsidR="00BF45D3">
        <w:rPr>
          <w:rFonts w:ascii="Titillium" w:hAnsi="Titillium"/>
          <w:sz w:val="22"/>
          <w:szCs w:val="22"/>
        </w:rPr>
        <w:t>,</w:t>
      </w:r>
      <w:r w:rsidR="0001687B" w:rsidRPr="007F1666">
        <w:rPr>
          <w:rFonts w:ascii="Titillium" w:hAnsi="Titillium"/>
          <w:sz w:val="22"/>
          <w:szCs w:val="22"/>
        </w:rPr>
        <w:t xml:space="preserve"> </w:t>
      </w:r>
      <w:r w:rsidR="00D818BE">
        <w:rPr>
          <w:rFonts w:ascii="Titillium" w:hAnsi="Titillium"/>
          <w:sz w:val="22"/>
          <w:szCs w:val="22"/>
        </w:rPr>
        <w:t xml:space="preserve">employer’s </w:t>
      </w:r>
      <w:r w:rsidR="0001687B">
        <w:rPr>
          <w:rFonts w:ascii="Titillium" w:hAnsi="Titillium"/>
          <w:sz w:val="22"/>
          <w:szCs w:val="22"/>
        </w:rPr>
        <w:t>national insurance and</w:t>
      </w:r>
      <w:r w:rsidR="00B05305">
        <w:rPr>
          <w:rFonts w:ascii="Titillium" w:hAnsi="Titillium"/>
          <w:sz w:val="22"/>
          <w:szCs w:val="22"/>
        </w:rPr>
        <w:t xml:space="preserve"> potential</w:t>
      </w:r>
      <w:r w:rsidR="0001687B">
        <w:rPr>
          <w:rFonts w:ascii="Titillium" w:hAnsi="Titillium"/>
          <w:sz w:val="22"/>
          <w:szCs w:val="22"/>
        </w:rPr>
        <w:t xml:space="preserve"> pension </w:t>
      </w:r>
      <w:r w:rsidR="00D818BE">
        <w:rPr>
          <w:rFonts w:ascii="Titillium" w:hAnsi="Titillium"/>
          <w:sz w:val="22"/>
          <w:szCs w:val="22"/>
        </w:rPr>
        <w:t>contributions</w:t>
      </w:r>
      <w:r w:rsidR="00836C14">
        <w:rPr>
          <w:rFonts w:ascii="Titillium" w:hAnsi="Titillium"/>
          <w:sz w:val="22"/>
          <w:szCs w:val="22"/>
        </w:rPr>
        <w:t xml:space="preserve"> relating to DA staff costs</w:t>
      </w:r>
      <w:r w:rsidR="0001687B">
        <w:rPr>
          <w:rFonts w:ascii="Titillium" w:hAnsi="Titillium"/>
          <w:sz w:val="22"/>
          <w:szCs w:val="22"/>
        </w:rPr>
        <w:t>, t</w:t>
      </w:r>
      <w:r w:rsidR="00016319">
        <w:rPr>
          <w:rFonts w:ascii="Titillium" w:hAnsi="Titillium"/>
          <w:sz w:val="22"/>
          <w:szCs w:val="22"/>
        </w:rPr>
        <w:t>he distribution of income will be made as follows</w:t>
      </w:r>
      <w:r w:rsidR="007F1666">
        <w:rPr>
          <w:rFonts w:ascii="Titillium" w:hAnsi="Titillium"/>
          <w:sz w:val="22"/>
          <w:szCs w:val="22"/>
        </w:rPr>
        <w:t>:</w:t>
      </w:r>
    </w:p>
    <w:p w14:paraId="6E321C23" w14:textId="136E5BC9" w:rsidR="00016319" w:rsidRDefault="00016319" w:rsidP="0053216F">
      <w:pPr>
        <w:ind w:left="567"/>
        <w:jc w:val="both"/>
        <w:rPr>
          <w:rFonts w:ascii="Titillium" w:hAnsi="Titillium"/>
          <w:sz w:val="22"/>
          <w:szCs w:val="22"/>
        </w:rPr>
      </w:pPr>
    </w:p>
    <w:p w14:paraId="0BC3E53F" w14:textId="463517D9" w:rsidR="00016319" w:rsidRPr="00B35880" w:rsidRDefault="00016319" w:rsidP="00B35880">
      <w:pPr>
        <w:pStyle w:val="ListParagraph"/>
        <w:numPr>
          <w:ilvl w:val="0"/>
          <w:numId w:val="43"/>
        </w:numPr>
        <w:jc w:val="both"/>
        <w:rPr>
          <w:rFonts w:ascii="Titillium" w:hAnsi="Titillium"/>
          <w:b/>
          <w:bCs/>
          <w:sz w:val="22"/>
          <w:szCs w:val="22"/>
        </w:rPr>
      </w:pPr>
      <w:r w:rsidRPr="00B35880">
        <w:rPr>
          <w:rFonts w:ascii="Titillium" w:hAnsi="Titillium"/>
          <w:b/>
          <w:bCs/>
          <w:sz w:val="22"/>
          <w:szCs w:val="22"/>
        </w:rPr>
        <w:t xml:space="preserve">75% </w:t>
      </w:r>
      <w:r w:rsidR="0001687B" w:rsidRPr="00B35880">
        <w:rPr>
          <w:rFonts w:ascii="Titillium" w:hAnsi="Titillium"/>
          <w:b/>
          <w:bCs/>
          <w:sz w:val="22"/>
          <w:szCs w:val="22"/>
        </w:rPr>
        <w:t xml:space="preserve">to </w:t>
      </w:r>
      <w:r w:rsidR="00DC24C2" w:rsidRPr="00B35880">
        <w:rPr>
          <w:rFonts w:ascii="Titillium" w:hAnsi="Titillium"/>
          <w:b/>
          <w:bCs/>
          <w:sz w:val="22"/>
          <w:szCs w:val="22"/>
        </w:rPr>
        <w:t xml:space="preserve">Staff Member </w:t>
      </w:r>
    </w:p>
    <w:p w14:paraId="21DEA320" w14:textId="2643F95D" w:rsidR="00016319" w:rsidRPr="00B35880" w:rsidRDefault="00016319" w:rsidP="00B35880">
      <w:pPr>
        <w:pStyle w:val="ListParagraph"/>
        <w:numPr>
          <w:ilvl w:val="0"/>
          <w:numId w:val="43"/>
        </w:numPr>
        <w:jc w:val="both"/>
        <w:rPr>
          <w:rFonts w:ascii="Titillium" w:hAnsi="Titillium"/>
          <w:b/>
          <w:bCs/>
          <w:sz w:val="22"/>
          <w:szCs w:val="22"/>
        </w:rPr>
      </w:pPr>
      <w:r w:rsidRPr="00B35880">
        <w:rPr>
          <w:rFonts w:ascii="Titillium" w:hAnsi="Titillium"/>
          <w:b/>
          <w:bCs/>
          <w:sz w:val="22"/>
          <w:szCs w:val="22"/>
        </w:rPr>
        <w:t xml:space="preserve">25% </w:t>
      </w:r>
      <w:r w:rsidR="0001687B" w:rsidRPr="00B35880">
        <w:rPr>
          <w:rFonts w:ascii="Titillium" w:hAnsi="Titillium"/>
          <w:b/>
          <w:bCs/>
          <w:sz w:val="22"/>
          <w:szCs w:val="22"/>
        </w:rPr>
        <w:t xml:space="preserve">to </w:t>
      </w:r>
      <w:proofErr w:type="gramStart"/>
      <w:r w:rsidRPr="00B35880">
        <w:rPr>
          <w:rFonts w:ascii="Titillium" w:hAnsi="Titillium"/>
          <w:b/>
          <w:bCs/>
          <w:sz w:val="22"/>
          <w:szCs w:val="22"/>
        </w:rPr>
        <w:t>University</w:t>
      </w:r>
      <w:proofErr w:type="gramEnd"/>
    </w:p>
    <w:p w14:paraId="3083C6C1" w14:textId="1EA91EEB" w:rsidR="004957DA" w:rsidRDefault="004957DA" w:rsidP="0053216F">
      <w:pPr>
        <w:ind w:left="567"/>
        <w:jc w:val="both"/>
        <w:rPr>
          <w:rFonts w:ascii="Titillium" w:hAnsi="Titillium"/>
          <w:sz w:val="22"/>
          <w:szCs w:val="22"/>
        </w:rPr>
      </w:pPr>
    </w:p>
    <w:p w14:paraId="597D5FAB" w14:textId="0C1689E7" w:rsidR="00A36AB8" w:rsidRDefault="00A36AB8" w:rsidP="0053216F">
      <w:pPr>
        <w:ind w:left="567"/>
        <w:jc w:val="both"/>
        <w:rPr>
          <w:rFonts w:ascii="Titillium" w:hAnsi="Titillium"/>
          <w:sz w:val="22"/>
          <w:szCs w:val="22"/>
        </w:rPr>
      </w:pPr>
      <w:r>
        <w:rPr>
          <w:rFonts w:ascii="Titillium" w:hAnsi="Titillium"/>
          <w:sz w:val="22"/>
          <w:szCs w:val="22"/>
        </w:rPr>
        <w:t xml:space="preserve">Once the </w:t>
      </w:r>
      <w:r w:rsidR="006D6D78">
        <w:rPr>
          <w:rFonts w:ascii="Titillium" w:hAnsi="Titillium"/>
          <w:sz w:val="22"/>
          <w:szCs w:val="22"/>
        </w:rPr>
        <w:t xml:space="preserve">activity </w:t>
      </w:r>
      <w:r>
        <w:rPr>
          <w:rFonts w:ascii="Titillium" w:hAnsi="Titillium"/>
          <w:sz w:val="22"/>
          <w:szCs w:val="22"/>
        </w:rPr>
        <w:t xml:space="preserve">has been concluded </w:t>
      </w:r>
      <w:r w:rsidR="006D6D78">
        <w:rPr>
          <w:rFonts w:ascii="Titillium" w:hAnsi="Titillium"/>
          <w:sz w:val="22"/>
          <w:szCs w:val="22"/>
        </w:rPr>
        <w:t>and the invoice has been issued</w:t>
      </w:r>
      <w:r w:rsidR="0001687B">
        <w:rPr>
          <w:rFonts w:ascii="Titillium" w:hAnsi="Titillium"/>
          <w:sz w:val="22"/>
          <w:szCs w:val="22"/>
        </w:rPr>
        <w:t>,</w:t>
      </w:r>
      <w:r w:rsidR="006D6D78">
        <w:rPr>
          <w:rFonts w:ascii="Titillium" w:hAnsi="Titillium"/>
          <w:sz w:val="22"/>
          <w:szCs w:val="22"/>
        </w:rPr>
        <w:t xml:space="preserve"> t</w:t>
      </w:r>
      <w:r>
        <w:rPr>
          <w:rFonts w:ascii="Titillium" w:hAnsi="Titillium"/>
          <w:sz w:val="22"/>
          <w:szCs w:val="22"/>
        </w:rPr>
        <w:t xml:space="preserve">he </w:t>
      </w:r>
      <w:r w:rsidR="00527DE8">
        <w:rPr>
          <w:rFonts w:ascii="Titillium" w:hAnsi="Titillium"/>
          <w:sz w:val="22"/>
          <w:szCs w:val="22"/>
        </w:rPr>
        <w:t xml:space="preserve">additional payment </w:t>
      </w:r>
      <w:r w:rsidR="00C216DB">
        <w:rPr>
          <w:rFonts w:ascii="Titillium" w:hAnsi="Titillium"/>
          <w:sz w:val="22"/>
          <w:szCs w:val="22"/>
        </w:rPr>
        <w:t xml:space="preserve">will be </w:t>
      </w:r>
      <w:r w:rsidR="00527DE8">
        <w:rPr>
          <w:rFonts w:ascii="Titillium" w:hAnsi="Titillium"/>
          <w:sz w:val="22"/>
          <w:szCs w:val="22"/>
        </w:rPr>
        <w:t>made</w:t>
      </w:r>
      <w:r w:rsidR="00C216DB">
        <w:rPr>
          <w:rFonts w:ascii="Titillium" w:hAnsi="Titillium"/>
          <w:sz w:val="22"/>
          <w:szCs w:val="22"/>
        </w:rPr>
        <w:t xml:space="preserve"> via Payroll. I</w:t>
      </w:r>
      <w:r>
        <w:rPr>
          <w:rFonts w:ascii="Titillium" w:hAnsi="Titillium"/>
          <w:sz w:val="22"/>
          <w:szCs w:val="22"/>
        </w:rPr>
        <w:t xml:space="preserve">t is the staff </w:t>
      </w:r>
      <w:r w:rsidR="0001687B">
        <w:rPr>
          <w:rFonts w:ascii="Titillium" w:hAnsi="Titillium"/>
          <w:sz w:val="22"/>
          <w:szCs w:val="22"/>
        </w:rPr>
        <w:t>member’s</w:t>
      </w:r>
      <w:r>
        <w:rPr>
          <w:rFonts w:ascii="Titillium" w:hAnsi="Titillium"/>
          <w:sz w:val="22"/>
          <w:szCs w:val="22"/>
        </w:rPr>
        <w:t xml:space="preserve"> responsibility to raise a payment claim through HR Connect, within two months of the completion of the </w:t>
      </w:r>
      <w:r w:rsidR="006D6D78">
        <w:rPr>
          <w:rFonts w:ascii="Titillium" w:hAnsi="Titillium"/>
          <w:sz w:val="22"/>
          <w:szCs w:val="22"/>
        </w:rPr>
        <w:t>work</w:t>
      </w:r>
      <w:r w:rsidR="00C216DB">
        <w:rPr>
          <w:rFonts w:ascii="Titillium" w:hAnsi="Titillium"/>
          <w:sz w:val="22"/>
          <w:szCs w:val="22"/>
        </w:rPr>
        <w:t xml:space="preserve">, or </w:t>
      </w:r>
      <w:r w:rsidR="0010037E">
        <w:rPr>
          <w:rFonts w:ascii="Titillium" w:hAnsi="Titillium"/>
          <w:sz w:val="22"/>
          <w:szCs w:val="22"/>
        </w:rPr>
        <w:t xml:space="preserve">forfeit </w:t>
      </w:r>
      <w:r w:rsidR="00C216DB">
        <w:rPr>
          <w:rFonts w:ascii="Titillium" w:hAnsi="Titillium"/>
          <w:sz w:val="22"/>
          <w:szCs w:val="22"/>
        </w:rPr>
        <w:t>the opportunity of an additional payment.</w:t>
      </w:r>
      <w:r w:rsidR="00A06E54">
        <w:rPr>
          <w:rFonts w:ascii="Titillium" w:hAnsi="Titillium"/>
          <w:sz w:val="22"/>
          <w:szCs w:val="22"/>
        </w:rPr>
        <w:t xml:space="preserve"> Please speak with External Project Officers to confirm the amount you can claim.</w:t>
      </w:r>
      <w:r>
        <w:rPr>
          <w:rFonts w:ascii="Titillium" w:hAnsi="Titillium"/>
          <w:sz w:val="22"/>
          <w:szCs w:val="22"/>
        </w:rPr>
        <w:t xml:space="preserve"> This will be subject to tax and national insurance deductions in the normal way</w:t>
      </w:r>
      <w:r w:rsidR="006D6D78">
        <w:rPr>
          <w:rFonts w:ascii="Titillium" w:hAnsi="Titillium"/>
          <w:sz w:val="22"/>
          <w:szCs w:val="22"/>
        </w:rPr>
        <w:t xml:space="preserve"> via PAYE</w:t>
      </w:r>
      <w:r>
        <w:rPr>
          <w:rFonts w:ascii="Titillium" w:hAnsi="Titillium"/>
          <w:sz w:val="22"/>
          <w:szCs w:val="22"/>
        </w:rPr>
        <w:t xml:space="preserve">. </w:t>
      </w:r>
      <w:r w:rsidR="00C216DB">
        <w:rPr>
          <w:rFonts w:ascii="Titillium" w:hAnsi="Titillium"/>
          <w:sz w:val="22"/>
          <w:szCs w:val="22"/>
        </w:rPr>
        <w:t>If more than one staff member</w:t>
      </w:r>
      <w:r w:rsidR="00684744">
        <w:rPr>
          <w:rFonts w:ascii="Titillium" w:hAnsi="Titillium"/>
          <w:sz w:val="22"/>
          <w:szCs w:val="22"/>
        </w:rPr>
        <w:t xml:space="preserve"> is involved in a project, then division of fees will be relative to the time spent on project</w:t>
      </w:r>
      <w:r w:rsidR="00C216DB">
        <w:rPr>
          <w:rFonts w:ascii="Titillium" w:hAnsi="Titillium"/>
          <w:sz w:val="22"/>
          <w:szCs w:val="22"/>
        </w:rPr>
        <w:t xml:space="preserve"> </w:t>
      </w:r>
      <w:r w:rsidR="00F672F7">
        <w:rPr>
          <w:rFonts w:ascii="Titillium" w:hAnsi="Titillium"/>
          <w:sz w:val="22"/>
          <w:szCs w:val="22"/>
        </w:rPr>
        <w:t xml:space="preserve">as approved by relevant line management and on </w:t>
      </w:r>
      <w:proofErr w:type="spellStart"/>
      <w:r w:rsidR="00F672F7">
        <w:rPr>
          <w:rFonts w:ascii="Titillium" w:hAnsi="Titillium"/>
          <w:sz w:val="22"/>
          <w:szCs w:val="22"/>
        </w:rPr>
        <w:t>Worktribe</w:t>
      </w:r>
      <w:proofErr w:type="spellEnd"/>
      <w:r w:rsidR="00684744">
        <w:rPr>
          <w:rFonts w:ascii="Titillium" w:hAnsi="Titillium"/>
          <w:sz w:val="22"/>
          <w:szCs w:val="22"/>
        </w:rPr>
        <w:t>.</w:t>
      </w:r>
    </w:p>
    <w:p w14:paraId="102D39F1" w14:textId="77777777" w:rsidR="00A36AB8" w:rsidRDefault="00A36AB8" w:rsidP="0053216F">
      <w:pPr>
        <w:jc w:val="both"/>
        <w:rPr>
          <w:rFonts w:ascii="Titillium" w:hAnsi="Titillium"/>
          <w:sz w:val="22"/>
          <w:szCs w:val="22"/>
        </w:rPr>
      </w:pPr>
    </w:p>
    <w:p w14:paraId="6D44BD38" w14:textId="5B6B2FE8" w:rsidR="004957DA" w:rsidRDefault="00380004" w:rsidP="0053216F">
      <w:pPr>
        <w:pStyle w:val="ListParagraph"/>
        <w:numPr>
          <w:ilvl w:val="0"/>
          <w:numId w:val="40"/>
        </w:numPr>
        <w:ind w:left="567" w:hanging="567"/>
        <w:jc w:val="both"/>
        <w:rPr>
          <w:rFonts w:ascii="Titillium" w:hAnsi="Titillium"/>
          <w:b/>
          <w:color w:val="67B8E7"/>
          <w:sz w:val="32"/>
          <w:szCs w:val="32"/>
        </w:rPr>
      </w:pPr>
      <w:r>
        <w:rPr>
          <w:rFonts w:ascii="Titillium" w:hAnsi="Titillium"/>
          <w:b/>
          <w:color w:val="67B8E7"/>
          <w:sz w:val="32"/>
          <w:szCs w:val="32"/>
        </w:rPr>
        <w:t>Approval</w:t>
      </w:r>
      <w:r w:rsidR="00D72AA6">
        <w:rPr>
          <w:rFonts w:ascii="Titillium" w:hAnsi="Titillium"/>
          <w:b/>
          <w:color w:val="67B8E7"/>
          <w:sz w:val="32"/>
          <w:szCs w:val="32"/>
        </w:rPr>
        <w:t>s</w:t>
      </w:r>
    </w:p>
    <w:p w14:paraId="011C114C" w14:textId="77777777" w:rsidR="004957DA" w:rsidRPr="00BD7B6C" w:rsidRDefault="004957DA" w:rsidP="0053216F">
      <w:pPr>
        <w:pStyle w:val="ListParagraph"/>
        <w:ind w:left="426"/>
        <w:jc w:val="both"/>
        <w:rPr>
          <w:rFonts w:ascii="Titillium" w:hAnsi="Titillium"/>
          <w:b/>
          <w:color w:val="67B8E7"/>
        </w:rPr>
      </w:pPr>
    </w:p>
    <w:p w14:paraId="37CD87BF" w14:textId="47DE16F4" w:rsidR="006B0192" w:rsidRDefault="00380004" w:rsidP="0053216F">
      <w:pPr>
        <w:ind w:left="567"/>
        <w:jc w:val="both"/>
        <w:rPr>
          <w:rFonts w:ascii="Titillium" w:hAnsi="Titillium"/>
          <w:sz w:val="22"/>
          <w:szCs w:val="22"/>
        </w:rPr>
      </w:pPr>
      <w:r w:rsidRPr="00B1025D">
        <w:rPr>
          <w:rFonts w:ascii="Titillium" w:hAnsi="Titillium"/>
          <w:sz w:val="22"/>
          <w:szCs w:val="22"/>
        </w:rPr>
        <w:t>Approval for activities must be obtained in advance</w:t>
      </w:r>
      <w:r w:rsidR="00BF45D3">
        <w:rPr>
          <w:rFonts w:ascii="Titillium" w:hAnsi="Titillium"/>
          <w:sz w:val="22"/>
          <w:szCs w:val="22"/>
        </w:rPr>
        <w:t xml:space="preserve"> of the final quote being submitted to the client. This must be</w:t>
      </w:r>
      <w:r w:rsidR="0001687B" w:rsidRPr="00B1025D">
        <w:rPr>
          <w:rFonts w:ascii="Titillium" w:hAnsi="Titillium"/>
          <w:sz w:val="22"/>
          <w:szCs w:val="22"/>
        </w:rPr>
        <w:t xml:space="preserve"> </w:t>
      </w:r>
      <w:r w:rsidRPr="00B1025D">
        <w:rPr>
          <w:rFonts w:ascii="Titillium" w:hAnsi="Titillium"/>
          <w:sz w:val="22"/>
          <w:szCs w:val="22"/>
        </w:rPr>
        <w:t xml:space="preserve">through </w:t>
      </w:r>
      <w:proofErr w:type="spellStart"/>
      <w:r w:rsidR="0001687B" w:rsidRPr="00B1025D">
        <w:rPr>
          <w:rFonts w:ascii="Titillium" w:hAnsi="Titillium"/>
          <w:sz w:val="22"/>
          <w:szCs w:val="22"/>
        </w:rPr>
        <w:t>W</w:t>
      </w:r>
      <w:r w:rsidRPr="00B1025D">
        <w:rPr>
          <w:rFonts w:ascii="Titillium" w:hAnsi="Titillium"/>
          <w:sz w:val="22"/>
          <w:szCs w:val="22"/>
        </w:rPr>
        <w:t>orktribe</w:t>
      </w:r>
      <w:proofErr w:type="spellEnd"/>
      <w:r w:rsidR="00BF45D3">
        <w:rPr>
          <w:rFonts w:ascii="Titillium" w:hAnsi="Titillium"/>
          <w:sz w:val="22"/>
          <w:szCs w:val="22"/>
        </w:rPr>
        <w:t xml:space="preserve"> and include a</w:t>
      </w:r>
      <w:r w:rsidR="0034203A">
        <w:rPr>
          <w:rFonts w:ascii="Titillium" w:hAnsi="Titillium"/>
          <w:sz w:val="22"/>
          <w:szCs w:val="22"/>
        </w:rPr>
        <w:t>n approved</w:t>
      </w:r>
      <w:r w:rsidR="00BF45D3">
        <w:rPr>
          <w:rFonts w:ascii="Titillium" w:hAnsi="Titillium"/>
          <w:sz w:val="22"/>
          <w:szCs w:val="22"/>
        </w:rPr>
        <w:t xml:space="preserve"> Consultancy and Commercial Activity </w:t>
      </w:r>
      <w:r w:rsidR="0034203A">
        <w:rPr>
          <w:rFonts w:ascii="Titillium" w:hAnsi="Titillium"/>
          <w:sz w:val="22"/>
          <w:szCs w:val="22"/>
        </w:rPr>
        <w:t>Email</w:t>
      </w:r>
      <w:r w:rsidR="0001687B" w:rsidRPr="00B1025D">
        <w:rPr>
          <w:rFonts w:ascii="Titillium" w:hAnsi="Titillium"/>
          <w:sz w:val="22"/>
          <w:szCs w:val="22"/>
        </w:rPr>
        <w:t xml:space="preserve"> </w:t>
      </w:r>
      <w:r w:rsidR="00BF45D3">
        <w:rPr>
          <w:rFonts w:ascii="Titillium" w:hAnsi="Titillium"/>
          <w:sz w:val="22"/>
          <w:szCs w:val="22"/>
        </w:rPr>
        <w:t xml:space="preserve">from the </w:t>
      </w:r>
      <w:r w:rsidR="00165271">
        <w:rPr>
          <w:rFonts w:ascii="Titillium" w:hAnsi="Titillium"/>
          <w:sz w:val="22"/>
          <w:szCs w:val="22"/>
        </w:rPr>
        <w:t>staff member</w:t>
      </w:r>
      <w:r w:rsidR="00BF45D3">
        <w:rPr>
          <w:rFonts w:ascii="Titillium" w:hAnsi="Titillium"/>
          <w:sz w:val="22"/>
          <w:szCs w:val="22"/>
        </w:rPr>
        <w:t xml:space="preserve">’s </w:t>
      </w:r>
      <w:r w:rsidR="00165271">
        <w:rPr>
          <w:rFonts w:ascii="Titillium" w:hAnsi="Titillium"/>
          <w:sz w:val="22"/>
          <w:szCs w:val="22"/>
        </w:rPr>
        <w:t>line manager</w:t>
      </w:r>
      <w:r w:rsidRPr="00B1025D">
        <w:rPr>
          <w:rFonts w:ascii="Titillium" w:hAnsi="Titillium"/>
          <w:sz w:val="22"/>
          <w:szCs w:val="22"/>
        </w:rPr>
        <w:t>.</w:t>
      </w:r>
      <w:r w:rsidR="0001687B" w:rsidRPr="00B1025D">
        <w:rPr>
          <w:rFonts w:ascii="Titillium" w:hAnsi="Titillium"/>
          <w:sz w:val="22"/>
          <w:szCs w:val="22"/>
        </w:rPr>
        <w:t xml:space="preserve"> Full details</w:t>
      </w:r>
      <w:r w:rsidR="0034203A">
        <w:rPr>
          <w:rFonts w:ascii="Titillium" w:hAnsi="Titillium"/>
          <w:sz w:val="22"/>
          <w:szCs w:val="22"/>
        </w:rPr>
        <w:t xml:space="preserve"> and email template</w:t>
      </w:r>
      <w:r w:rsidR="0001687B" w:rsidRPr="00B1025D">
        <w:rPr>
          <w:rFonts w:ascii="Titillium" w:hAnsi="Titillium"/>
          <w:sz w:val="22"/>
          <w:szCs w:val="22"/>
        </w:rPr>
        <w:t xml:space="preserve"> can be found in the guidance document via the RIE intranet. </w:t>
      </w:r>
      <w:r w:rsidR="00484D6A">
        <w:rPr>
          <w:rFonts w:ascii="Titillium" w:hAnsi="Titillium"/>
          <w:sz w:val="22"/>
          <w:szCs w:val="22"/>
        </w:rPr>
        <w:t>Other</w:t>
      </w:r>
      <w:r w:rsidR="0001687B">
        <w:rPr>
          <w:rFonts w:ascii="Titillium" w:hAnsi="Titillium"/>
          <w:sz w:val="22"/>
          <w:szCs w:val="22"/>
        </w:rPr>
        <w:t xml:space="preserve"> relevant</w:t>
      </w:r>
      <w:r w:rsidR="0001687B" w:rsidRPr="00B1025D">
        <w:rPr>
          <w:rFonts w:ascii="Titillium" w:hAnsi="Titillium"/>
          <w:sz w:val="22"/>
          <w:szCs w:val="22"/>
        </w:rPr>
        <w:t xml:space="preserve"> </w:t>
      </w:r>
      <w:r w:rsidR="00484D6A">
        <w:rPr>
          <w:rFonts w:ascii="Titillium" w:hAnsi="Titillium"/>
          <w:sz w:val="22"/>
          <w:szCs w:val="22"/>
        </w:rPr>
        <w:t xml:space="preserve">departments such as School Support Service, HR and IS </w:t>
      </w:r>
      <w:r w:rsidR="0001687B" w:rsidRPr="00B1025D">
        <w:rPr>
          <w:rFonts w:ascii="Titillium" w:hAnsi="Titillium"/>
          <w:sz w:val="22"/>
          <w:szCs w:val="22"/>
        </w:rPr>
        <w:t xml:space="preserve">should also be informed </w:t>
      </w:r>
      <w:r w:rsidR="0010037E">
        <w:rPr>
          <w:rFonts w:ascii="Titillium" w:hAnsi="Titillium"/>
          <w:sz w:val="22"/>
          <w:szCs w:val="22"/>
        </w:rPr>
        <w:t xml:space="preserve">if relevant support, </w:t>
      </w:r>
      <w:r w:rsidR="0001687B" w:rsidRPr="00B1025D">
        <w:rPr>
          <w:rFonts w:ascii="Titillium" w:hAnsi="Titillium"/>
          <w:sz w:val="22"/>
          <w:szCs w:val="22"/>
        </w:rPr>
        <w:t xml:space="preserve">University resources or facilities </w:t>
      </w:r>
      <w:r w:rsidR="00484D6A">
        <w:rPr>
          <w:rFonts w:ascii="Titillium" w:hAnsi="Titillium"/>
          <w:sz w:val="22"/>
          <w:szCs w:val="22"/>
        </w:rPr>
        <w:t>are required</w:t>
      </w:r>
      <w:r w:rsidR="0001687B" w:rsidRPr="00B1025D">
        <w:rPr>
          <w:rFonts w:ascii="Titillium" w:hAnsi="Titillium"/>
          <w:sz w:val="22"/>
          <w:szCs w:val="22"/>
        </w:rPr>
        <w:t>.</w:t>
      </w:r>
    </w:p>
    <w:p w14:paraId="4C5C56B5" w14:textId="0D773234" w:rsidR="00380004" w:rsidRDefault="00380004" w:rsidP="0053216F">
      <w:pPr>
        <w:ind w:left="567"/>
        <w:jc w:val="both"/>
        <w:rPr>
          <w:rFonts w:ascii="Titillium" w:hAnsi="Titillium"/>
          <w:sz w:val="22"/>
          <w:szCs w:val="22"/>
        </w:rPr>
      </w:pPr>
    </w:p>
    <w:p w14:paraId="30CD9D34" w14:textId="10B0FFCF" w:rsidR="00380004" w:rsidRDefault="00380004" w:rsidP="0053216F">
      <w:pPr>
        <w:ind w:left="567"/>
        <w:jc w:val="both"/>
        <w:rPr>
          <w:rFonts w:ascii="Titillium" w:hAnsi="Titillium"/>
          <w:sz w:val="22"/>
          <w:szCs w:val="22"/>
        </w:rPr>
      </w:pPr>
      <w:r>
        <w:rPr>
          <w:rFonts w:ascii="Titillium" w:hAnsi="Titillium"/>
          <w:sz w:val="22"/>
          <w:szCs w:val="22"/>
        </w:rPr>
        <w:t xml:space="preserve">Details of the </w:t>
      </w:r>
      <w:proofErr w:type="spellStart"/>
      <w:r w:rsidR="00484D6A">
        <w:rPr>
          <w:rFonts w:ascii="Titillium" w:hAnsi="Titillium"/>
          <w:sz w:val="22"/>
          <w:szCs w:val="22"/>
        </w:rPr>
        <w:t>Worktribe</w:t>
      </w:r>
      <w:proofErr w:type="spellEnd"/>
      <w:r w:rsidR="00484D6A">
        <w:rPr>
          <w:rFonts w:ascii="Titillium" w:hAnsi="Titillium"/>
          <w:sz w:val="22"/>
          <w:szCs w:val="22"/>
        </w:rPr>
        <w:t xml:space="preserve"> </w:t>
      </w:r>
      <w:r w:rsidR="00622254">
        <w:rPr>
          <w:rFonts w:ascii="Titillium" w:hAnsi="Titillium"/>
          <w:sz w:val="22"/>
          <w:szCs w:val="22"/>
        </w:rPr>
        <w:t xml:space="preserve">inputs must </w:t>
      </w:r>
      <w:r w:rsidR="0078722D">
        <w:rPr>
          <w:rFonts w:ascii="Titillium" w:hAnsi="Titillium"/>
          <w:sz w:val="22"/>
          <w:szCs w:val="22"/>
        </w:rPr>
        <w:t>include</w:t>
      </w:r>
      <w:r>
        <w:rPr>
          <w:rFonts w:ascii="Titillium" w:hAnsi="Titillium"/>
          <w:sz w:val="22"/>
          <w:szCs w:val="22"/>
        </w:rPr>
        <w:t xml:space="preserve"> the following:</w:t>
      </w:r>
    </w:p>
    <w:p w14:paraId="4E1B17C8" w14:textId="77777777" w:rsidR="00E834D5" w:rsidRDefault="00E834D5" w:rsidP="0053216F">
      <w:pPr>
        <w:ind w:left="567"/>
        <w:jc w:val="both"/>
        <w:rPr>
          <w:rFonts w:ascii="Titillium" w:hAnsi="Titillium"/>
          <w:sz w:val="22"/>
          <w:szCs w:val="22"/>
        </w:rPr>
      </w:pPr>
    </w:p>
    <w:p w14:paraId="2EB8318E" w14:textId="65CB425F" w:rsidR="00380004" w:rsidRPr="00B35880" w:rsidRDefault="0001687B" w:rsidP="00B35880">
      <w:pPr>
        <w:pStyle w:val="ListParagraph"/>
        <w:numPr>
          <w:ilvl w:val="0"/>
          <w:numId w:val="44"/>
        </w:numPr>
        <w:jc w:val="both"/>
        <w:rPr>
          <w:rFonts w:ascii="Titillium" w:hAnsi="Titillium"/>
          <w:sz w:val="22"/>
          <w:szCs w:val="22"/>
        </w:rPr>
      </w:pPr>
      <w:r w:rsidRPr="00B35880">
        <w:rPr>
          <w:rFonts w:ascii="Titillium" w:hAnsi="Titillium"/>
          <w:sz w:val="22"/>
          <w:szCs w:val="22"/>
        </w:rPr>
        <w:t xml:space="preserve">Project description </w:t>
      </w:r>
      <w:r w:rsidR="00380004" w:rsidRPr="00B35880">
        <w:rPr>
          <w:rFonts w:ascii="Titillium" w:hAnsi="Titillium"/>
          <w:sz w:val="22"/>
          <w:szCs w:val="22"/>
        </w:rPr>
        <w:t xml:space="preserve">of the proposed </w:t>
      </w:r>
      <w:r w:rsidR="00484D6A" w:rsidRPr="00B35880">
        <w:rPr>
          <w:rFonts w:ascii="Titillium" w:hAnsi="Titillium"/>
          <w:sz w:val="22"/>
          <w:szCs w:val="22"/>
        </w:rPr>
        <w:t>activity</w:t>
      </w:r>
      <w:r w:rsidR="0078722D" w:rsidRPr="00B35880">
        <w:rPr>
          <w:rFonts w:ascii="Titillium" w:hAnsi="Titillium"/>
          <w:sz w:val="22"/>
          <w:szCs w:val="22"/>
        </w:rPr>
        <w:t>.</w:t>
      </w:r>
    </w:p>
    <w:p w14:paraId="26EEA900" w14:textId="5B88ECD5" w:rsidR="0001687B" w:rsidRPr="00B35880" w:rsidRDefault="0001687B" w:rsidP="00B35880">
      <w:pPr>
        <w:pStyle w:val="ListParagraph"/>
        <w:numPr>
          <w:ilvl w:val="0"/>
          <w:numId w:val="44"/>
        </w:numPr>
        <w:jc w:val="both"/>
        <w:rPr>
          <w:rFonts w:ascii="Titillium" w:hAnsi="Titillium"/>
          <w:sz w:val="22"/>
          <w:szCs w:val="22"/>
        </w:rPr>
      </w:pPr>
      <w:r w:rsidRPr="00B35880">
        <w:rPr>
          <w:rFonts w:ascii="Titillium" w:hAnsi="Titillium"/>
          <w:sz w:val="22"/>
          <w:szCs w:val="22"/>
        </w:rPr>
        <w:t>Project start and end dates.</w:t>
      </w:r>
    </w:p>
    <w:p w14:paraId="2EF2917B" w14:textId="5BBD7569" w:rsidR="0018686D" w:rsidRPr="00B35880" w:rsidRDefault="0018686D" w:rsidP="00B35880">
      <w:pPr>
        <w:pStyle w:val="ListParagraph"/>
        <w:numPr>
          <w:ilvl w:val="0"/>
          <w:numId w:val="44"/>
        </w:numPr>
        <w:jc w:val="both"/>
        <w:rPr>
          <w:rFonts w:ascii="Titillium" w:hAnsi="Titillium"/>
          <w:sz w:val="22"/>
          <w:szCs w:val="22"/>
        </w:rPr>
      </w:pPr>
      <w:r w:rsidRPr="00B35880">
        <w:rPr>
          <w:rFonts w:ascii="Titillium" w:hAnsi="Titillium"/>
          <w:sz w:val="22"/>
          <w:szCs w:val="22"/>
        </w:rPr>
        <w:t>Funder (request for new funder to be added if client not listed)</w:t>
      </w:r>
    </w:p>
    <w:p w14:paraId="38B88402" w14:textId="692641C6" w:rsidR="00380004" w:rsidRPr="00B35880" w:rsidRDefault="0001687B" w:rsidP="00B35880">
      <w:pPr>
        <w:pStyle w:val="ListParagraph"/>
        <w:numPr>
          <w:ilvl w:val="0"/>
          <w:numId w:val="44"/>
        </w:numPr>
        <w:jc w:val="both"/>
        <w:rPr>
          <w:rFonts w:ascii="Titillium" w:hAnsi="Titillium"/>
          <w:sz w:val="22"/>
          <w:szCs w:val="22"/>
        </w:rPr>
      </w:pPr>
      <w:r w:rsidRPr="00B35880">
        <w:rPr>
          <w:rFonts w:ascii="Titillium" w:hAnsi="Titillium"/>
          <w:sz w:val="22"/>
          <w:szCs w:val="22"/>
        </w:rPr>
        <w:t>Relevant</w:t>
      </w:r>
      <w:r w:rsidR="00484D6A" w:rsidRPr="00B35880">
        <w:rPr>
          <w:rFonts w:ascii="Titillium" w:hAnsi="Titillium"/>
          <w:sz w:val="22"/>
          <w:szCs w:val="22"/>
        </w:rPr>
        <w:t xml:space="preserve"> </w:t>
      </w:r>
      <w:r w:rsidR="006531DC">
        <w:rPr>
          <w:rFonts w:ascii="Titillium" w:hAnsi="Titillium"/>
          <w:sz w:val="22"/>
          <w:szCs w:val="22"/>
        </w:rPr>
        <w:t>directly incurred costs</w:t>
      </w:r>
      <w:r w:rsidRPr="00B35880">
        <w:rPr>
          <w:rFonts w:ascii="Titillium" w:hAnsi="Titillium"/>
          <w:sz w:val="22"/>
          <w:szCs w:val="22"/>
        </w:rPr>
        <w:t xml:space="preserve">, staff costs (number </w:t>
      </w:r>
      <w:r w:rsidR="00E834D5" w:rsidRPr="00B35880">
        <w:rPr>
          <w:rFonts w:ascii="Titillium" w:hAnsi="Titillium"/>
          <w:sz w:val="22"/>
          <w:szCs w:val="22"/>
        </w:rPr>
        <w:t xml:space="preserve">of days </w:t>
      </w:r>
      <w:r w:rsidR="00484D6A" w:rsidRPr="00B35880">
        <w:rPr>
          <w:rFonts w:ascii="Titillium" w:hAnsi="Titillium"/>
          <w:sz w:val="22"/>
          <w:szCs w:val="22"/>
        </w:rPr>
        <w:t>for</w:t>
      </w:r>
      <w:r w:rsidR="00E834D5" w:rsidRPr="00B35880">
        <w:rPr>
          <w:rFonts w:ascii="Titillium" w:hAnsi="Titillium"/>
          <w:sz w:val="22"/>
          <w:szCs w:val="22"/>
        </w:rPr>
        <w:t xml:space="preserve"> project</w:t>
      </w:r>
      <w:r w:rsidR="00622254" w:rsidRPr="00B35880">
        <w:rPr>
          <w:rFonts w:ascii="Titillium" w:hAnsi="Titillium"/>
          <w:sz w:val="22"/>
          <w:szCs w:val="22"/>
        </w:rPr>
        <w:t>) and surplus (based on market rates) (via budget tab and through advice from RIE).</w:t>
      </w:r>
    </w:p>
    <w:p w14:paraId="5BC18DDA" w14:textId="26D02194" w:rsidR="0001687B" w:rsidRPr="00B35880" w:rsidRDefault="0001687B" w:rsidP="00B35880">
      <w:pPr>
        <w:pStyle w:val="ListParagraph"/>
        <w:numPr>
          <w:ilvl w:val="0"/>
          <w:numId w:val="44"/>
        </w:numPr>
        <w:jc w:val="both"/>
        <w:rPr>
          <w:rFonts w:ascii="Titillium" w:hAnsi="Titillium"/>
          <w:sz w:val="22"/>
          <w:szCs w:val="22"/>
        </w:rPr>
      </w:pPr>
      <w:r w:rsidRPr="00B35880">
        <w:rPr>
          <w:rFonts w:ascii="Titillium" w:hAnsi="Titillium"/>
          <w:sz w:val="22"/>
          <w:szCs w:val="22"/>
        </w:rPr>
        <w:t>Project proposal (via documents tab)</w:t>
      </w:r>
      <w:r w:rsidR="00484D6A" w:rsidRPr="00B35880">
        <w:rPr>
          <w:rFonts w:ascii="Titillium" w:hAnsi="Titillium"/>
          <w:sz w:val="22"/>
          <w:szCs w:val="22"/>
        </w:rPr>
        <w:t>.</w:t>
      </w:r>
      <w:r w:rsidRPr="00B35880">
        <w:rPr>
          <w:rFonts w:ascii="Titillium" w:hAnsi="Titillium"/>
          <w:sz w:val="22"/>
          <w:szCs w:val="22"/>
        </w:rPr>
        <w:t xml:space="preserve"> </w:t>
      </w:r>
    </w:p>
    <w:p w14:paraId="2818CB9B" w14:textId="63974A8B" w:rsidR="00380004" w:rsidRPr="00B35880" w:rsidRDefault="0001687B" w:rsidP="00B35880">
      <w:pPr>
        <w:pStyle w:val="ListParagraph"/>
        <w:numPr>
          <w:ilvl w:val="0"/>
          <w:numId w:val="44"/>
        </w:numPr>
        <w:jc w:val="both"/>
        <w:rPr>
          <w:rFonts w:ascii="Titillium" w:hAnsi="Titillium"/>
          <w:sz w:val="22"/>
          <w:szCs w:val="22"/>
        </w:rPr>
      </w:pPr>
      <w:r w:rsidRPr="00B35880">
        <w:rPr>
          <w:rFonts w:ascii="Titillium" w:hAnsi="Titillium"/>
          <w:sz w:val="22"/>
          <w:szCs w:val="22"/>
        </w:rPr>
        <w:t>Checklist (via checklist tab)</w:t>
      </w:r>
      <w:r w:rsidR="00484D6A" w:rsidRPr="00B35880">
        <w:rPr>
          <w:rFonts w:ascii="Titillium" w:hAnsi="Titillium"/>
          <w:sz w:val="22"/>
          <w:szCs w:val="22"/>
        </w:rPr>
        <w:t>.</w:t>
      </w:r>
    </w:p>
    <w:p w14:paraId="6C8FDE0B" w14:textId="0319980A" w:rsidR="00622254" w:rsidRPr="00B35880" w:rsidRDefault="00484D6A" w:rsidP="00B35880">
      <w:pPr>
        <w:pStyle w:val="ListParagraph"/>
        <w:numPr>
          <w:ilvl w:val="0"/>
          <w:numId w:val="44"/>
        </w:numPr>
        <w:jc w:val="both"/>
        <w:rPr>
          <w:rFonts w:ascii="Titillium" w:hAnsi="Titillium"/>
          <w:sz w:val="22"/>
          <w:szCs w:val="22"/>
        </w:rPr>
      </w:pPr>
      <w:r w:rsidRPr="00B35880">
        <w:rPr>
          <w:rFonts w:ascii="Titillium" w:hAnsi="Titillium"/>
          <w:sz w:val="22"/>
          <w:szCs w:val="22"/>
        </w:rPr>
        <w:t>Si</w:t>
      </w:r>
      <w:r w:rsidR="00622254" w:rsidRPr="00B35880">
        <w:rPr>
          <w:rFonts w:ascii="Titillium" w:hAnsi="Titillium"/>
          <w:sz w:val="22"/>
          <w:szCs w:val="22"/>
        </w:rPr>
        <w:t xml:space="preserve">gned Quality Approval Form </w:t>
      </w:r>
      <w:r w:rsidRPr="00B35880">
        <w:rPr>
          <w:rFonts w:ascii="Titillium" w:hAnsi="Titillium"/>
          <w:sz w:val="22"/>
          <w:szCs w:val="22"/>
        </w:rPr>
        <w:t>(Section 6 in the Quality Framework)</w:t>
      </w:r>
      <w:r w:rsidR="00622254" w:rsidRPr="00B35880">
        <w:rPr>
          <w:rFonts w:ascii="Titillium" w:hAnsi="Titillium"/>
          <w:sz w:val="22"/>
          <w:szCs w:val="22"/>
        </w:rPr>
        <w:t xml:space="preserve"> (via documents tab)</w:t>
      </w:r>
      <w:r w:rsidR="00EC102D">
        <w:rPr>
          <w:rFonts w:ascii="Titillium" w:hAnsi="Titillium"/>
          <w:sz w:val="22"/>
          <w:szCs w:val="22"/>
        </w:rPr>
        <w:t xml:space="preserve"> for N</w:t>
      </w:r>
      <w:r w:rsidR="00F672F7">
        <w:rPr>
          <w:rFonts w:ascii="Titillium" w:hAnsi="Titillium"/>
          <w:sz w:val="22"/>
          <w:szCs w:val="22"/>
        </w:rPr>
        <w:t>on-</w:t>
      </w:r>
      <w:r w:rsidR="00EC102D">
        <w:rPr>
          <w:rFonts w:ascii="Titillium" w:hAnsi="Titillium"/>
          <w:sz w:val="22"/>
          <w:szCs w:val="22"/>
        </w:rPr>
        <w:t>C</w:t>
      </w:r>
      <w:r w:rsidR="00F672F7">
        <w:rPr>
          <w:rFonts w:ascii="Titillium" w:hAnsi="Titillium"/>
          <w:sz w:val="22"/>
          <w:szCs w:val="22"/>
        </w:rPr>
        <w:t xml:space="preserve">redit </w:t>
      </w:r>
      <w:r w:rsidR="00EC102D">
        <w:rPr>
          <w:rFonts w:ascii="Titillium" w:hAnsi="Titillium"/>
          <w:sz w:val="22"/>
          <w:szCs w:val="22"/>
        </w:rPr>
        <w:t>B</w:t>
      </w:r>
      <w:r w:rsidR="00F672F7">
        <w:rPr>
          <w:rFonts w:ascii="Titillium" w:hAnsi="Titillium"/>
          <w:sz w:val="22"/>
          <w:szCs w:val="22"/>
        </w:rPr>
        <w:t>earing</w:t>
      </w:r>
      <w:r w:rsidR="00EC102D">
        <w:rPr>
          <w:rFonts w:ascii="Titillium" w:hAnsi="Titillium"/>
          <w:sz w:val="22"/>
          <w:szCs w:val="22"/>
        </w:rPr>
        <w:t xml:space="preserve"> CPD Projects.</w:t>
      </w:r>
    </w:p>
    <w:p w14:paraId="3E1396C8" w14:textId="5F487A52" w:rsidR="00484D6A" w:rsidRPr="00B35880" w:rsidRDefault="00622254" w:rsidP="00B35880">
      <w:pPr>
        <w:pStyle w:val="ListParagraph"/>
        <w:numPr>
          <w:ilvl w:val="0"/>
          <w:numId w:val="44"/>
        </w:numPr>
        <w:jc w:val="both"/>
        <w:rPr>
          <w:rFonts w:ascii="Titillium" w:hAnsi="Titillium"/>
          <w:sz w:val="22"/>
          <w:szCs w:val="22"/>
        </w:rPr>
      </w:pPr>
      <w:r w:rsidRPr="00B35880">
        <w:rPr>
          <w:rFonts w:ascii="Titillium" w:hAnsi="Titillium"/>
          <w:sz w:val="22"/>
          <w:szCs w:val="22"/>
        </w:rPr>
        <w:t xml:space="preserve">Consultancy and Commercial Activity </w:t>
      </w:r>
      <w:r w:rsidR="00CA4F0E">
        <w:rPr>
          <w:rFonts w:ascii="Titillium" w:hAnsi="Titillium"/>
          <w:sz w:val="22"/>
          <w:szCs w:val="22"/>
        </w:rPr>
        <w:t xml:space="preserve">Email </w:t>
      </w:r>
      <w:r w:rsidRPr="00B35880">
        <w:rPr>
          <w:rFonts w:ascii="Titillium" w:hAnsi="Titillium"/>
          <w:sz w:val="22"/>
          <w:szCs w:val="22"/>
        </w:rPr>
        <w:t>(via documents tab)</w:t>
      </w:r>
      <w:r w:rsidR="00EC102D">
        <w:rPr>
          <w:rFonts w:ascii="Titillium" w:hAnsi="Titillium"/>
          <w:sz w:val="22"/>
          <w:szCs w:val="22"/>
        </w:rPr>
        <w:t>.</w:t>
      </w:r>
    </w:p>
    <w:p w14:paraId="40C8E759" w14:textId="47299E04" w:rsidR="0001687B" w:rsidRPr="00B35880" w:rsidRDefault="00622254" w:rsidP="00B35880">
      <w:pPr>
        <w:pStyle w:val="ListParagraph"/>
        <w:numPr>
          <w:ilvl w:val="0"/>
          <w:numId w:val="44"/>
        </w:numPr>
        <w:jc w:val="both"/>
        <w:rPr>
          <w:rFonts w:ascii="Titillium" w:hAnsi="Titillium"/>
          <w:sz w:val="22"/>
          <w:szCs w:val="22"/>
        </w:rPr>
      </w:pPr>
      <w:r w:rsidRPr="00B35880">
        <w:rPr>
          <w:rFonts w:ascii="Titillium" w:hAnsi="Titillium"/>
          <w:sz w:val="22"/>
          <w:szCs w:val="22"/>
        </w:rPr>
        <w:t xml:space="preserve">How activity will help achieve </w:t>
      </w:r>
      <w:r w:rsidR="0001687B" w:rsidRPr="00B35880">
        <w:rPr>
          <w:rFonts w:ascii="Titillium" w:hAnsi="Titillium"/>
          <w:sz w:val="22"/>
          <w:szCs w:val="22"/>
        </w:rPr>
        <w:t>strategic objectives for the School/Un</w:t>
      </w:r>
      <w:r w:rsidR="00513E36" w:rsidRPr="00B35880">
        <w:rPr>
          <w:rFonts w:ascii="Titillium" w:hAnsi="Titillium"/>
          <w:sz w:val="22"/>
          <w:szCs w:val="22"/>
        </w:rPr>
        <w:t>iversity (via benefits tab)</w:t>
      </w:r>
      <w:r w:rsidR="00484D6A" w:rsidRPr="00B35880">
        <w:rPr>
          <w:rFonts w:ascii="Titillium" w:hAnsi="Titillium"/>
          <w:sz w:val="22"/>
          <w:szCs w:val="22"/>
        </w:rPr>
        <w:t>.</w:t>
      </w:r>
    </w:p>
    <w:p w14:paraId="4E34B757" w14:textId="38B02F29" w:rsidR="00513E36" w:rsidRPr="00B35880" w:rsidRDefault="00513E36" w:rsidP="00B35880">
      <w:pPr>
        <w:pStyle w:val="ListParagraph"/>
        <w:numPr>
          <w:ilvl w:val="0"/>
          <w:numId w:val="44"/>
        </w:numPr>
        <w:jc w:val="both"/>
        <w:rPr>
          <w:rFonts w:ascii="Titillium" w:hAnsi="Titillium"/>
          <w:sz w:val="22"/>
          <w:szCs w:val="22"/>
        </w:rPr>
      </w:pPr>
      <w:r w:rsidRPr="00B35880">
        <w:rPr>
          <w:rFonts w:ascii="Titillium" w:hAnsi="Titillium"/>
          <w:sz w:val="22"/>
          <w:szCs w:val="22"/>
        </w:rPr>
        <w:t>Data Management Plan or Declaration of No Data Form, whichever is relevant</w:t>
      </w:r>
      <w:r w:rsidR="00484D6A" w:rsidRPr="00B35880">
        <w:rPr>
          <w:rFonts w:ascii="Titillium" w:hAnsi="Titillium"/>
          <w:sz w:val="22"/>
          <w:szCs w:val="22"/>
        </w:rPr>
        <w:t xml:space="preserve"> (via templates)</w:t>
      </w:r>
      <w:r w:rsidRPr="00B35880">
        <w:rPr>
          <w:rFonts w:ascii="Titillium" w:hAnsi="Titillium"/>
          <w:sz w:val="22"/>
          <w:szCs w:val="22"/>
        </w:rPr>
        <w:t xml:space="preserve">. </w:t>
      </w:r>
    </w:p>
    <w:p w14:paraId="36971B51" w14:textId="74D58B6E" w:rsidR="004957DA" w:rsidRDefault="004957DA" w:rsidP="0053216F">
      <w:pPr>
        <w:ind w:left="567"/>
        <w:jc w:val="both"/>
        <w:rPr>
          <w:rFonts w:ascii="Titillium" w:hAnsi="Titillium"/>
          <w:sz w:val="22"/>
          <w:szCs w:val="22"/>
        </w:rPr>
      </w:pPr>
    </w:p>
    <w:p w14:paraId="455846B1" w14:textId="77777777" w:rsidR="0010037E" w:rsidRDefault="00A36AB8" w:rsidP="00684744">
      <w:pPr>
        <w:ind w:left="567"/>
        <w:jc w:val="both"/>
        <w:rPr>
          <w:rFonts w:ascii="Titillium" w:hAnsi="Titillium"/>
          <w:sz w:val="22"/>
          <w:szCs w:val="22"/>
        </w:rPr>
      </w:pPr>
      <w:r>
        <w:rPr>
          <w:rFonts w:ascii="Titillium" w:hAnsi="Titillium"/>
          <w:sz w:val="22"/>
          <w:szCs w:val="22"/>
        </w:rPr>
        <w:t xml:space="preserve">RIE will manage all the contractual and financial requirements for the </w:t>
      </w:r>
      <w:r w:rsidR="005D7EF5">
        <w:rPr>
          <w:rFonts w:ascii="Titillium" w:hAnsi="Titillium"/>
          <w:sz w:val="22"/>
          <w:szCs w:val="22"/>
        </w:rPr>
        <w:t>project</w:t>
      </w:r>
      <w:r>
        <w:rPr>
          <w:rFonts w:ascii="Titillium" w:hAnsi="Titillium"/>
          <w:sz w:val="22"/>
          <w:szCs w:val="22"/>
        </w:rPr>
        <w:t>.</w:t>
      </w:r>
      <w:r w:rsidR="00684744">
        <w:rPr>
          <w:rFonts w:ascii="Titillium" w:hAnsi="Titillium"/>
          <w:sz w:val="22"/>
          <w:szCs w:val="22"/>
        </w:rPr>
        <w:t xml:space="preserve"> </w:t>
      </w:r>
    </w:p>
    <w:p w14:paraId="69C756CD" w14:textId="77777777" w:rsidR="0010037E" w:rsidRDefault="0010037E" w:rsidP="00684744">
      <w:pPr>
        <w:ind w:left="567"/>
        <w:jc w:val="both"/>
        <w:rPr>
          <w:rFonts w:ascii="Titillium" w:hAnsi="Titillium"/>
          <w:sz w:val="22"/>
          <w:szCs w:val="22"/>
        </w:rPr>
      </w:pPr>
    </w:p>
    <w:p w14:paraId="53723736" w14:textId="05535A99" w:rsidR="00874F34" w:rsidRDefault="00684744" w:rsidP="00684744">
      <w:pPr>
        <w:ind w:left="567"/>
        <w:jc w:val="both"/>
        <w:rPr>
          <w:rFonts w:ascii="Titillium" w:hAnsi="Titillium"/>
          <w:sz w:val="22"/>
          <w:szCs w:val="22"/>
        </w:rPr>
      </w:pPr>
      <w:r>
        <w:rPr>
          <w:rFonts w:ascii="Titillium" w:hAnsi="Titillium"/>
          <w:sz w:val="22"/>
          <w:szCs w:val="22"/>
        </w:rPr>
        <w:t xml:space="preserve">  </w:t>
      </w:r>
    </w:p>
    <w:p w14:paraId="5FBCFE96" w14:textId="03D93D36" w:rsidR="00874F34" w:rsidRDefault="00925A37" w:rsidP="0053216F">
      <w:pPr>
        <w:pStyle w:val="ListParagraph"/>
        <w:numPr>
          <w:ilvl w:val="0"/>
          <w:numId w:val="40"/>
        </w:numPr>
        <w:ind w:left="567" w:hanging="567"/>
        <w:jc w:val="both"/>
        <w:rPr>
          <w:rFonts w:ascii="Titillium" w:hAnsi="Titillium"/>
          <w:b/>
          <w:color w:val="67B8E7"/>
          <w:sz w:val="32"/>
          <w:szCs w:val="32"/>
        </w:rPr>
      </w:pPr>
      <w:r>
        <w:rPr>
          <w:rFonts w:ascii="Titillium" w:hAnsi="Titillium"/>
          <w:b/>
          <w:color w:val="67B8E7"/>
          <w:sz w:val="32"/>
          <w:szCs w:val="32"/>
        </w:rPr>
        <w:t>Balancing Activities</w:t>
      </w:r>
      <w:r w:rsidR="00712087">
        <w:rPr>
          <w:rFonts w:ascii="Titillium" w:hAnsi="Titillium"/>
          <w:b/>
          <w:color w:val="67B8E7"/>
          <w:sz w:val="32"/>
          <w:szCs w:val="32"/>
        </w:rPr>
        <w:t xml:space="preserve"> Out </w:t>
      </w:r>
      <w:proofErr w:type="gramStart"/>
      <w:r w:rsidR="00712087">
        <w:rPr>
          <w:rFonts w:ascii="Titillium" w:hAnsi="Titillium"/>
          <w:b/>
          <w:color w:val="67B8E7"/>
          <w:sz w:val="32"/>
          <w:szCs w:val="32"/>
        </w:rPr>
        <w:t>With</w:t>
      </w:r>
      <w:proofErr w:type="gramEnd"/>
      <w:r w:rsidR="00712087">
        <w:rPr>
          <w:rFonts w:ascii="Titillium" w:hAnsi="Titillium"/>
          <w:b/>
          <w:color w:val="67B8E7"/>
          <w:sz w:val="32"/>
          <w:szCs w:val="32"/>
        </w:rPr>
        <w:t xml:space="preserve"> WAM</w:t>
      </w:r>
      <w:r>
        <w:rPr>
          <w:rFonts w:ascii="Titillium" w:hAnsi="Titillium"/>
          <w:b/>
          <w:color w:val="67B8E7"/>
          <w:sz w:val="32"/>
          <w:szCs w:val="32"/>
        </w:rPr>
        <w:t xml:space="preserve"> and </w:t>
      </w:r>
      <w:r w:rsidR="00F065AA">
        <w:rPr>
          <w:rFonts w:ascii="Titillium" w:hAnsi="Titillium"/>
          <w:b/>
          <w:color w:val="67B8E7"/>
          <w:sz w:val="32"/>
          <w:szCs w:val="32"/>
        </w:rPr>
        <w:t>University R</w:t>
      </w:r>
      <w:r w:rsidR="00874F34">
        <w:rPr>
          <w:rFonts w:ascii="Titillium" w:hAnsi="Titillium"/>
          <w:b/>
          <w:color w:val="67B8E7"/>
          <w:sz w:val="32"/>
          <w:szCs w:val="32"/>
        </w:rPr>
        <w:t>ole</w:t>
      </w:r>
    </w:p>
    <w:p w14:paraId="707FB6E0" w14:textId="77777777" w:rsidR="00874F34" w:rsidRDefault="00874F34" w:rsidP="0053216F">
      <w:pPr>
        <w:ind w:left="426"/>
        <w:contextualSpacing/>
        <w:jc w:val="both"/>
        <w:rPr>
          <w:rFonts w:ascii="Titillium" w:hAnsi="Titillium"/>
          <w:color w:val="859EA4"/>
          <w:sz w:val="22"/>
          <w:szCs w:val="22"/>
        </w:rPr>
      </w:pPr>
    </w:p>
    <w:p w14:paraId="6A563AE9" w14:textId="46A5277D" w:rsidR="007F1666" w:rsidRDefault="00712087" w:rsidP="0053216F">
      <w:pPr>
        <w:ind w:left="567"/>
        <w:jc w:val="both"/>
        <w:rPr>
          <w:rFonts w:ascii="Titillium" w:hAnsi="Titillium"/>
          <w:sz w:val="22"/>
          <w:szCs w:val="22"/>
        </w:rPr>
      </w:pPr>
      <w:r w:rsidRPr="00712087">
        <w:rPr>
          <w:rFonts w:ascii="Titillium" w:hAnsi="Titillium"/>
          <w:sz w:val="22"/>
          <w:szCs w:val="22"/>
        </w:rPr>
        <w:t>Whilst the University acknowledges the benefits derived from these additional activities conducted out</w:t>
      </w:r>
      <w:r>
        <w:rPr>
          <w:rFonts w:ascii="Titillium" w:hAnsi="Titillium"/>
          <w:sz w:val="22"/>
          <w:szCs w:val="22"/>
        </w:rPr>
        <w:t xml:space="preserve"> </w:t>
      </w:r>
      <w:r w:rsidRPr="00712087">
        <w:rPr>
          <w:rFonts w:ascii="Titillium" w:hAnsi="Titillium"/>
          <w:sz w:val="22"/>
          <w:szCs w:val="22"/>
        </w:rPr>
        <w:t xml:space="preserve">with WAM, a balance must be maintained to ensure that there is no impact on a staff member’s wellbeing and their ability to perform their normal day to day role. </w:t>
      </w:r>
      <w:r w:rsidR="007F1666">
        <w:rPr>
          <w:rFonts w:ascii="Titillium" w:hAnsi="Titillium"/>
          <w:sz w:val="22"/>
          <w:szCs w:val="22"/>
        </w:rPr>
        <w:t xml:space="preserve"> </w:t>
      </w:r>
    </w:p>
    <w:p w14:paraId="1434B123" w14:textId="447C3F0A" w:rsidR="007F1666" w:rsidRDefault="007F1666" w:rsidP="0053216F">
      <w:pPr>
        <w:ind w:left="567"/>
        <w:jc w:val="both"/>
        <w:rPr>
          <w:rFonts w:ascii="Titillium" w:hAnsi="Titillium"/>
          <w:sz w:val="22"/>
          <w:szCs w:val="22"/>
        </w:rPr>
      </w:pPr>
    </w:p>
    <w:p w14:paraId="0C37487A" w14:textId="34111122" w:rsidR="007F1666" w:rsidRDefault="007F1666" w:rsidP="0053216F">
      <w:pPr>
        <w:ind w:left="567"/>
        <w:jc w:val="both"/>
        <w:rPr>
          <w:rFonts w:ascii="Titillium" w:hAnsi="Titillium"/>
          <w:sz w:val="22"/>
          <w:szCs w:val="22"/>
        </w:rPr>
      </w:pPr>
      <w:r w:rsidRPr="00074F44">
        <w:rPr>
          <w:rFonts w:ascii="Titillium" w:hAnsi="Titillium"/>
          <w:sz w:val="22"/>
          <w:szCs w:val="22"/>
        </w:rPr>
        <w:t xml:space="preserve">To support a healthy work life balance and to ensure sufficient time is allocated to other </w:t>
      </w:r>
      <w:r w:rsidR="00681973">
        <w:rPr>
          <w:rFonts w:ascii="Titillium" w:hAnsi="Titillium"/>
          <w:sz w:val="22"/>
          <w:szCs w:val="22"/>
        </w:rPr>
        <w:t xml:space="preserve">responsibilities and </w:t>
      </w:r>
      <w:r w:rsidRPr="00074F44">
        <w:rPr>
          <w:rFonts w:ascii="Titillium" w:hAnsi="Titillium"/>
          <w:sz w:val="22"/>
          <w:szCs w:val="22"/>
        </w:rPr>
        <w:t xml:space="preserve">activities </w:t>
      </w:r>
      <w:r w:rsidR="00681973">
        <w:rPr>
          <w:rFonts w:ascii="Titillium" w:hAnsi="Titillium"/>
          <w:sz w:val="22"/>
          <w:szCs w:val="22"/>
        </w:rPr>
        <w:t xml:space="preserve">of the staff member, </w:t>
      </w:r>
      <w:r w:rsidRPr="00074F44">
        <w:rPr>
          <w:rFonts w:ascii="Titillium" w:hAnsi="Titillium"/>
          <w:sz w:val="22"/>
          <w:szCs w:val="22"/>
        </w:rPr>
        <w:t xml:space="preserve">it is recommended that there is a maximum number of </w:t>
      </w:r>
      <w:r w:rsidR="00513E36">
        <w:rPr>
          <w:rFonts w:ascii="Titillium" w:hAnsi="Titillium"/>
          <w:sz w:val="22"/>
          <w:szCs w:val="22"/>
        </w:rPr>
        <w:t xml:space="preserve">30 </w:t>
      </w:r>
      <w:r w:rsidRPr="00074F44">
        <w:rPr>
          <w:rFonts w:ascii="Titillium" w:hAnsi="Titillium"/>
          <w:sz w:val="22"/>
          <w:szCs w:val="22"/>
        </w:rPr>
        <w:t xml:space="preserve">days per </w:t>
      </w:r>
      <w:r w:rsidR="005D7EF5">
        <w:rPr>
          <w:rFonts w:ascii="Titillium" w:hAnsi="Titillium"/>
          <w:sz w:val="22"/>
          <w:szCs w:val="22"/>
        </w:rPr>
        <w:t xml:space="preserve">financial </w:t>
      </w:r>
      <w:r w:rsidRPr="00074F44">
        <w:rPr>
          <w:rFonts w:ascii="Titillium" w:hAnsi="Titillium"/>
          <w:sz w:val="22"/>
          <w:szCs w:val="22"/>
        </w:rPr>
        <w:t xml:space="preserve">year </w:t>
      </w:r>
      <w:r w:rsidR="005D7EF5">
        <w:rPr>
          <w:rFonts w:ascii="Titillium" w:hAnsi="Titillium"/>
          <w:sz w:val="22"/>
          <w:szCs w:val="22"/>
        </w:rPr>
        <w:t>(1</w:t>
      </w:r>
      <w:r w:rsidR="005D7EF5" w:rsidRPr="00B1025D">
        <w:rPr>
          <w:rFonts w:ascii="Titillium" w:hAnsi="Titillium"/>
          <w:sz w:val="22"/>
          <w:szCs w:val="22"/>
          <w:vertAlign w:val="superscript"/>
        </w:rPr>
        <w:t>st</w:t>
      </w:r>
      <w:r w:rsidR="005D7EF5">
        <w:rPr>
          <w:rFonts w:ascii="Titillium" w:hAnsi="Titillium"/>
          <w:sz w:val="22"/>
          <w:szCs w:val="22"/>
        </w:rPr>
        <w:t xml:space="preserve"> August – 31</w:t>
      </w:r>
      <w:r w:rsidR="005D7EF5" w:rsidRPr="00B1025D">
        <w:rPr>
          <w:rFonts w:ascii="Titillium" w:hAnsi="Titillium"/>
          <w:sz w:val="22"/>
          <w:szCs w:val="22"/>
          <w:vertAlign w:val="superscript"/>
        </w:rPr>
        <w:t>st</w:t>
      </w:r>
      <w:r w:rsidR="005D7EF5">
        <w:rPr>
          <w:rFonts w:ascii="Titillium" w:hAnsi="Titillium"/>
          <w:sz w:val="22"/>
          <w:szCs w:val="22"/>
        </w:rPr>
        <w:t xml:space="preserve"> July) </w:t>
      </w:r>
      <w:r w:rsidRPr="00074F44">
        <w:rPr>
          <w:rFonts w:ascii="Titillium" w:hAnsi="Titillium"/>
          <w:sz w:val="22"/>
          <w:szCs w:val="22"/>
        </w:rPr>
        <w:t xml:space="preserve">permitted for additional </w:t>
      </w:r>
      <w:r w:rsidR="00D41A56">
        <w:rPr>
          <w:rFonts w:ascii="Titillium" w:hAnsi="Titillium"/>
          <w:sz w:val="22"/>
          <w:szCs w:val="22"/>
        </w:rPr>
        <w:t>activity that is</w:t>
      </w:r>
      <w:r w:rsidR="00925A37">
        <w:rPr>
          <w:rFonts w:ascii="Titillium" w:hAnsi="Titillium"/>
          <w:sz w:val="22"/>
          <w:szCs w:val="22"/>
        </w:rPr>
        <w:t xml:space="preserve"> within scope of this Framework</w:t>
      </w:r>
      <w:r w:rsidR="00712087">
        <w:rPr>
          <w:rFonts w:ascii="Titillium" w:hAnsi="Titillium"/>
          <w:sz w:val="22"/>
          <w:szCs w:val="22"/>
        </w:rPr>
        <w:t xml:space="preserve"> (conducted out with WAM)</w:t>
      </w:r>
      <w:r w:rsidRPr="00074F44">
        <w:rPr>
          <w:rFonts w:ascii="Titillium" w:hAnsi="Titillium"/>
          <w:sz w:val="22"/>
          <w:szCs w:val="22"/>
        </w:rPr>
        <w:t xml:space="preserve">. Any exception to this would be agreed by </w:t>
      </w:r>
      <w:r w:rsidR="00DC24C2">
        <w:rPr>
          <w:rFonts w:ascii="Titillium" w:hAnsi="Titillium"/>
          <w:sz w:val="22"/>
          <w:szCs w:val="22"/>
        </w:rPr>
        <w:t xml:space="preserve">either the </w:t>
      </w:r>
      <w:r w:rsidRPr="00074F44">
        <w:rPr>
          <w:rFonts w:ascii="Titillium" w:hAnsi="Titillium"/>
          <w:sz w:val="22"/>
          <w:szCs w:val="22"/>
        </w:rPr>
        <w:t>Dean of School</w:t>
      </w:r>
      <w:r w:rsidR="00DC24C2">
        <w:rPr>
          <w:rFonts w:ascii="Titillium" w:hAnsi="Titillium"/>
          <w:sz w:val="22"/>
          <w:szCs w:val="22"/>
        </w:rPr>
        <w:t xml:space="preserve"> or Director of Service</w:t>
      </w:r>
      <w:r w:rsidRPr="00074F44">
        <w:rPr>
          <w:rFonts w:ascii="Titillium" w:hAnsi="Titillium"/>
          <w:sz w:val="22"/>
          <w:szCs w:val="22"/>
        </w:rPr>
        <w:t>, an example of this may be where additional activity is in the interest of both parties to enable a more substantive external engagement.</w:t>
      </w:r>
      <w:r w:rsidR="00F37E63">
        <w:rPr>
          <w:rFonts w:ascii="Titillium" w:hAnsi="Titillium"/>
          <w:sz w:val="22"/>
          <w:szCs w:val="22"/>
        </w:rPr>
        <w:t xml:space="preserve"> </w:t>
      </w:r>
    </w:p>
    <w:p w14:paraId="0DCB1155" w14:textId="77777777" w:rsidR="00B310C7" w:rsidRDefault="00B310C7" w:rsidP="0053216F">
      <w:pPr>
        <w:ind w:left="567"/>
        <w:jc w:val="both"/>
        <w:rPr>
          <w:rFonts w:ascii="Titillium" w:hAnsi="Titillium"/>
          <w:sz w:val="22"/>
          <w:szCs w:val="22"/>
        </w:rPr>
      </w:pPr>
    </w:p>
    <w:p w14:paraId="48EB6C5C" w14:textId="05032DE3" w:rsidR="008116D4" w:rsidRDefault="008116D4" w:rsidP="0053216F">
      <w:pPr>
        <w:ind w:left="567"/>
        <w:jc w:val="both"/>
        <w:rPr>
          <w:rFonts w:ascii="Titillium" w:hAnsi="Titillium"/>
          <w:sz w:val="22"/>
          <w:szCs w:val="22"/>
        </w:rPr>
      </w:pPr>
    </w:p>
    <w:p w14:paraId="7BCCFC99" w14:textId="2049858F" w:rsidR="00BB38E6" w:rsidRPr="004B46A6" w:rsidRDefault="00BB38E6" w:rsidP="008B4136">
      <w:pPr>
        <w:pStyle w:val="ListParagraph"/>
        <w:numPr>
          <w:ilvl w:val="0"/>
          <w:numId w:val="40"/>
        </w:numPr>
        <w:tabs>
          <w:tab w:val="left" w:pos="567"/>
          <w:tab w:val="left" w:pos="709"/>
        </w:tabs>
        <w:ind w:hanging="360"/>
        <w:rPr>
          <w:rFonts w:ascii="Titillium" w:hAnsi="Titillium"/>
          <w:b/>
          <w:noProof/>
          <w:color w:val="67B8E7"/>
          <w:sz w:val="32"/>
          <w:szCs w:val="32"/>
          <w:lang w:val="en-US"/>
        </w:rPr>
      </w:pPr>
      <w:r w:rsidRPr="004B46A6">
        <w:rPr>
          <w:rFonts w:ascii="Titillium" w:hAnsi="Titillium"/>
          <w:b/>
          <w:noProof/>
          <w:color w:val="67B8E7"/>
          <w:sz w:val="32"/>
          <w:szCs w:val="32"/>
          <w:lang w:val="en-US"/>
        </w:rPr>
        <w:t>Responsibilities</w:t>
      </w:r>
    </w:p>
    <w:p w14:paraId="020367E1" w14:textId="77777777" w:rsidR="00BB38E6" w:rsidRPr="00BB38E6" w:rsidRDefault="00BB38E6" w:rsidP="00BB38E6">
      <w:pPr>
        <w:rPr>
          <w:rFonts w:ascii="Titillium" w:hAnsi="Titillium"/>
          <w:b/>
          <w:noProof/>
          <w:color w:val="579FBB"/>
          <w:sz w:val="22"/>
          <w:szCs w:val="22"/>
          <w:lang w:val="en-US"/>
        </w:rPr>
      </w:pPr>
    </w:p>
    <w:tbl>
      <w:tblPr>
        <w:tblStyle w:val="TableGrid3"/>
        <w:tblW w:w="0" w:type="auto"/>
        <w:tblLook w:val="04A0" w:firstRow="1" w:lastRow="0" w:firstColumn="1" w:lastColumn="0" w:noHBand="0" w:noVBand="1"/>
      </w:tblPr>
      <w:tblGrid>
        <w:gridCol w:w="1418"/>
        <w:gridCol w:w="8204"/>
      </w:tblGrid>
      <w:tr w:rsidR="00BB38E6" w:rsidRPr="00BB38E6" w14:paraId="33CA4E06" w14:textId="77777777" w:rsidTr="00AC5907">
        <w:tc>
          <w:tcPr>
            <w:tcW w:w="1418" w:type="dxa"/>
            <w:tcBorders>
              <w:top w:val="nil"/>
              <w:left w:val="nil"/>
              <w:bottom w:val="nil"/>
              <w:right w:val="single" w:sz="4" w:space="0" w:color="859EA4"/>
            </w:tcBorders>
          </w:tcPr>
          <w:p w14:paraId="57B4E499" w14:textId="6A238E1D" w:rsidR="00BB38E6" w:rsidRPr="00BB38E6" w:rsidRDefault="000A4C5F" w:rsidP="00BB38E6">
            <w:pPr>
              <w:rPr>
                <w:rFonts w:ascii="Titillium" w:hAnsi="Titillium"/>
                <w:b/>
                <w:noProof/>
                <w:color w:val="579FBB"/>
                <w:sz w:val="22"/>
                <w:szCs w:val="22"/>
                <w:lang w:val="en-US"/>
              </w:rPr>
            </w:pPr>
            <w:r>
              <w:rPr>
                <w:rFonts w:ascii="Titillium" w:hAnsi="Titillium"/>
                <w:b/>
                <w:noProof/>
                <w:sz w:val="22"/>
                <w:szCs w:val="22"/>
                <w:lang w:val="en-US"/>
              </w:rPr>
              <w:t>E</w:t>
            </w:r>
            <w:r w:rsidR="00BB38E6" w:rsidRPr="00BB38E6">
              <w:rPr>
                <w:rFonts w:ascii="Titillium" w:hAnsi="Titillium"/>
                <w:b/>
                <w:noProof/>
                <w:sz w:val="22"/>
                <w:szCs w:val="22"/>
                <w:lang w:val="en-US"/>
              </w:rPr>
              <w:t>mployees</w:t>
            </w:r>
          </w:p>
        </w:tc>
        <w:tc>
          <w:tcPr>
            <w:tcW w:w="8204" w:type="dxa"/>
            <w:tcBorders>
              <w:top w:val="nil"/>
              <w:left w:val="single" w:sz="4" w:space="0" w:color="859EA4"/>
              <w:bottom w:val="nil"/>
              <w:right w:val="nil"/>
            </w:tcBorders>
          </w:tcPr>
          <w:p w14:paraId="3E99D5E2" w14:textId="5CCBAA38" w:rsidR="00BB38E6" w:rsidRDefault="006B0192" w:rsidP="005D14A3">
            <w:pPr>
              <w:numPr>
                <w:ilvl w:val="0"/>
                <w:numId w:val="7"/>
              </w:numPr>
              <w:ind w:left="463" w:hanging="426"/>
              <w:contextualSpacing/>
              <w:jc w:val="both"/>
              <w:rPr>
                <w:rFonts w:ascii="Titillium" w:hAnsi="Titillium"/>
                <w:noProof/>
                <w:color w:val="579FBB"/>
                <w:sz w:val="22"/>
                <w:szCs w:val="22"/>
                <w:lang w:val="en-US"/>
              </w:rPr>
            </w:pPr>
            <w:r>
              <w:rPr>
                <w:rFonts w:ascii="Titillium" w:hAnsi="Titillium"/>
                <w:noProof/>
                <w:color w:val="579FBB"/>
                <w:sz w:val="22"/>
                <w:szCs w:val="22"/>
                <w:lang w:val="en-US"/>
              </w:rPr>
              <w:t>Read and follow the Framework</w:t>
            </w:r>
            <w:r w:rsidR="00D41A56">
              <w:rPr>
                <w:rFonts w:ascii="Titillium" w:hAnsi="Titillium"/>
                <w:noProof/>
                <w:color w:val="579FBB"/>
                <w:sz w:val="22"/>
                <w:szCs w:val="22"/>
                <w:lang w:val="en-US"/>
              </w:rPr>
              <w:t xml:space="preserve"> and </w:t>
            </w:r>
            <w:r>
              <w:rPr>
                <w:rFonts w:ascii="Titillium" w:hAnsi="Titillium"/>
                <w:noProof/>
                <w:color w:val="579FBB"/>
                <w:sz w:val="22"/>
                <w:szCs w:val="22"/>
                <w:lang w:val="en-US"/>
              </w:rPr>
              <w:t xml:space="preserve">ensure </w:t>
            </w:r>
            <w:r w:rsidR="00513E36">
              <w:rPr>
                <w:rFonts w:ascii="Titillium" w:hAnsi="Titillium"/>
                <w:noProof/>
                <w:color w:val="579FBB"/>
                <w:sz w:val="22"/>
                <w:szCs w:val="22"/>
                <w:lang w:val="en-US"/>
              </w:rPr>
              <w:t xml:space="preserve">a </w:t>
            </w:r>
            <w:r>
              <w:rPr>
                <w:rFonts w:ascii="Titillium" w:hAnsi="Titillium"/>
                <w:noProof/>
                <w:color w:val="579FBB"/>
                <w:sz w:val="22"/>
                <w:szCs w:val="22"/>
                <w:lang w:val="en-US"/>
              </w:rPr>
              <w:t>full understand</w:t>
            </w:r>
            <w:r w:rsidR="00D41A56">
              <w:rPr>
                <w:rFonts w:ascii="Titillium" w:hAnsi="Titillium"/>
                <w:noProof/>
                <w:color w:val="579FBB"/>
                <w:sz w:val="22"/>
                <w:szCs w:val="22"/>
                <w:lang w:val="en-US"/>
              </w:rPr>
              <w:t>ing</w:t>
            </w:r>
            <w:r>
              <w:rPr>
                <w:rFonts w:ascii="Titillium" w:hAnsi="Titillium"/>
                <w:noProof/>
                <w:color w:val="579FBB"/>
                <w:sz w:val="22"/>
                <w:szCs w:val="22"/>
                <w:lang w:val="en-US"/>
              </w:rPr>
              <w:t xml:space="preserve"> of supporting </w:t>
            </w:r>
            <w:r w:rsidR="0010037E">
              <w:rPr>
                <w:rFonts w:ascii="Titillium" w:hAnsi="Titillium"/>
                <w:noProof/>
                <w:color w:val="579FBB"/>
                <w:sz w:val="22"/>
                <w:szCs w:val="22"/>
                <w:lang w:val="en-US"/>
              </w:rPr>
              <w:t>guidance</w:t>
            </w:r>
            <w:r>
              <w:rPr>
                <w:rFonts w:ascii="Titillium" w:hAnsi="Titillium"/>
                <w:noProof/>
                <w:color w:val="579FBB"/>
                <w:sz w:val="22"/>
                <w:szCs w:val="22"/>
                <w:lang w:val="en-US"/>
              </w:rPr>
              <w:t xml:space="preserve"> and associated </w:t>
            </w:r>
            <w:r w:rsidR="00BB111A">
              <w:rPr>
                <w:rFonts w:ascii="Titillium" w:hAnsi="Titillium"/>
                <w:noProof/>
                <w:color w:val="579FBB"/>
                <w:sz w:val="22"/>
                <w:szCs w:val="22"/>
                <w:lang w:val="en-US"/>
              </w:rPr>
              <w:t>policies.</w:t>
            </w:r>
            <w:r>
              <w:rPr>
                <w:rFonts w:ascii="Titillium" w:hAnsi="Titillium"/>
                <w:noProof/>
                <w:color w:val="579FBB"/>
                <w:sz w:val="22"/>
                <w:szCs w:val="22"/>
                <w:lang w:val="en-US"/>
              </w:rPr>
              <w:t xml:space="preserve"> </w:t>
            </w:r>
          </w:p>
          <w:p w14:paraId="1551EDA4" w14:textId="161A3756" w:rsidR="006B0192" w:rsidRDefault="006B0192" w:rsidP="005D14A3">
            <w:pPr>
              <w:numPr>
                <w:ilvl w:val="0"/>
                <w:numId w:val="7"/>
              </w:numPr>
              <w:ind w:left="463" w:hanging="426"/>
              <w:contextualSpacing/>
              <w:jc w:val="both"/>
              <w:rPr>
                <w:rFonts w:ascii="Titillium" w:hAnsi="Titillium"/>
                <w:noProof/>
                <w:color w:val="579FBB"/>
                <w:sz w:val="22"/>
                <w:szCs w:val="22"/>
                <w:lang w:val="en-US"/>
              </w:rPr>
            </w:pPr>
            <w:r>
              <w:rPr>
                <w:rFonts w:ascii="Titillium" w:hAnsi="Titillium"/>
                <w:noProof/>
                <w:color w:val="579FBB"/>
                <w:sz w:val="22"/>
                <w:szCs w:val="22"/>
                <w:lang w:val="en-US"/>
              </w:rPr>
              <w:t xml:space="preserve">Only undertake activity where the necessary </w:t>
            </w:r>
            <w:r w:rsidR="0010037E">
              <w:rPr>
                <w:rFonts w:ascii="Titillium" w:hAnsi="Titillium"/>
                <w:noProof/>
                <w:color w:val="579FBB"/>
                <w:sz w:val="22"/>
                <w:szCs w:val="22"/>
                <w:lang w:val="en-US"/>
              </w:rPr>
              <w:t xml:space="preserve">due diligence, </w:t>
            </w:r>
            <w:r>
              <w:rPr>
                <w:rFonts w:ascii="Titillium" w:hAnsi="Titillium"/>
                <w:noProof/>
                <w:color w:val="579FBB"/>
                <w:sz w:val="22"/>
                <w:szCs w:val="22"/>
                <w:lang w:val="en-US"/>
              </w:rPr>
              <w:t xml:space="preserve">approval and associated contractual documentation has been completed. </w:t>
            </w:r>
          </w:p>
          <w:p w14:paraId="654B8C3D" w14:textId="30068403" w:rsidR="00BB38E6" w:rsidRPr="0074551F" w:rsidRDefault="004F41AA" w:rsidP="0074551F">
            <w:pPr>
              <w:numPr>
                <w:ilvl w:val="0"/>
                <w:numId w:val="7"/>
              </w:numPr>
              <w:ind w:left="463" w:hanging="426"/>
              <w:contextualSpacing/>
              <w:jc w:val="both"/>
              <w:rPr>
                <w:rFonts w:ascii="Titillium" w:hAnsi="Titillium"/>
                <w:noProof/>
                <w:color w:val="579FBB"/>
                <w:sz w:val="22"/>
                <w:szCs w:val="22"/>
                <w:lang w:val="en-US"/>
              </w:rPr>
            </w:pPr>
            <w:r>
              <w:rPr>
                <w:rFonts w:ascii="Titillium" w:hAnsi="Titillium"/>
                <w:noProof/>
                <w:color w:val="579FBB"/>
                <w:sz w:val="22"/>
                <w:szCs w:val="22"/>
                <w:lang w:val="en-US"/>
              </w:rPr>
              <w:t>Submit claims for payments within two months of the activity concluding.</w:t>
            </w:r>
          </w:p>
          <w:p w14:paraId="3F517A36" w14:textId="249AE4E3" w:rsidR="002766E9" w:rsidRPr="002766E9" w:rsidRDefault="002766E9" w:rsidP="002766E9">
            <w:pPr>
              <w:contextualSpacing/>
              <w:jc w:val="both"/>
              <w:rPr>
                <w:rFonts w:ascii="Titillium" w:hAnsi="Titillium"/>
                <w:noProof/>
                <w:color w:val="579FBB"/>
                <w:sz w:val="14"/>
                <w:szCs w:val="14"/>
                <w:lang w:val="en-US"/>
              </w:rPr>
            </w:pPr>
          </w:p>
        </w:tc>
      </w:tr>
      <w:tr w:rsidR="005D14A3" w:rsidRPr="00BB38E6" w14:paraId="142675FE" w14:textId="77777777" w:rsidTr="00AC5907">
        <w:trPr>
          <w:trHeight w:val="691"/>
        </w:trPr>
        <w:tc>
          <w:tcPr>
            <w:tcW w:w="1418" w:type="dxa"/>
            <w:tcBorders>
              <w:top w:val="nil"/>
              <w:left w:val="nil"/>
              <w:bottom w:val="nil"/>
              <w:right w:val="single" w:sz="4" w:space="0" w:color="859EA4"/>
            </w:tcBorders>
          </w:tcPr>
          <w:p w14:paraId="1155D2FE" w14:textId="0CC54A55" w:rsidR="005D14A3" w:rsidRPr="00BB38E6" w:rsidRDefault="005D14A3" w:rsidP="005D14A3">
            <w:pPr>
              <w:rPr>
                <w:rFonts w:ascii="Titillium" w:hAnsi="Titillium"/>
                <w:b/>
                <w:noProof/>
                <w:sz w:val="22"/>
                <w:szCs w:val="22"/>
                <w:lang w:val="en-US"/>
              </w:rPr>
            </w:pPr>
            <w:r>
              <w:rPr>
                <w:rFonts w:ascii="Titillium" w:hAnsi="Titillium"/>
                <w:b/>
                <w:noProof/>
                <w:sz w:val="22"/>
                <w:szCs w:val="22"/>
                <w:lang w:val="en-US"/>
              </w:rPr>
              <w:t>Managers</w:t>
            </w:r>
          </w:p>
        </w:tc>
        <w:tc>
          <w:tcPr>
            <w:tcW w:w="8204" w:type="dxa"/>
            <w:tcBorders>
              <w:top w:val="nil"/>
              <w:left w:val="single" w:sz="4" w:space="0" w:color="859EA4"/>
              <w:bottom w:val="nil"/>
              <w:right w:val="nil"/>
            </w:tcBorders>
          </w:tcPr>
          <w:p w14:paraId="472823DE" w14:textId="0555FDF1" w:rsidR="004F41AA" w:rsidRDefault="00D41A56" w:rsidP="004F41AA">
            <w:pPr>
              <w:numPr>
                <w:ilvl w:val="0"/>
                <w:numId w:val="7"/>
              </w:numPr>
              <w:ind w:left="463" w:hanging="426"/>
              <w:contextualSpacing/>
              <w:jc w:val="both"/>
              <w:rPr>
                <w:rFonts w:ascii="Titillium" w:hAnsi="Titillium"/>
                <w:noProof/>
                <w:color w:val="579FBB"/>
                <w:sz w:val="22"/>
                <w:szCs w:val="22"/>
                <w:lang w:val="en-US"/>
              </w:rPr>
            </w:pPr>
            <w:r>
              <w:rPr>
                <w:rFonts w:ascii="Titillium" w:hAnsi="Titillium"/>
                <w:noProof/>
                <w:color w:val="579FBB"/>
                <w:sz w:val="22"/>
                <w:szCs w:val="22"/>
                <w:lang w:val="en-US"/>
              </w:rPr>
              <w:t xml:space="preserve">Read and follow the Framework and ensure a full understanding of supporting </w:t>
            </w:r>
            <w:r w:rsidR="0010037E">
              <w:rPr>
                <w:rFonts w:ascii="Titillium" w:hAnsi="Titillium"/>
                <w:noProof/>
                <w:color w:val="579FBB"/>
                <w:sz w:val="22"/>
                <w:szCs w:val="22"/>
                <w:lang w:val="en-US"/>
              </w:rPr>
              <w:t>guidance</w:t>
            </w:r>
            <w:r>
              <w:rPr>
                <w:rFonts w:ascii="Titillium" w:hAnsi="Titillium"/>
                <w:noProof/>
                <w:color w:val="579FBB"/>
                <w:sz w:val="22"/>
                <w:szCs w:val="22"/>
                <w:lang w:val="en-US"/>
              </w:rPr>
              <w:t xml:space="preserve"> and associated </w:t>
            </w:r>
            <w:r w:rsidR="00BB111A">
              <w:rPr>
                <w:rFonts w:ascii="Titillium" w:hAnsi="Titillium"/>
                <w:noProof/>
                <w:color w:val="579FBB"/>
                <w:sz w:val="22"/>
                <w:szCs w:val="22"/>
                <w:lang w:val="en-US"/>
              </w:rPr>
              <w:t>policies</w:t>
            </w:r>
            <w:r w:rsidR="004F41AA">
              <w:rPr>
                <w:rFonts w:ascii="Titillium" w:hAnsi="Titillium"/>
                <w:noProof/>
                <w:color w:val="579FBB"/>
                <w:sz w:val="22"/>
                <w:szCs w:val="22"/>
                <w:lang w:val="en-US"/>
              </w:rPr>
              <w:t xml:space="preserve">. </w:t>
            </w:r>
          </w:p>
          <w:p w14:paraId="35476E73" w14:textId="5212F398" w:rsidR="005D14A3" w:rsidRDefault="004F41AA" w:rsidP="005D14A3">
            <w:pPr>
              <w:numPr>
                <w:ilvl w:val="0"/>
                <w:numId w:val="7"/>
              </w:numPr>
              <w:ind w:left="463" w:hanging="426"/>
              <w:contextualSpacing/>
              <w:jc w:val="both"/>
              <w:rPr>
                <w:rFonts w:ascii="Titillium" w:hAnsi="Titillium"/>
                <w:noProof/>
                <w:color w:val="579FBB"/>
                <w:sz w:val="22"/>
                <w:szCs w:val="22"/>
                <w:lang w:val="en-US"/>
              </w:rPr>
            </w:pPr>
            <w:r>
              <w:rPr>
                <w:rFonts w:ascii="Titillium" w:hAnsi="Titillium"/>
                <w:noProof/>
                <w:color w:val="579FBB"/>
                <w:sz w:val="22"/>
                <w:szCs w:val="22"/>
                <w:lang w:val="en-US"/>
              </w:rPr>
              <w:t xml:space="preserve">Discuss the </w:t>
            </w:r>
            <w:r w:rsidR="00513E36">
              <w:rPr>
                <w:rFonts w:ascii="Titillium" w:hAnsi="Titillium"/>
                <w:noProof/>
                <w:color w:val="579FBB"/>
                <w:sz w:val="22"/>
                <w:szCs w:val="22"/>
                <w:lang w:val="en-US"/>
              </w:rPr>
              <w:t xml:space="preserve">relevant </w:t>
            </w:r>
            <w:r>
              <w:rPr>
                <w:rFonts w:ascii="Titillium" w:hAnsi="Titillium"/>
                <w:noProof/>
                <w:color w:val="579FBB"/>
                <w:sz w:val="22"/>
                <w:szCs w:val="22"/>
                <w:lang w:val="en-US"/>
              </w:rPr>
              <w:t>activity and benefits for the staff member and University.</w:t>
            </w:r>
          </w:p>
          <w:p w14:paraId="1CB0F7D6" w14:textId="4F858418" w:rsidR="005D14A3" w:rsidRPr="004F41AA" w:rsidRDefault="004F41AA" w:rsidP="00F94927">
            <w:pPr>
              <w:numPr>
                <w:ilvl w:val="0"/>
                <w:numId w:val="7"/>
              </w:numPr>
              <w:ind w:left="463" w:hanging="426"/>
              <w:contextualSpacing/>
              <w:jc w:val="both"/>
              <w:rPr>
                <w:rFonts w:ascii="Titillium" w:hAnsi="Titillium"/>
                <w:noProof/>
                <w:color w:val="579FBB"/>
                <w:sz w:val="22"/>
                <w:szCs w:val="22"/>
                <w:lang w:val="en-US"/>
              </w:rPr>
            </w:pPr>
            <w:r w:rsidRPr="004F41AA">
              <w:rPr>
                <w:rFonts w:ascii="Titillium" w:hAnsi="Titillium"/>
                <w:noProof/>
                <w:color w:val="579FBB"/>
                <w:sz w:val="22"/>
                <w:szCs w:val="22"/>
                <w:lang w:val="en-US"/>
              </w:rPr>
              <w:t>Consider fully and approve</w:t>
            </w:r>
            <w:r w:rsidR="00D41A56">
              <w:rPr>
                <w:rFonts w:ascii="Titillium" w:hAnsi="Titillium"/>
                <w:noProof/>
                <w:color w:val="579FBB"/>
                <w:sz w:val="22"/>
                <w:szCs w:val="22"/>
                <w:lang w:val="en-US"/>
              </w:rPr>
              <w:t xml:space="preserve"> via </w:t>
            </w:r>
            <w:r w:rsidR="0010037E">
              <w:rPr>
                <w:rFonts w:ascii="Titillium" w:hAnsi="Titillium"/>
                <w:noProof/>
                <w:color w:val="579FBB"/>
                <w:sz w:val="22"/>
                <w:szCs w:val="22"/>
                <w:lang w:val="en-US"/>
              </w:rPr>
              <w:t>a</w:t>
            </w:r>
            <w:r w:rsidR="00D41A56">
              <w:rPr>
                <w:rFonts w:ascii="Titillium" w:hAnsi="Titillium"/>
                <w:noProof/>
                <w:color w:val="579FBB"/>
                <w:sz w:val="22"/>
                <w:szCs w:val="22"/>
                <w:lang w:val="en-US"/>
              </w:rPr>
              <w:t xml:space="preserve"> Consultancy and Commercial Activity </w:t>
            </w:r>
            <w:r w:rsidR="0010037E">
              <w:rPr>
                <w:rFonts w:ascii="Titillium" w:hAnsi="Titillium"/>
                <w:noProof/>
                <w:color w:val="579FBB"/>
                <w:sz w:val="22"/>
                <w:szCs w:val="22"/>
                <w:lang w:val="en-US"/>
              </w:rPr>
              <w:t>approval email</w:t>
            </w:r>
            <w:r w:rsidRPr="004F41AA">
              <w:rPr>
                <w:rFonts w:ascii="Titillium" w:hAnsi="Titillium"/>
                <w:noProof/>
                <w:color w:val="579FBB"/>
                <w:sz w:val="22"/>
                <w:szCs w:val="22"/>
                <w:lang w:val="en-US"/>
              </w:rPr>
              <w:t>, as appropriate</w:t>
            </w:r>
            <w:r w:rsidR="0010037E">
              <w:rPr>
                <w:rFonts w:ascii="Titillium" w:hAnsi="Titillium"/>
                <w:noProof/>
                <w:color w:val="579FBB"/>
                <w:sz w:val="22"/>
                <w:szCs w:val="22"/>
                <w:lang w:val="en-US"/>
              </w:rPr>
              <w:t xml:space="preserve"> and as outlined in the guidance</w:t>
            </w:r>
            <w:r w:rsidRPr="004F41AA">
              <w:rPr>
                <w:rFonts w:ascii="Titillium" w:hAnsi="Titillium"/>
                <w:noProof/>
                <w:color w:val="579FBB"/>
                <w:sz w:val="22"/>
                <w:szCs w:val="22"/>
                <w:lang w:val="en-US"/>
              </w:rPr>
              <w:t xml:space="preserve">, </w:t>
            </w:r>
            <w:r w:rsidR="00513E36">
              <w:rPr>
                <w:rFonts w:ascii="Titillium" w:hAnsi="Titillium"/>
                <w:noProof/>
                <w:color w:val="579FBB"/>
                <w:sz w:val="22"/>
                <w:szCs w:val="22"/>
                <w:lang w:val="en-US"/>
              </w:rPr>
              <w:t xml:space="preserve">relevant </w:t>
            </w:r>
            <w:r w:rsidRPr="004F41AA">
              <w:rPr>
                <w:rFonts w:ascii="Titillium" w:hAnsi="Titillium"/>
                <w:noProof/>
                <w:color w:val="579FBB"/>
                <w:sz w:val="22"/>
                <w:szCs w:val="22"/>
                <w:lang w:val="en-US"/>
              </w:rPr>
              <w:t xml:space="preserve">activity. </w:t>
            </w:r>
          </w:p>
          <w:p w14:paraId="5DFED461" w14:textId="3F0E2512" w:rsidR="002766E9" w:rsidRPr="002766E9" w:rsidRDefault="002766E9" w:rsidP="002766E9">
            <w:pPr>
              <w:contextualSpacing/>
              <w:jc w:val="both"/>
              <w:rPr>
                <w:rFonts w:ascii="Titillium" w:hAnsi="Titillium"/>
                <w:noProof/>
                <w:color w:val="579FBB"/>
                <w:sz w:val="14"/>
                <w:szCs w:val="14"/>
                <w:lang w:val="en-US"/>
              </w:rPr>
            </w:pPr>
          </w:p>
        </w:tc>
      </w:tr>
      <w:tr w:rsidR="00BB38E6" w:rsidRPr="00BB38E6" w14:paraId="00CBA4B9" w14:textId="77777777" w:rsidTr="00AC5907">
        <w:trPr>
          <w:trHeight w:val="829"/>
        </w:trPr>
        <w:tc>
          <w:tcPr>
            <w:tcW w:w="1418" w:type="dxa"/>
            <w:tcBorders>
              <w:top w:val="nil"/>
              <w:left w:val="nil"/>
              <w:bottom w:val="nil"/>
              <w:right w:val="single" w:sz="4" w:space="0" w:color="859EA4"/>
            </w:tcBorders>
          </w:tcPr>
          <w:p w14:paraId="01D8B804" w14:textId="69E49412" w:rsidR="00BB38E6" w:rsidRPr="00BB38E6" w:rsidRDefault="006B0192" w:rsidP="00BB38E6">
            <w:pPr>
              <w:rPr>
                <w:rFonts w:ascii="Titillium" w:hAnsi="Titillium"/>
                <w:b/>
                <w:noProof/>
                <w:sz w:val="22"/>
                <w:szCs w:val="22"/>
                <w:lang w:val="en-US"/>
              </w:rPr>
            </w:pPr>
            <w:r>
              <w:rPr>
                <w:rFonts w:ascii="Titillium" w:hAnsi="Titillium"/>
                <w:b/>
                <w:noProof/>
                <w:sz w:val="22"/>
                <w:szCs w:val="22"/>
                <w:lang w:val="en-US"/>
              </w:rPr>
              <w:t>RIE</w:t>
            </w:r>
          </w:p>
          <w:p w14:paraId="7218199D" w14:textId="77777777" w:rsidR="00BB38E6" w:rsidRPr="00BB38E6" w:rsidRDefault="00BB38E6" w:rsidP="00BB38E6">
            <w:pPr>
              <w:rPr>
                <w:rFonts w:ascii="Titillium" w:hAnsi="Titillium"/>
                <w:b/>
                <w:noProof/>
                <w:sz w:val="22"/>
                <w:szCs w:val="22"/>
                <w:lang w:val="en-US"/>
              </w:rPr>
            </w:pPr>
          </w:p>
          <w:p w14:paraId="219B83AA" w14:textId="77777777" w:rsidR="00BB38E6" w:rsidRPr="00BB38E6" w:rsidRDefault="00BB38E6" w:rsidP="00BB38E6">
            <w:pPr>
              <w:rPr>
                <w:rFonts w:ascii="Titillium" w:hAnsi="Titillium"/>
                <w:b/>
                <w:noProof/>
                <w:sz w:val="22"/>
                <w:szCs w:val="22"/>
                <w:lang w:val="en-US"/>
              </w:rPr>
            </w:pPr>
          </w:p>
          <w:p w14:paraId="6616E340" w14:textId="77777777" w:rsidR="00BB38E6" w:rsidRPr="00BB38E6" w:rsidRDefault="00BB38E6" w:rsidP="00BB38E6">
            <w:pPr>
              <w:rPr>
                <w:rFonts w:ascii="Titillium" w:hAnsi="Titillium"/>
                <w:b/>
                <w:noProof/>
                <w:sz w:val="22"/>
                <w:szCs w:val="22"/>
                <w:lang w:val="en-US"/>
              </w:rPr>
            </w:pPr>
          </w:p>
        </w:tc>
        <w:tc>
          <w:tcPr>
            <w:tcW w:w="8204" w:type="dxa"/>
            <w:tcBorders>
              <w:top w:val="nil"/>
              <w:left w:val="single" w:sz="4" w:space="0" w:color="859EA4"/>
              <w:bottom w:val="nil"/>
              <w:right w:val="nil"/>
            </w:tcBorders>
          </w:tcPr>
          <w:p w14:paraId="11F535AD" w14:textId="3317D024" w:rsidR="004F41AA" w:rsidRDefault="004F41AA" w:rsidP="004F41AA">
            <w:pPr>
              <w:numPr>
                <w:ilvl w:val="0"/>
                <w:numId w:val="8"/>
              </w:numPr>
              <w:ind w:left="456" w:hanging="425"/>
              <w:contextualSpacing/>
              <w:jc w:val="both"/>
              <w:rPr>
                <w:rFonts w:ascii="Titillium" w:hAnsi="Titillium"/>
                <w:noProof/>
                <w:color w:val="579FBB"/>
                <w:sz w:val="22"/>
                <w:szCs w:val="22"/>
                <w:lang w:val="en-US"/>
              </w:rPr>
            </w:pPr>
            <w:r>
              <w:rPr>
                <w:rFonts w:ascii="Titillium" w:hAnsi="Titillium"/>
                <w:noProof/>
                <w:color w:val="579FBB"/>
                <w:sz w:val="22"/>
                <w:szCs w:val="22"/>
                <w:lang w:val="en-US"/>
              </w:rPr>
              <w:t>Provide guidance to all parties involved on the application of the Framework</w:t>
            </w:r>
            <w:r w:rsidR="00BB111A">
              <w:rPr>
                <w:rFonts w:ascii="Titillium" w:hAnsi="Titillium"/>
                <w:noProof/>
                <w:color w:val="579FBB"/>
                <w:sz w:val="22"/>
                <w:szCs w:val="22"/>
                <w:lang w:val="en-US"/>
              </w:rPr>
              <w:t>.</w:t>
            </w:r>
          </w:p>
          <w:p w14:paraId="3398CBC5" w14:textId="0253DA0C" w:rsidR="00513E36" w:rsidRDefault="00513E36" w:rsidP="004F41AA">
            <w:pPr>
              <w:numPr>
                <w:ilvl w:val="0"/>
                <w:numId w:val="8"/>
              </w:numPr>
              <w:ind w:left="456" w:hanging="425"/>
              <w:contextualSpacing/>
              <w:jc w:val="both"/>
              <w:rPr>
                <w:rFonts w:ascii="Titillium" w:hAnsi="Titillium"/>
                <w:noProof/>
                <w:color w:val="579FBB"/>
                <w:sz w:val="22"/>
                <w:szCs w:val="22"/>
                <w:lang w:val="en-US"/>
              </w:rPr>
            </w:pPr>
            <w:r>
              <w:rPr>
                <w:rFonts w:ascii="Titillium" w:hAnsi="Titillium"/>
                <w:noProof/>
                <w:color w:val="579FBB"/>
                <w:sz w:val="22"/>
                <w:szCs w:val="22"/>
                <w:lang w:val="en-US"/>
              </w:rPr>
              <w:t xml:space="preserve">Support on the </w:t>
            </w:r>
            <w:r w:rsidR="0010037E">
              <w:rPr>
                <w:rFonts w:ascii="Titillium" w:hAnsi="Titillium"/>
                <w:noProof/>
                <w:color w:val="579FBB"/>
                <w:sz w:val="22"/>
                <w:szCs w:val="22"/>
                <w:lang w:val="en-US"/>
              </w:rPr>
              <w:t xml:space="preserve">due diligence, </w:t>
            </w:r>
            <w:r>
              <w:rPr>
                <w:rFonts w:ascii="Titillium" w:hAnsi="Titillium"/>
                <w:noProof/>
                <w:color w:val="579FBB"/>
                <w:sz w:val="22"/>
                <w:szCs w:val="22"/>
                <w:lang w:val="en-US"/>
              </w:rPr>
              <w:t xml:space="preserve">costing, pricing, </w:t>
            </w:r>
            <w:r w:rsidR="00D41A56">
              <w:rPr>
                <w:rFonts w:ascii="Titillium" w:hAnsi="Titillium"/>
                <w:noProof/>
                <w:color w:val="579FBB"/>
                <w:sz w:val="22"/>
                <w:szCs w:val="22"/>
                <w:lang w:val="en-US"/>
              </w:rPr>
              <w:t>market analysis</w:t>
            </w:r>
            <w:r>
              <w:rPr>
                <w:rFonts w:ascii="Titillium" w:hAnsi="Titillium"/>
                <w:noProof/>
                <w:color w:val="579FBB"/>
                <w:sz w:val="22"/>
                <w:szCs w:val="22"/>
                <w:lang w:val="en-US"/>
              </w:rPr>
              <w:t xml:space="preserve"> and contractual negotiation of the project.</w:t>
            </w:r>
          </w:p>
          <w:p w14:paraId="3CB86DBF" w14:textId="3671CB0D" w:rsidR="009E5C97" w:rsidRPr="00D41A56" w:rsidRDefault="00D41A56" w:rsidP="00D41A56">
            <w:pPr>
              <w:numPr>
                <w:ilvl w:val="0"/>
                <w:numId w:val="8"/>
              </w:numPr>
              <w:ind w:left="456" w:hanging="425"/>
              <w:contextualSpacing/>
              <w:jc w:val="both"/>
              <w:rPr>
                <w:rFonts w:ascii="Titillium" w:hAnsi="Titillium"/>
                <w:noProof/>
                <w:color w:val="579FBB"/>
                <w:sz w:val="22"/>
                <w:szCs w:val="22"/>
                <w:lang w:val="en-US"/>
              </w:rPr>
            </w:pPr>
            <w:r>
              <w:rPr>
                <w:rFonts w:ascii="Titillium" w:hAnsi="Titillium"/>
                <w:noProof/>
                <w:color w:val="579FBB"/>
                <w:sz w:val="22"/>
                <w:szCs w:val="22"/>
                <w:lang w:val="en-US"/>
              </w:rPr>
              <w:t xml:space="preserve">Signpost </w:t>
            </w:r>
            <w:r w:rsidR="00F87B3A">
              <w:rPr>
                <w:rFonts w:ascii="Titillium" w:hAnsi="Titillium"/>
                <w:noProof/>
                <w:color w:val="579FBB"/>
                <w:sz w:val="22"/>
                <w:szCs w:val="22"/>
                <w:lang w:val="en-US"/>
              </w:rPr>
              <w:t>staff member</w:t>
            </w:r>
            <w:r>
              <w:rPr>
                <w:rFonts w:ascii="Titillium" w:hAnsi="Titillium"/>
                <w:noProof/>
                <w:color w:val="579FBB"/>
                <w:sz w:val="22"/>
                <w:szCs w:val="22"/>
                <w:lang w:val="en-US"/>
              </w:rPr>
              <w:t>s to other relevant departments as required.</w:t>
            </w:r>
          </w:p>
          <w:p w14:paraId="37382AB8" w14:textId="63512CE1" w:rsidR="002766E9" w:rsidRPr="004F41AA" w:rsidRDefault="002766E9" w:rsidP="002766E9">
            <w:pPr>
              <w:ind w:left="39"/>
              <w:contextualSpacing/>
              <w:jc w:val="both"/>
              <w:rPr>
                <w:rFonts w:ascii="Titillium" w:hAnsi="Titillium"/>
                <w:noProof/>
                <w:color w:val="99CCFF"/>
                <w:sz w:val="14"/>
                <w:szCs w:val="14"/>
                <w:lang w:val="en-US"/>
              </w:rPr>
            </w:pPr>
          </w:p>
        </w:tc>
      </w:tr>
    </w:tbl>
    <w:p w14:paraId="770880CE" w14:textId="3CCD9C7E" w:rsidR="0010037E" w:rsidRDefault="0010037E" w:rsidP="00BB38E6">
      <w:pPr>
        <w:rPr>
          <w:rFonts w:ascii="Titillium" w:hAnsi="Titillium"/>
          <w:b/>
          <w:noProof/>
          <w:color w:val="579FBB"/>
          <w:lang w:val="en-US"/>
        </w:rPr>
      </w:pPr>
    </w:p>
    <w:p w14:paraId="7F4CD295" w14:textId="6F431DFF" w:rsidR="0074551F" w:rsidRPr="00E2742D" w:rsidRDefault="0074551F" w:rsidP="00E2742D">
      <w:pPr>
        <w:pStyle w:val="ListParagraph"/>
        <w:numPr>
          <w:ilvl w:val="0"/>
          <w:numId w:val="40"/>
        </w:numPr>
        <w:tabs>
          <w:tab w:val="left" w:pos="567"/>
          <w:tab w:val="left" w:pos="709"/>
        </w:tabs>
        <w:ind w:hanging="360"/>
        <w:rPr>
          <w:rFonts w:ascii="Titillium" w:hAnsi="Titillium"/>
          <w:b/>
          <w:noProof/>
          <w:color w:val="67B8E7"/>
          <w:sz w:val="32"/>
          <w:szCs w:val="32"/>
          <w:lang w:val="en-US"/>
        </w:rPr>
      </w:pPr>
      <w:r w:rsidRPr="00E2742D">
        <w:rPr>
          <w:rFonts w:ascii="Titillium" w:hAnsi="Titillium"/>
          <w:b/>
          <w:noProof/>
          <w:color w:val="67B8E7"/>
          <w:sz w:val="32"/>
          <w:szCs w:val="32"/>
          <w:lang w:val="en-US"/>
        </w:rPr>
        <w:t>Related Policies</w:t>
      </w:r>
    </w:p>
    <w:p w14:paraId="4A65B596" w14:textId="77777777" w:rsidR="0074551F" w:rsidRDefault="0074551F" w:rsidP="00BB38E6">
      <w:pPr>
        <w:rPr>
          <w:rFonts w:ascii="Titillium" w:hAnsi="Titillium"/>
          <w:b/>
          <w:noProof/>
          <w:color w:val="579FBB"/>
          <w:lang w:val="en-US"/>
        </w:rPr>
      </w:pPr>
    </w:p>
    <w:p w14:paraId="7CD17851" w14:textId="77777777" w:rsidR="0074551F" w:rsidRDefault="0074551F" w:rsidP="008438C3">
      <w:pPr>
        <w:ind w:left="318"/>
        <w:jc w:val="both"/>
        <w:rPr>
          <w:rFonts w:ascii="Titillium" w:hAnsi="Titillium"/>
          <w:sz w:val="22"/>
          <w:szCs w:val="22"/>
        </w:rPr>
      </w:pPr>
      <w:r>
        <w:rPr>
          <w:rFonts w:ascii="Titillium" w:hAnsi="Titillium"/>
          <w:sz w:val="22"/>
          <w:szCs w:val="22"/>
        </w:rPr>
        <w:t>This Framework should be read in conjunction with:</w:t>
      </w:r>
    </w:p>
    <w:p w14:paraId="0B01C17A" w14:textId="77777777" w:rsidR="0074551F" w:rsidRDefault="0074551F" w:rsidP="008438C3">
      <w:pPr>
        <w:ind w:left="318" w:firstLine="567"/>
        <w:jc w:val="both"/>
        <w:rPr>
          <w:rFonts w:ascii="Titillium" w:hAnsi="Titillium"/>
          <w:sz w:val="22"/>
          <w:szCs w:val="22"/>
        </w:rPr>
      </w:pPr>
    </w:p>
    <w:p w14:paraId="5D681725" w14:textId="77777777" w:rsidR="0074551F" w:rsidRPr="00D72AA6" w:rsidRDefault="0074551F" w:rsidP="008438C3">
      <w:pPr>
        <w:pStyle w:val="ListParagraph"/>
        <w:numPr>
          <w:ilvl w:val="0"/>
          <w:numId w:val="46"/>
        </w:numPr>
        <w:spacing w:line="259" w:lineRule="auto"/>
        <w:ind w:left="678"/>
        <w:jc w:val="both"/>
        <w:rPr>
          <w:rFonts w:ascii="Titillium" w:hAnsi="Titillium"/>
          <w:sz w:val="22"/>
          <w:szCs w:val="22"/>
        </w:rPr>
      </w:pPr>
      <w:r w:rsidRPr="00D72AA6">
        <w:rPr>
          <w:rFonts w:ascii="Titillium" w:hAnsi="Titillium"/>
          <w:bCs/>
          <w:sz w:val="22"/>
          <w:szCs w:val="22"/>
        </w:rPr>
        <w:t xml:space="preserve">Framework Guidance Document </w:t>
      </w:r>
    </w:p>
    <w:p w14:paraId="7D4CDE9F" w14:textId="77777777" w:rsidR="0074551F" w:rsidRPr="00D72AA6" w:rsidRDefault="0074551F" w:rsidP="008438C3">
      <w:pPr>
        <w:pStyle w:val="ListParagraph"/>
        <w:numPr>
          <w:ilvl w:val="0"/>
          <w:numId w:val="46"/>
        </w:numPr>
        <w:spacing w:line="259" w:lineRule="auto"/>
        <w:ind w:left="678"/>
        <w:jc w:val="both"/>
        <w:rPr>
          <w:rFonts w:ascii="Titillium" w:hAnsi="Titillium"/>
          <w:bCs/>
          <w:sz w:val="22"/>
          <w:szCs w:val="22"/>
        </w:rPr>
      </w:pPr>
      <w:r w:rsidRPr="00D72AA6">
        <w:rPr>
          <w:rFonts w:ascii="Titillium" w:hAnsi="Titillium"/>
          <w:bCs/>
          <w:sz w:val="22"/>
          <w:szCs w:val="22"/>
        </w:rPr>
        <w:t>Intellectual Property (IP) Policy</w:t>
      </w:r>
    </w:p>
    <w:p w14:paraId="09058774" w14:textId="77777777" w:rsidR="0074551F" w:rsidRPr="00D72AA6" w:rsidRDefault="0074551F" w:rsidP="008438C3">
      <w:pPr>
        <w:pStyle w:val="ListParagraph"/>
        <w:numPr>
          <w:ilvl w:val="0"/>
          <w:numId w:val="46"/>
        </w:numPr>
        <w:spacing w:line="259" w:lineRule="auto"/>
        <w:ind w:left="678"/>
        <w:jc w:val="both"/>
        <w:rPr>
          <w:rFonts w:ascii="Titillium" w:hAnsi="Titillium"/>
          <w:bCs/>
          <w:sz w:val="22"/>
          <w:szCs w:val="22"/>
        </w:rPr>
      </w:pPr>
      <w:r w:rsidRPr="00D72AA6">
        <w:rPr>
          <w:rFonts w:ascii="Titillium" w:hAnsi="Titillium"/>
          <w:bCs/>
          <w:sz w:val="22"/>
          <w:szCs w:val="22"/>
        </w:rPr>
        <w:lastRenderedPageBreak/>
        <w:t xml:space="preserve">Contract of Terms and Conditions of Employment </w:t>
      </w:r>
    </w:p>
    <w:p w14:paraId="342A3333" w14:textId="77777777" w:rsidR="0074551F" w:rsidRPr="00D72AA6" w:rsidRDefault="0074551F" w:rsidP="008438C3">
      <w:pPr>
        <w:pStyle w:val="ListParagraph"/>
        <w:numPr>
          <w:ilvl w:val="0"/>
          <w:numId w:val="46"/>
        </w:numPr>
        <w:spacing w:line="259" w:lineRule="auto"/>
        <w:ind w:left="678"/>
        <w:jc w:val="both"/>
        <w:rPr>
          <w:rFonts w:ascii="Titillium" w:hAnsi="Titillium"/>
          <w:bCs/>
          <w:sz w:val="22"/>
          <w:szCs w:val="22"/>
        </w:rPr>
      </w:pPr>
      <w:r w:rsidRPr="00D72AA6">
        <w:rPr>
          <w:rFonts w:ascii="Titillium" w:hAnsi="Titillium"/>
          <w:bCs/>
          <w:sz w:val="22"/>
          <w:szCs w:val="22"/>
        </w:rPr>
        <w:t>Financial Regulations (specifically Bribery Act Policy Statement)</w:t>
      </w:r>
    </w:p>
    <w:p w14:paraId="51FAFEFF" w14:textId="77777777" w:rsidR="0074551F" w:rsidRPr="00D72AA6" w:rsidRDefault="0074551F" w:rsidP="008438C3">
      <w:pPr>
        <w:pStyle w:val="ListParagraph"/>
        <w:numPr>
          <w:ilvl w:val="0"/>
          <w:numId w:val="46"/>
        </w:numPr>
        <w:spacing w:line="259" w:lineRule="auto"/>
        <w:ind w:left="678"/>
        <w:jc w:val="both"/>
        <w:rPr>
          <w:rFonts w:ascii="Titillium" w:hAnsi="Titillium"/>
          <w:bCs/>
          <w:sz w:val="22"/>
          <w:szCs w:val="22"/>
        </w:rPr>
      </w:pPr>
      <w:r w:rsidRPr="00D72AA6">
        <w:rPr>
          <w:rFonts w:ascii="Titillium" w:hAnsi="Titillium"/>
          <w:bCs/>
          <w:sz w:val="22"/>
          <w:szCs w:val="22"/>
        </w:rPr>
        <w:t>Disclosure of Other Interests (currently in development)</w:t>
      </w:r>
    </w:p>
    <w:p w14:paraId="60F4C894" w14:textId="77777777" w:rsidR="0074551F" w:rsidRDefault="0074551F" w:rsidP="00BB38E6">
      <w:pPr>
        <w:rPr>
          <w:rFonts w:ascii="Titillium" w:hAnsi="Titillium"/>
          <w:b/>
          <w:noProof/>
          <w:color w:val="579FBB"/>
          <w:lang w:val="en-US"/>
        </w:rPr>
      </w:pPr>
    </w:p>
    <w:p w14:paraId="5F114017" w14:textId="77777777" w:rsidR="00BB38E6" w:rsidRPr="004B46A6" w:rsidRDefault="00BB38E6" w:rsidP="00BB38E6">
      <w:pPr>
        <w:shd w:val="clear" w:color="auto" w:fill="FFFFFF"/>
        <w:spacing w:before="100" w:beforeAutospacing="1" w:after="180"/>
        <w:jc w:val="both"/>
        <w:rPr>
          <w:rFonts w:ascii="Titillium" w:hAnsi="Titillium"/>
          <w:b/>
          <w:color w:val="67B8E7"/>
          <w:sz w:val="32"/>
          <w:szCs w:val="32"/>
          <w:lang w:eastAsia="en-GB"/>
        </w:rPr>
      </w:pPr>
      <w:r w:rsidRPr="004B46A6">
        <w:rPr>
          <w:rFonts w:ascii="Titillium" w:hAnsi="Titillium"/>
          <w:b/>
          <w:color w:val="67B8E7"/>
          <w:sz w:val="32"/>
          <w:szCs w:val="32"/>
          <w:lang w:eastAsia="en-GB"/>
        </w:rPr>
        <w:t>Document Control</w:t>
      </w:r>
    </w:p>
    <w:tbl>
      <w:tblPr>
        <w:tblStyle w:val="TableGrid21"/>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062"/>
        <w:gridCol w:w="3839"/>
      </w:tblGrid>
      <w:tr w:rsidR="00BB38E6" w:rsidRPr="00BB38E6" w14:paraId="6346A7C3" w14:textId="77777777" w:rsidTr="00C96B07">
        <w:trPr>
          <w:trHeight w:val="80"/>
        </w:trPr>
        <w:tc>
          <w:tcPr>
            <w:tcW w:w="0" w:type="auto"/>
            <w:tcBorders>
              <w:right w:val="single" w:sz="4" w:space="0" w:color="859EA4"/>
            </w:tcBorders>
          </w:tcPr>
          <w:p w14:paraId="33D4A8BE" w14:textId="77777777" w:rsidR="00BB38E6" w:rsidRPr="00BB38E6" w:rsidRDefault="00BB38E6" w:rsidP="00BB38E6">
            <w:pPr>
              <w:rPr>
                <w:rFonts w:ascii="Titillium" w:hAnsi="Titillium"/>
                <w:sz w:val="22"/>
                <w:szCs w:val="22"/>
                <w:lang w:eastAsia="en-GB"/>
              </w:rPr>
            </w:pPr>
            <w:r w:rsidRPr="00BB38E6">
              <w:rPr>
                <w:rFonts w:ascii="Titillium" w:hAnsi="Titillium"/>
                <w:sz w:val="22"/>
                <w:szCs w:val="22"/>
                <w:lang w:eastAsia="en-GB"/>
              </w:rPr>
              <w:t>Author</w:t>
            </w:r>
          </w:p>
          <w:p w14:paraId="005A5A91" w14:textId="77777777" w:rsidR="00BB38E6" w:rsidRPr="00BB38E6" w:rsidRDefault="00BB38E6" w:rsidP="00BB38E6">
            <w:pPr>
              <w:rPr>
                <w:rFonts w:ascii="Titillium" w:hAnsi="Titillium"/>
                <w:sz w:val="22"/>
                <w:szCs w:val="22"/>
                <w:lang w:eastAsia="en-GB"/>
              </w:rPr>
            </w:pPr>
            <w:r w:rsidRPr="00BB38E6">
              <w:rPr>
                <w:rFonts w:ascii="Titillium" w:hAnsi="Titillium"/>
                <w:sz w:val="22"/>
                <w:szCs w:val="22"/>
                <w:lang w:eastAsia="en-GB"/>
              </w:rPr>
              <w:t>Date First Approved</w:t>
            </w:r>
          </w:p>
          <w:p w14:paraId="2551227A" w14:textId="77777777" w:rsidR="00BB38E6" w:rsidRPr="00BB38E6" w:rsidRDefault="00BB38E6" w:rsidP="00BB38E6">
            <w:pPr>
              <w:rPr>
                <w:rFonts w:ascii="Titillium" w:hAnsi="Titillium"/>
                <w:sz w:val="22"/>
                <w:szCs w:val="22"/>
                <w:lang w:eastAsia="en-GB"/>
              </w:rPr>
            </w:pPr>
            <w:r w:rsidRPr="00BB38E6">
              <w:rPr>
                <w:rFonts w:ascii="Titillium" w:hAnsi="Titillium"/>
                <w:sz w:val="22"/>
                <w:szCs w:val="22"/>
                <w:lang w:eastAsia="en-GB"/>
              </w:rPr>
              <w:t>Last Review Date</w:t>
            </w:r>
          </w:p>
          <w:p w14:paraId="34A465D5" w14:textId="77777777" w:rsidR="00BB38E6" w:rsidRPr="00BB38E6" w:rsidRDefault="00BB38E6" w:rsidP="00BB38E6">
            <w:pPr>
              <w:rPr>
                <w:rFonts w:ascii="Titillium" w:hAnsi="Titillium"/>
                <w:sz w:val="22"/>
                <w:szCs w:val="22"/>
                <w:lang w:eastAsia="en-GB"/>
              </w:rPr>
            </w:pPr>
            <w:r w:rsidRPr="00BB38E6">
              <w:rPr>
                <w:rFonts w:ascii="Titillium" w:hAnsi="Titillium"/>
                <w:sz w:val="22"/>
                <w:szCs w:val="22"/>
                <w:lang w:eastAsia="en-GB"/>
              </w:rPr>
              <w:t>Review Frequency</w:t>
            </w:r>
          </w:p>
        </w:tc>
        <w:tc>
          <w:tcPr>
            <w:tcW w:w="0" w:type="auto"/>
            <w:tcBorders>
              <w:top w:val="nil"/>
              <w:left w:val="single" w:sz="4" w:space="0" w:color="859EA4"/>
              <w:bottom w:val="nil"/>
            </w:tcBorders>
          </w:tcPr>
          <w:p w14:paraId="21E3777E" w14:textId="4CA95E75" w:rsidR="00BB38E6" w:rsidRPr="00BB38E6" w:rsidRDefault="004F41AA" w:rsidP="00BB38E6">
            <w:pPr>
              <w:jc w:val="both"/>
              <w:rPr>
                <w:rFonts w:ascii="Titillium" w:hAnsi="Titillium"/>
                <w:noProof/>
                <w:sz w:val="22"/>
                <w:szCs w:val="22"/>
                <w:lang w:val="en-US"/>
              </w:rPr>
            </w:pPr>
            <w:r>
              <w:rPr>
                <w:rFonts w:ascii="Titillium" w:hAnsi="Titillium"/>
                <w:noProof/>
                <w:sz w:val="22"/>
                <w:szCs w:val="22"/>
                <w:lang w:val="en-US"/>
              </w:rPr>
              <w:t>Research, Innovation &amp; Enterprise (RIE)</w:t>
            </w:r>
          </w:p>
          <w:p w14:paraId="2E6BF1D2" w14:textId="2C165894" w:rsidR="00BB38E6" w:rsidRPr="00BB38E6" w:rsidRDefault="007D1630" w:rsidP="00BB38E6">
            <w:pPr>
              <w:jc w:val="both"/>
              <w:rPr>
                <w:rFonts w:ascii="Titillium" w:hAnsi="Titillium"/>
                <w:noProof/>
                <w:sz w:val="22"/>
                <w:szCs w:val="22"/>
                <w:lang w:val="en-US"/>
              </w:rPr>
            </w:pPr>
            <w:r>
              <w:rPr>
                <w:rFonts w:ascii="Titillium" w:hAnsi="Titillium"/>
                <w:noProof/>
                <w:sz w:val="22"/>
                <w:szCs w:val="22"/>
                <w:lang w:val="en-US"/>
              </w:rPr>
              <w:t>01.05.2022</w:t>
            </w:r>
          </w:p>
          <w:p w14:paraId="7E28BEFB" w14:textId="22897CDA" w:rsidR="00BB38E6" w:rsidRPr="00BB38E6" w:rsidRDefault="007D1630" w:rsidP="00BB38E6">
            <w:pPr>
              <w:jc w:val="both"/>
              <w:rPr>
                <w:rFonts w:ascii="Titillium" w:hAnsi="Titillium"/>
                <w:noProof/>
                <w:sz w:val="22"/>
                <w:szCs w:val="22"/>
                <w:lang w:val="en-US"/>
              </w:rPr>
            </w:pPr>
            <w:r>
              <w:rPr>
                <w:rFonts w:ascii="Titillium" w:hAnsi="Titillium"/>
                <w:noProof/>
                <w:sz w:val="22"/>
                <w:szCs w:val="22"/>
                <w:lang w:val="en-US"/>
              </w:rPr>
              <w:t>11.05.2022</w:t>
            </w:r>
          </w:p>
          <w:p w14:paraId="7C339E23" w14:textId="0C9F88EC" w:rsidR="00BB38E6" w:rsidRPr="00BB38E6" w:rsidRDefault="00BB38E6" w:rsidP="00BB38E6">
            <w:pPr>
              <w:jc w:val="both"/>
              <w:rPr>
                <w:rFonts w:ascii="Titillium" w:hAnsi="Titillium"/>
                <w:noProof/>
                <w:sz w:val="22"/>
                <w:szCs w:val="22"/>
                <w:lang w:val="en-US"/>
              </w:rPr>
            </w:pPr>
            <w:r w:rsidRPr="00BB38E6">
              <w:rPr>
                <w:rFonts w:ascii="Titillium" w:hAnsi="Titillium"/>
                <w:noProof/>
                <w:sz w:val="22"/>
                <w:szCs w:val="22"/>
                <w:lang w:val="en-US"/>
              </w:rPr>
              <w:t>2 years</w:t>
            </w:r>
            <w:r w:rsidR="000076FF">
              <w:rPr>
                <w:rFonts w:ascii="Titillium" w:hAnsi="Titillium"/>
                <w:noProof/>
                <w:sz w:val="22"/>
                <w:szCs w:val="22"/>
                <w:lang w:val="en-US"/>
              </w:rPr>
              <w:t xml:space="preserve"> or as appropriate</w:t>
            </w:r>
          </w:p>
        </w:tc>
      </w:tr>
    </w:tbl>
    <w:p w14:paraId="6C456D62" w14:textId="0E7A7AE9" w:rsidR="00642F25" w:rsidRDefault="00472E79" w:rsidP="00472E79">
      <w:pPr>
        <w:shd w:val="clear" w:color="auto" w:fill="FFFFFF"/>
        <w:spacing w:before="100" w:beforeAutospacing="1" w:after="180"/>
        <w:jc w:val="both"/>
        <w:rPr>
          <w:rFonts w:ascii="Titillium" w:hAnsi="Titillium"/>
          <w:b/>
          <w:color w:val="67B8E7"/>
          <w:sz w:val="32"/>
          <w:szCs w:val="32"/>
          <w:lang w:eastAsia="en-GB"/>
        </w:rPr>
      </w:pPr>
      <w:r>
        <w:rPr>
          <w:noProof/>
          <w:lang w:eastAsia="en-GB"/>
        </w:rPr>
        <w:lastRenderedPageBreak/>
        <w:drawing>
          <wp:anchor distT="0" distB="0" distL="114300" distR="114300" simplePos="0" relativeHeight="251658240" behindDoc="1" locked="0" layoutInCell="1" allowOverlap="1" wp14:anchorId="0CB6C1D0" wp14:editId="59DABBD8">
            <wp:simplePos x="0" y="0"/>
            <wp:positionH relativeFrom="column">
              <wp:posOffset>-135890</wp:posOffset>
            </wp:positionH>
            <wp:positionV relativeFrom="paragraph">
              <wp:posOffset>429260</wp:posOffset>
            </wp:positionV>
            <wp:extent cx="6544310" cy="7814310"/>
            <wp:effectExtent l="19050" t="0" r="85090" b="53340"/>
            <wp:wrapTight wrapText="bothSides">
              <wp:wrapPolygon edited="0">
                <wp:start x="-63" y="0"/>
                <wp:lineTo x="-63" y="4213"/>
                <wp:lineTo x="10312" y="4213"/>
                <wp:lineTo x="-63" y="4950"/>
                <wp:lineTo x="-63" y="6740"/>
                <wp:lineTo x="10312" y="6740"/>
                <wp:lineTo x="-63" y="7425"/>
                <wp:lineTo x="-63" y="9215"/>
                <wp:lineTo x="10312" y="9268"/>
                <wp:lineTo x="-63" y="9952"/>
                <wp:lineTo x="-63" y="11690"/>
                <wp:lineTo x="10312" y="11795"/>
                <wp:lineTo x="-63" y="12427"/>
                <wp:lineTo x="-63" y="14217"/>
                <wp:lineTo x="10312" y="14323"/>
                <wp:lineTo x="-63" y="14902"/>
                <wp:lineTo x="-63" y="16692"/>
                <wp:lineTo x="9934" y="16850"/>
                <wp:lineTo x="-63" y="17430"/>
                <wp:lineTo x="-63" y="19167"/>
                <wp:lineTo x="9934" y="19378"/>
                <wp:lineTo x="-63" y="19904"/>
                <wp:lineTo x="-63" y="21695"/>
                <wp:lineTo x="21755" y="21695"/>
                <wp:lineTo x="21818" y="19957"/>
                <wp:lineTo x="20812" y="19852"/>
                <wp:lineTo x="11695" y="19378"/>
                <wp:lineTo x="18989" y="19378"/>
                <wp:lineTo x="21818" y="19167"/>
                <wp:lineTo x="21818" y="17430"/>
                <wp:lineTo x="11695" y="16850"/>
                <wp:lineTo x="21818" y="16692"/>
                <wp:lineTo x="21818" y="14902"/>
                <wp:lineTo x="11318" y="14323"/>
                <wp:lineTo x="21818" y="14217"/>
                <wp:lineTo x="21818" y="12480"/>
                <wp:lineTo x="20309" y="12322"/>
                <wp:lineTo x="11318" y="11795"/>
                <wp:lineTo x="21818" y="11690"/>
                <wp:lineTo x="21818" y="9952"/>
                <wp:lineTo x="11318" y="9268"/>
                <wp:lineTo x="21818" y="9215"/>
                <wp:lineTo x="21818" y="7425"/>
                <wp:lineTo x="11318" y="6740"/>
                <wp:lineTo x="21378" y="6740"/>
                <wp:lineTo x="21818" y="6687"/>
                <wp:lineTo x="21818" y="4950"/>
                <wp:lineTo x="11318" y="4213"/>
                <wp:lineTo x="21378" y="4213"/>
                <wp:lineTo x="21818" y="4160"/>
                <wp:lineTo x="21755" y="0"/>
                <wp:lineTo x="-63" y="0"/>
              </wp:wrapPolygon>
            </wp:wrapTight>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page">
              <wp14:pctWidth>0</wp14:pctWidth>
            </wp14:sizeRelH>
            <wp14:sizeRelV relativeFrom="page">
              <wp14:pctHeight>0</wp14:pctHeight>
            </wp14:sizeRelV>
          </wp:anchor>
        </w:drawing>
      </w:r>
      <w:r w:rsidR="00BB38E6" w:rsidRPr="00C72ED4">
        <w:rPr>
          <w:rFonts w:ascii="Titillium" w:hAnsi="Titillium"/>
          <w:b/>
          <w:color w:val="67B8E7"/>
          <w:sz w:val="32"/>
          <w:szCs w:val="32"/>
          <w:lang w:eastAsia="en-GB"/>
        </w:rPr>
        <w:t xml:space="preserve">Appendix 1 – </w:t>
      </w:r>
      <w:r w:rsidR="004F41AA" w:rsidRPr="00995269">
        <w:rPr>
          <w:rFonts w:ascii="Titillium" w:hAnsi="Titillium"/>
          <w:b/>
          <w:color w:val="67B8E7"/>
          <w:sz w:val="32"/>
          <w:szCs w:val="32"/>
          <w:lang w:eastAsia="en-GB"/>
        </w:rPr>
        <w:t>Process</w:t>
      </w:r>
      <w:r w:rsidR="00642F25">
        <w:rPr>
          <w:rFonts w:ascii="Titillium" w:hAnsi="Titillium"/>
          <w:b/>
          <w:color w:val="67B8E7"/>
          <w:sz w:val="32"/>
          <w:szCs w:val="32"/>
          <w:lang w:eastAsia="en-GB"/>
        </w:rPr>
        <w:br w:type="page"/>
      </w:r>
    </w:p>
    <w:p w14:paraId="265D81EA" w14:textId="77777777" w:rsidR="00B35880" w:rsidRDefault="00A90E7B" w:rsidP="00B35880">
      <w:pPr>
        <w:shd w:val="clear" w:color="auto" w:fill="FFFFFF"/>
        <w:spacing w:before="100" w:beforeAutospacing="1" w:after="180"/>
        <w:jc w:val="both"/>
        <w:rPr>
          <w:rFonts w:ascii="Titillium" w:hAnsi="Titillium"/>
          <w:b/>
          <w:color w:val="67B8E7"/>
          <w:sz w:val="32"/>
          <w:szCs w:val="32"/>
          <w:lang w:eastAsia="en-GB"/>
        </w:rPr>
      </w:pPr>
      <w:r w:rsidRPr="000C4BBD">
        <w:rPr>
          <w:rFonts w:ascii="Titillium" w:hAnsi="Titillium"/>
          <w:b/>
          <w:color w:val="67B8E7"/>
          <w:sz w:val="32"/>
          <w:szCs w:val="32"/>
          <w:lang w:eastAsia="en-GB"/>
        </w:rPr>
        <w:lastRenderedPageBreak/>
        <w:t>Appendix</w:t>
      </w:r>
      <w:r w:rsidR="000C4BBD">
        <w:rPr>
          <w:rFonts w:ascii="Titillium" w:hAnsi="Titillium"/>
          <w:b/>
          <w:color w:val="67B8E7"/>
          <w:sz w:val="32"/>
          <w:szCs w:val="32"/>
          <w:lang w:eastAsia="en-GB"/>
        </w:rPr>
        <w:t xml:space="preserve"> 2 – </w:t>
      </w:r>
      <w:r w:rsidRPr="000C4BBD">
        <w:rPr>
          <w:rFonts w:ascii="Titillium" w:hAnsi="Titillium"/>
          <w:b/>
          <w:color w:val="67B8E7"/>
          <w:sz w:val="32"/>
          <w:szCs w:val="32"/>
          <w:lang w:eastAsia="en-GB"/>
        </w:rPr>
        <w:t xml:space="preserve">Activities Out </w:t>
      </w:r>
      <w:proofErr w:type="gramStart"/>
      <w:r w:rsidRPr="000C4BBD">
        <w:rPr>
          <w:rFonts w:ascii="Titillium" w:hAnsi="Titillium"/>
          <w:b/>
          <w:color w:val="67B8E7"/>
          <w:sz w:val="32"/>
          <w:szCs w:val="32"/>
          <w:lang w:eastAsia="en-GB"/>
        </w:rPr>
        <w:t>With</w:t>
      </w:r>
      <w:proofErr w:type="gramEnd"/>
      <w:r w:rsidRPr="000C4BBD">
        <w:rPr>
          <w:rFonts w:ascii="Titillium" w:hAnsi="Titillium"/>
          <w:b/>
          <w:color w:val="67B8E7"/>
          <w:sz w:val="32"/>
          <w:szCs w:val="32"/>
          <w:lang w:eastAsia="en-GB"/>
        </w:rPr>
        <w:t xml:space="preserve"> Scope of Framework</w:t>
      </w:r>
    </w:p>
    <w:p w14:paraId="1191DFD8" w14:textId="4A152FC9" w:rsidR="00A90E7B" w:rsidRPr="00684744" w:rsidRDefault="00A90E7B" w:rsidP="00684744">
      <w:pPr>
        <w:shd w:val="clear" w:color="auto" w:fill="FFFFFF"/>
        <w:spacing w:before="100" w:beforeAutospacing="1" w:after="180"/>
        <w:jc w:val="both"/>
        <w:rPr>
          <w:rFonts w:ascii="Titillium" w:hAnsi="Titillium"/>
          <w:b/>
          <w:color w:val="67B8E7"/>
          <w:sz w:val="32"/>
          <w:szCs w:val="32"/>
          <w:lang w:eastAsia="en-GB"/>
        </w:rPr>
      </w:pPr>
      <w:r w:rsidRPr="00B35880">
        <w:rPr>
          <w:rFonts w:ascii="Titillium" w:hAnsi="Titillium"/>
          <w:sz w:val="22"/>
          <w:szCs w:val="22"/>
        </w:rPr>
        <w:t>Activities that are out with scope of this Framework</w:t>
      </w:r>
      <w:r w:rsidR="000A4F23" w:rsidRPr="00B35880">
        <w:rPr>
          <w:rFonts w:ascii="Titillium" w:hAnsi="Titillium"/>
          <w:sz w:val="22"/>
          <w:szCs w:val="22"/>
        </w:rPr>
        <w:t xml:space="preserve"> are as follows: </w:t>
      </w:r>
    </w:p>
    <w:p w14:paraId="7986CC6D" w14:textId="2A122E01" w:rsidR="00EC102D" w:rsidRPr="00891E80" w:rsidRDefault="00EC102D" w:rsidP="00891E80">
      <w:pPr>
        <w:pStyle w:val="ListParagraph"/>
        <w:numPr>
          <w:ilvl w:val="0"/>
          <w:numId w:val="45"/>
        </w:numPr>
        <w:rPr>
          <w:rFonts w:ascii="Titillium" w:hAnsi="Titillium"/>
          <w:sz w:val="22"/>
          <w:szCs w:val="22"/>
        </w:rPr>
      </w:pPr>
      <w:r w:rsidRPr="00EC102D">
        <w:rPr>
          <w:rFonts w:ascii="Titillium" w:hAnsi="Titillium"/>
          <w:sz w:val="22"/>
          <w:szCs w:val="22"/>
        </w:rPr>
        <w:t>Teaching and other conventional academic activities including Research</w:t>
      </w:r>
      <w:r w:rsidR="00A95748">
        <w:rPr>
          <w:rFonts w:ascii="Titillium" w:hAnsi="Titillium"/>
          <w:sz w:val="22"/>
          <w:szCs w:val="22"/>
        </w:rPr>
        <w:t xml:space="preserve"> (including contract research)</w:t>
      </w:r>
    </w:p>
    <w:p w14:paraId="088961DE" w14:textId="6C7E3F9E" w:rsidR="00A90E7B" w:rsidRPr="00B35880" w:rsidRDefault="00A90E7B" w:rsidP="00B35880">
      <w:pPr>
        <w:pStyle w:val="ListParagraph"/>
        <w:numPr>
          <w:ilvl w:val="0"/>
          <w:numId w:val="45"/>
        </w:numPr>
        <w:jc w:val="both"/>
        <w:rPr>
          <w:rFonts w:ascii="Titillium" w:hAnsi="Titillium"/>
          <w:sz w:val="22"/>
          <w:szCs w:val="22"/>
        </w:rPr>
      </w:pPr>
      <w:r w:rsidRPr="00B35880">
        <w:rPr>
          <w:rFonts w:ascii="Titillium" w:hAnsi="Titillium"/>
          <w:sz w:val="22"/>
          <w:szCs w:val="22"/>
        </w:rPr>
        <w:t>Teaching and Research Quality Assessment activity including external examining, refereeing papers, publication peer r</w:t>
      </w:r>
      <w:r w:rsidR="005D287D">
        <w:rPr>
          <w:rFonts w:ascii="Titillium" w:hAnsi="Titillium"/>
          <w:sz w:val="22"/>
          <w:szCs w:val="22"/>
        </w:rPr>
        <w:t>eview (</w:t>
      </w:r>
      <w:proofErr w:type="gramStart"/>
      <w:r w:rsidR="005D287D">
        <w:rPr>
          <w:rFonts w:ascii="Titillium" w:hAnsi="Titillium"/>
          <w:sz w:val="22"/>
          <w:szCs w:val="22"/>
        </w:rPr>
        <w:t>e.g.</w:t>
      </w:r>
      <w:proofErr w:type="gramEnd"/>
      <w:r w:rsidR="005D287D">
        <w:rPr>
          <w:rFonts w:ascii="Titillium" w:hAnsi="Titillium"/>
          <w:sz w:val="22"/>
          <w:szCs w:val="22"/>
        </w:rPr>
        <w:t xml:space="preserve"> journals and books)</w:t>
      </w:r>
    </w:p>
    <w:p w14:paraId="197C2FE2" w14:textId="1478C4D3" w:rsidR="00A90E7B" w:rsidRPr="00B35880" w:rsidRDefault="00A90E7B" w:rsidP="00B35880">
      <w:pPr>
        <w:pStyle w:val="ListParagraph"/>
        <w:numPr>
          <w:ilvl w:val="0"/>
          <w:numId w:val="45"/>
        </w:numPr>
        <w:jc w:val="both"/>
        <w:rPr>
          <w:rFonts w:ascii="Titillium" w:hAnsi="Titillium"/>
          <w:sz w:val="22"/>
          <w:szCs w:val="22"/>
        </w:rPr>
      </w:pPr>
      <w:r w:rsidRPr="00B35880">
        <w:rPr>
          <w:rFonts w:ascii="Titillium" w:hAnsi="Titillium"/>
          <w:sz w:val="22"/>
          <w:szCs w:val="22"/>
        </w:rPr>
        <w:t>Authorship or royalties fro</w:t>
      </w:r>
      <w:r w:rsidR="005D287D">
        <w:rPr>
          <w:rFonts w:ascii="Titillium" w:hAnsi="Titillium"/>
          <w:sz w:val="22"/>
          <w:szCs w:val="22"/>
        </w:rPr>
        <w:t>m publication of books</w:t>
      </w:r>
    </w:p>
    <w:p w14:paraId="4C45A759" w14:textId="15B454A7" w:rsidR="00A90E7B" w:rsidRPr="00B35880" w:rsidRDefault="00A90E7B" w:rsidP="00B35880">
      <w:pPr>
        <w:pStyle w:val="ListParagraph"/>
        <w:numPr>
          <w:ilvl w:val="0"/>
          <w:numId w:val="45"/>
        </w:numPr>
        <w:jc w:val="both"/>
        <w:rPr>
          <w:rFonts w:ascii="Titillium" w:hAnsi="Titillium"/>
          <w:sz w:val="22"/>
          <w:szCs w:val="22"/>
        </w:rPr>
      </w:pPr>
      <w:r w:rsidRPr="00B35880">
        <w:rPr>
          <w:rFonts w:ascii="Titillium" w:hAnsi="Titillium"/>
          <w:sz w:val="22"/>
          <w:szCs w:val="22"/>
        </w:rPr>
        <w:t>Conference pres</w:t>
      </w:r>
      <w:r w:rsidR="005D287D">
        <w:rPr>
          <w:rFonts w:ascii="Titillium" w:hAnsi="Titillium"/>
          <w:sz w:val="22"/>
          <w:szCs w:val="22"/>
        </w:rPr>
        <w:t>entations and media appearances</w:t>
      </w:r>
    </w:p>
    <w:p w14:paraId="1C26582E" w14:textId="709ADFDB" w:rsidR="00A90E7B" w:rsidRPr="00B35880" w:rsidRDefault="00A90E7B" w:rsidP="00B35880">
      <w:pPr>
        <w:pStyle w:val="ListParagraph"/>
        <w:numPr>
          <w:ilvl w:val="0"/>
          <w:numId w:val="45"/>
        </w:numPr>
        <w:jc w:val="both"/>
        <w:rPr>
          <w:rFonts w:ascii="Titillium" w:hAnsi="Titillium"/>
          <w:sz w:val="22"/>
          <w:szCs w:val="22"/>
        </w:rPr>
      </w:pPr>
      <w:r w:rsidRPr="00B35880">
        <w:rPr>
          <w:rFonts w:ascii="Titillium" w:hAnsi="Titillium"/>
          <w:sz w:val="22"/>
          <w:szCs w:val="22"/>
        </w:rPr>
        <w:t>Any</w:t>
      </w:r>
      <w:r w:rsidR="005D287D">
        <w:rPr>
          <w:rFonts w:ascii="Titillium" w:hAnsi="Titillium"/>
          <w:sz w:val="22"/>
          <w:szCs w:val="22"/>
        </w:rPr>
        <w:t xml:space="preserve"> credit bearing CPD provisions</w:t>
      </w:r>
    </w:p>
    <w:p w14:paraId="0611AD90" w14:textId="073AAC2F" w:rsidR="00A90E7B" w:rsidRPr="00B35880" w:rsidRDefault="00A90E7B" w:rsidP="00B35880">
      <w:pPr>
        <w:pStyle w:val="ListParagraph"/>
        <w:numPr>
          <w:ilvl w:val="0"/>
          <w:numId w:val="45"/>
        </w:numPr>
        <w:jc w:val="both"/>
        <w:rPr>
          <w:rFonts w:ascii="Titillium" w:hAnsi="Titillium"/>
          <w:sz w:val="22"/>
          <w:szCs w:val="22"/>
        </w:rPr>
      </w:pPr>
      <w:r w:rsidRPr="00B35880">
        <w:rPr>
          <w:rFonts w:ascii="Titillium" w:hAnsi="Titillium"/>
          <w:sz w:val="22"/>
          <w:szCs w:val="22"/>
        </w:rPr>
        <w:t>Open non-credit bearing provisions which req</w:t>
      </w:r>
      <w:r w:rsidR="00891E80">
        <w:rPr>
          <w:rFonts w:ascii="Titillium" w:hAnsi="Titillium"/>
          <w:sz w:val="22"/>
          <w:szCs w:val="22"/>
        </w:rPr>
        <w:t>uire a long marketing lead time</w:t>
      </w:r>
      <w:r w:rsidRPr="00B35880">
        <w:rPr>
          <w:rFonts w:ascii="Titillium" w:hAnsi="Titillium"/>
          <w:sz w:val="22"/>
          <w:szCs w:val="22"/>
        </w:rPr>
        <w:t xml:space="preserve"> and as such should be planned in to </w:t>
      </w:r>
      <w:r w:rsidR="00891E80">
        <w:rPr>
          <w:rFonts w:ascii="Titillium" w:hAnsi="Titillium"/>
          <w:sz w:val="22"/>
          <w:szCs w:val="22"/>
        </w:rPr>
        <w:t xml:space="preserve">the annual </w:t>
      </w:r>
      <w:r w:rsidR="005D287D">
        <w:rPr>
          <w:rFonts w:ascii="Titillium" w:hAnsi="Titillium"/>
          <w:sz w:val="22"/>
          <w:szCs w:val="22"/>
        </w:rPr>
        <w:t>WAM</w:t>
      </w:r>
    </w:p>
    <w:p w14:paraId="6F3C2069" w14:textId="2B1A9344" w:rsidR="00A90E7B" w:rsidRPr="00B35880" w:rsidRDefault="00A90E7B" w:rsidP="00B35880">
      <w:pPr>
        <w:pStyle w:val="ListParagraph"/>
        <w:numPr>
          <w:ilvl w:val="0"/>
          <w:numId w:val="45"/>
        </w:numPr>
        <w:jc w:val="both"/>
        <w:rPr>
          <w:rFonts w:ascii="Titillium" w:hAnsi="Titillium"/>
          <w:sz w:val="22"/>
          <w:szCs w:val="22"/>
        </w:rPr>
      </w:pPr>
      <w:r w:rsidRPr="00B35880">
        <w:rPr>
          <w:rFonts w:ascii="Titillium" w:hAnsi="Titillium"/>
          <w:sz w:val="22"/>
          <w:szCs w:val="22"/>
        </w:rPr>
        <w:t>Professional practice activities (</w:t>
      </w:r>
      <w:proofErr w:type="gramStart"/>
      <w:r w:rsidRPr="00B35880">
        <w:rPr>
          <w:rFonts w:ascii="Titillium" w:hAnsi="Titillium"/>
          <w:sz w:val="22"/>
          <w:szCs w:val="22"/>
        </w:rPr>
        <w:t>e.g.</w:t>
      </w:r>
      <w:proofErr w:type="gramEnd"/>
      <w:r w:rsidRPr="00B35880">
        <w:rPr>
          <w:rFonts w:ascii="Titillium" w:hAnsi="Titillium"/>
          <w:sz w:val="22"/>
          <w:szCs w:val="22"/>
        </w:rPr>
        <w:t xml:space="preserve"> clinical activities of medical academic staff such as nursing or allied h</w:t>
      </w:r>
      <w:r w:rsidR="005D287D">
        <w:rPr>
          <w:rFonts w:ascii="Titillium" w:hAnsi="Titillium"/>
          <w:sz w:val="22"/>
          <w:szCs w:val="22"/>
        </w:rPr>
        <w:t>ealth professional activities)</w:t>
      </w:r>
    </w:p>
    <w:p w14:paraId="69FAFE7A" w14:textId="3EE71005" w:rsidR="00A90E7B" w:rsidRPr="00B35880" w:rsidRDefault="00A90E7B" w:rsidP="00B35880">
      <w:pPr>
        <w:pStyle w:val="ListParagraph"/>
        <w:numPr>
          <w:ilvl w:val="0"/>
          <w:numId w:val="45"/>
        </w:numPr>
        <w:jc w:val="both"/>
        <w:rPr>
          <w:rFonts w:ascii="Titillium" w:hAnsi="Titillium"/>
          <w:sz w:val="22"/>
          <w:szCs w:val="22"/>
        </w:rPr>
      </w:pPr>
      <w:r w:rsidRPr="00B35880">
        <w:rPr>
          <w:rFonts w:ascii="Titillium" w:hAnsi="Titillium"/>
          <w:sz w:val="22"/>
          <w:szCs w:val="22"/>
        </w:rPr>
        <w:t xml:space="preserve">Board </w:t>
      </w:r>
      <w:r w:rsidR="00891E80">
        <w:rPr>
          <w:rFonts w:ascii="Titillium" w:hAnsi="Titillium"/>
          <w:sz w:val="22"/>
          <w:szCs w:val="22"/>
        </w:rPr>
        <w:t xml:space="preserve">and Panel </w:t>
      </w:r>
      <w:r w:rsidR="005D287D">
        <w:rPr>
          <w:rFonts w:ascii="Titillium" w:hAnsi="Titillium"/>
          <w:sz w:val="22"/>
          <w:szCs w:val="22"/>
        </w:rPr>
        <w:t>Membership</w:t>
      </w:r>
    </w:p>
    <w:p w14:paraId="60F2C4F1" w14:textId="0E266661" w:rsidR="000A4F23" w:rsidRPr="00B35880" w:rsidRDefault="000A4F23" w:rsidP="00EC102D">
      <w:pPr>
        <w:pStyle w:val="ListParagraph"/>
        <w:numPr>
          <w:ilvl w:val="0"/>
          <w:numId w:val="45"/>
        </w:numPr>
        <w:jc w:val="both"/>
        <w:rPr>
          <w:rFonts w:ascii="Titillium" w:hAnsi="Titillium"/>
          <w:sz w:val="22"/>
          <w:szCs w:val="22"/>
        </w:rPr>
      </w:pPr>
      <w:r w:rsidRPr="00B35880">
        <w:rPr>
          <w:rFonts w:ascii="Titillium" w:hAnsi="Titillium"/>
          <w:sz w:val="22"/>
          <w:szCs w:val="22"/>
        </w:rPr>
        <w:t>IP and Commercialisation Projects</w:t>
      </w:r>
      <w:r w:rsidR="00EC102D">
        <w:rPr>
          <w:rFonts w:ascii="Titillium" w:hAnsi="Titillium"/>
          <w:sz w:val="22"/>
          <w:szCs w:val="22"/>
        </w:rPr>
        <w:t xml:space="preserve"> </w:t>
      </w:r>
      <w:r w:rsidR="00EC102D" w:rsidRPr="00EC102D">
        <w:rPr>
          <w:rFonts w:ascii="Titillium" w:hAnsi="Titillium"/>
          <w:sz w:val="22"/>
          <w:szCs w:val="22"/>
        </w:rPr>
        <w:t>(</w:t>
      </w:r>
      <w:proofErr w:type="gramStart"/>
      <w:r w:rsidR="00EC102D" w:rsidRPr="00EC102D">
        <w:rPr>
          <w:rFonts w:ascii="Titillium" w:hAnsi="Titillium"/>
          <w:sz w:val="22"/>
          <w:szCs w:val="22"/>
        </w:rPr>
        <w:t>e.g.</w:t>
      </w:r>
      <w:proofErr w:type="gramEnd"/>
      <w:r w:rsidR="00EC102D" w:rsidRPr="00EC102D">
        <w:rPr>
          <w:rFonts w:ascii="Titillium" w:hAnsi="Titillium"/>
          <w:sz w:val="22"/>
          <w:szCs w:val="22"/>
        </w:rPr>
        <w:t xml:space="preserve"> acting as a consultant in any capacity for a commercialisation opportunity that</w:t>
      </w:r>
      <w:r w:rsidR="00041352">
        <w:rPr>
          <w:rFonts w:ascii="Titillium" w:hAnsi="Titillium"/>
          <w:sz w:val="22"/>
          <w:szCs w:val="22"/>
        </w:rPr>
        <w:t xml:space="preserve"> involves exploiting University</w:t>
      </w:r>
      <w:r w:rsidR="00EC102D" w:rsidRPr="00EC102D">
        <w:rPr>
          <w:rFonts w:ascii="Titillium" w:hAnsi="Titillium"/>
          <w:sz w:val="22"/>
          <w:szCs w:val="22"/>
        </w:rPr>
        <w:t>-owned IP such as a spin out or a licensing deal or using University owned IP with the explicit intent to exploit it or as the main basis for the engagement)</w:t>
      </w:r>
    </w:p>
    <w:p w14:paraId="1AFA1394" w14:textId="082FDA0A" w:rsidR="00A90E7B" w:rsidRDefault="00A90E7B" w:rsidP="00B35880">
      <w:pPr>
        <w:pStyle w:val="ListParagraph"/>
        <w:rPr>
          <w:rFonts w:ascii="Titillium" w:hAnsi="Titillium"/>
          <w:sz w:val="22"/>
          <w:szCs w:val="22"/>
        </w:rPr>
      </w:pPr>
    </w:p>
    <w:p w14:paraId="4890D6E3" w14:textId="26BD42FD" w:rsidR="000A4F23" w:rsidRPr="000A4F23" w:rsidRDefault="000A4F23" w:rsidP="00B35880">
      <w:pPr>
        <w:jc w:val="both"/>
        <w:rPr>
          <w:rFonts w:ascii="Titillium" w:hAnsi="Titillium"/>
          <w:sz w:val="22"/>
          <w:szCs w:val="22"/>
        </w:rPr>
      </w:pPr>
      <w:r>
        <w:rPr>
          <w:rFonts w:ascii="Titillium" w:hAnsi="Titillium"/>
          <w:sz w:val="22"/>
          <w:szCs w:val="22"/>
        </w:rPr>
        <w:t xml:space="preserve">These activities are governed by </w:t>
      </w:r>
      <w:r w:rsidRPr="000A4F23">
        <w:rPr>
          <w:rFonts w:ascii="Titillium" w:hAnsi="Titillium"/>
          <w:sz w:val="22"/>
          <w:szCs w:val="22"/>
        </w:rPr>
        <w:t xml:space="preserve">other relevant institutional processes, </w:t>
      </w:r>
      <w:proofErr w:type="gramStart"/>
      <w:r w:rsidRPr="000A4F23">
        <w:rPr>
          <w:rFonts w:ascii="Titillium" w:hAnsi="Titillium"/>
          <w:sz w:val="22"/>
          <w:szCs w:val="22"/>
        </w:rPr>
        <w:t>policies</w:t>
      </w:r>
      <w:proofErr w:type="gramEnd"/>
      <w:r w:rsidRPr="000A4F23">
        <w:rPr>
          <w:rFonts w:ascii="Titillium" w:hAnsi="Titillium"/>
          <w:sz w:val="22"/>
          <w:szCs w:val="22"/>
        </w:rPr>
        <w:t xml:space="preserve"> and staff member’s conditions of employment</w:t>
      </w:r>
      <w:r>
        <w:rPr>
          <w:rFonts w:ascii="Titillium" w:hAnsi="Titillium"/>
          <w:sz w:val="22"/>
          <w:szCs w:val="22"/>
        </w:rPr>
        <w:t>.</w:t>
      </w:r>
      <w:r w:rsidRPr="000A4F23">
        <w:rPr>
          <w:rFonts w:ascii="Titillium" w:hAnsi="Titillium"/>
          <w:sz w:val="22"/>
          <w:szCs w:val="22"/>
        </w:rPr>
        <w:t xml:space="preserve"> </w:t>
      </w:r>
    </w:p>
    <w:p w14:paraId="59F4CF95" w14:textId="208BFD36" w:rsidR="000A4F23" w:rsidRDefault="000A4F23" w:rsidP="00B35880">
      <w:pPr>
        <w:ind w:left="284"/>
        <w:rPr>
          <w:rFonts w:ascii="Titillium" w:hAnsi="Titillium"/>
          <w:sz w:val="22"/>
          <w:szCs w:val="22"/>
        </w:rPr>
      </w:pPr>
    </w:p>
    <w:p w14:paraId="357DB657" w14:textId="77777777" w:rsidR="00041352" w:rsidRPr="000A4F23" w:rsidRDefault="00041352" w:rsidP="00B35880">
      <w:pPr>
        <w:ind w:left="284"/>
        <w:rPr>
          <w:rFonts w:ascii="Titillium" w:hAnsi="Titillium"/>
          <w:sz w:val="22"/>
          <w:szCs w:val="22"/>
        </w:rPr>
      </w:pPr>
    </w:p>
    <w:p w14:paraId="06CDC2C7" w14:textId="6D669ACE" w:rsidR="00A90E7B" w:rsidRPr="00041352" w:rsidRDefault="00A90E7B" w:rsidP="00B35880">
      <w:pPr>
        <w:jc w:val="both"/>
        <w:rPr>
          <w:rFonts w:ascii="Titillium" w:hAnsi="Titillium"/>
          <w:b/>
          <w:sz w:val="22"/>
          <w:szCs w:val="22"/>
        </w:rPr>
      </w:pPr>
      <w:r w:rsidRPr="00041352">
        <w:rPr>
          <w:rFonts w:ascii="Titillium" w:hAnsi="Titillium"/>
          <w:b/>
          <w:sz w:val="22"/>
          <w:szCs w:val="22"/>
        </w:rPr>
        <w:t xml:space="preserve">Please </w:t>
      </w:r>
      <w:proofErr w:type="gramStart"/>
      <w:r w:rsidRPr="00041352">
        <w:rPr>
          <w:rFonts w:ascii="Titillium" w:hAnsi="Titillium"/>
          <w:b/>
          <w:sz w:val="22"/>
          <w:szCs w:val="22"/>
        </w:rPr>
        <w:t>note:</w:t>
      </w:r>
      <w:proofErr w:type="gramEnd"/>
      <w:r w:rsidRPr="00041352">
        <w:rPr>
          <w:rFonts w:ascii="Titillium" w:hAnsi="Titillium"/>
          <w:b/>
          <w:sz w:val="22"/>
          <w:szCs w:val="22"/>
        </w:rPr>
        <w:t xml:space="preserve"> activities which are undertaken by a staff member in a personal capacity and completely independently of the University require approval in accordance with relevant University policies. Staff members should always act in accordance with the institutional contractual Standard Terms of Employment in this </w:t>
      </w:r>
      <w:r w:rsidR="00665AC6" w:rsidRPr="00041352">
        <w:rPr>
          <w:rFonts w:ascii="Titillium" w:hAnsi="Titillium"/>
          <w:b/>
          <w:sz w:val="22"/>
          <w:szCs w:val="22"/>
        </w:rPr>
        <w:t>regard</w:t>
      </w:r>
      <w:r w:rsidRPr="00041352">
        <w:rPr>
          <w:rFonts w:ascii="Titillium" w:hAnsi="Titillium"/>
          <w:b/>
          <w:sz w:val="22"/>
          <w:szCs w:val="22"/>
        </w:rPr>
        <w:t xml:space="preserve">, namely: </w:t>
      </w:r>
    </w:p>
    <w:p w14:paraId="1EB5EDA3" w14:textId="77777777" w:rsidR="00A90E7B" w:rsidRPr="00041352" w:rsidRDefault="00A90E7B" w:rsidP="00B35880">
      <w:pPr>
        <w:pStyle w:val="ListParagraph"/>
        <w:ind w:left="567"/>
        <w:jc w:val="both"/>
        <w:rPr>
          <w:rFonts w:ascii="Titillium" w:hAnsi="Titillium"/>
          <w:b/>
          <w:sz w:val="22"/>
          <w:szCs w:val="22"/>
        </w:rPr>
      </w:pPr>
    </w:p>
    <w:p w14:paraId="446A5989" w14:textId="77777777" w:rsidR="00A90E7B" w:rsidRPr="00041352" w:rsidRDefault="00A90E7B" w:rsidP="00B35880">
      <w:pPr>
        <w:jc w:val="both"/>
        <w:rPr>
          <w:rFonts w:ascii="Titillium" w:hAnsi="Titillium"/>
          <w:b/>
          <w:i/>
          <w:sz w:val="22"/>
          <w:szCs w:val="22"/>
        </w:rPr>
      </w:pPr>
      <w:r w:rsidRPr="00041352">
        <w:rPr>
          <w:rFonts w:ascii="Titillium" w:hAnsi="Titillium"/>
          <w:b/>
          <w:i/>
          <w:sz w:val="22"/>
          <w:szCs w:val="22"/>
        </w:rPr>
        <w:t>External Work (Paid or Unpaid) and Other Appointments: The University recognises and encourages the holding of appropriate external appointments/positions which may be of direct or indirect benefit to the University and/or the individual.</w:t>
      </w:r>
      <w:r w:rsidRPr="00041352">
        <w:rPr>
          <w:rFonts w:ascii="Calibri" w:hAnsi="Calibri" w:cs="Calibri"/>
          <w:b/>
          <w:i/>
          <w:sz w:val="22"/>
          <w:szCs w:val="22"/>
        </w:rPr>
        <w:t> </w:t>
      </w:r>
      <w:r w:rsidRPr="00041352">
        <w:rPr>
          <w:rFonts w:ascii="Titillium" w:hAnsi="Titillium"/>
          <w:b/>
          <w:i/>
          <w:sz w:val="22"/>
          <w:szCs w:val="22"/>
        </w:rPr>
        <w:t xml:space="preserve"> However, it is expected that you will devote your whole working time to the work of the University and its interests.</w:t>
      </w:r>
      <w:r w:rsidRPr="00041352">
        <w:rPr>
          <w:rFonts w:ascii="Calibri" w:hAnsi="Calibri" w:cs="Calibri"/>
          <w:b/>
          <w:i/>
          <w:sz w:val="22"/>
          <w:szCs w:val="22"/>
        </w:rPr>
        <w:t> </w:t>
      </w:r>
      <w:r w:rsidRPr="00041352">
        <w:rPr>
          <w:rFonts w:ascii="Titillium" w:hAnsi="Titillium"/>
          <w:b/>
          <w:i/>
          <w:sz w:val="22"/>
          <w:szCs w:val="22"/>
        </w:rPr>
        <w:t xml:space="preserve"> </w:t>
      </w:r>
      <w:proofErr w:type="gramStart"/>
      <w:r w:rsidRPr="00041352">
        <w:rPr>
          <w:rFonts w:ascii="Titillium" w:hAnsi="Titillium"/>
          <w:b/>
          <w:i/>
          <w:sz w:val="22"/>
          <w:szCs w:val="22"/>
        </w:rPr>
        <w:t>So</w:t>
      </w:r>
      <w:proofErr w:type="gramEnd"/>
      <w:r w:rsidRPr="00041352">
        <w:rPr>
          <w:rFonts w:ascii="Titillium" w:hAnsi="Titillium"/>
          <w:b/>
          <w:i/>
          <w:sz w:val="22"/>
          <w:szCs w:val="22"/>
        </w:rPr>
        <w:t xml:space="preserve"> you should always notify your Dean of School of any such appointments which will be permitted where:</w:t>
      </w:r>
    </w:p>
    <w:p w14:paraId="3EF9B602" w14:textId="77777777" w:rsidR="00A90E7B" w:rsidRPr="00041352" w:rsidRDefault="00A90E7B" w:rsidP="00B35880">
      <w:pPr>
        <w:pStyle w:val="ListParagraph"/>
        <w:ind w:left="567"/>
        <w:jc w:val="both"/>
        <w:rPr>
          <w:rFonts w:ascii="Titillium" w:hAnsi="Titillium"/>
          <w:b/>
          <w:i/>
          <w:sz w:val="22"/>
          <w:szCs w:val="22"/>
        </w:rPr>
      </w:pPr>
    </w:p>
    <w:p w14:paraId="0CC85162" w14:textId="77777777" w:rsidR="00A90E7B" w:rsidRPr="00041352" w:rsidRDefault="00A90E7B" w:rsidP="00B35880">
      <w:pPr>
        <w:pStyle w:val="ListParagraph"/>
        <w:numPr>
          <w:ilvl w:val="0"/>
          <w:numId w:val="42"/>
        </w:numPr>
        <w:jc w:val="both"/>
        <w:rPr>
          <w:rFonts w:ascii="Titillium" w:hAnsi="Titillium"/>
          <w:b/>
          <w:i/>
          <w:sz w:val="22"/>
          <w:szCs w:val="22"/>
        </w:rPr>
      </w:pPr>
      <w:r w:rsidRPr="00041352">
        <w:rPr>
          <w:rFonts w:ascii="Titillium" w:hAnsi="Titillium"/>
          <w:b/>
          <w:i/>
          <w:sz w:val="22"/>
          <w:szCs w:val="22"/>
        </w:rPr>
        <w:t>there is no conflict of interest;</w:t>
      </w:r>
      <w:r w:rsidRPr="00041352">
        <w:rPr>
          <w:rFonts w:ascii="Calibri" w:hAnsi="Calibri" w:cs="Calibri"/>
          <w:b/>
          <w:i/>
          <w:sz w:val="22"/>
          <w:szCs w:val="22"/>
        </w:rPr>
        <w:t> </w:t>
      </w:r>
      <w:r w:rsidRPr="00041352">
        <w:rPr>
          <w:rFonts w:ascii="Titillium" w:hAnsi="Titillium"/>
          <w:b/>
          <w:i/>
          <w:sz w:val="22"/>
          <w:szCs w:val="22"/>
        </w:rPr>
        <w:t xml:space="preserve"> and </w:t>
      </w:r>
    </w:p>
    <w:p w14:paraId="7BE6CA3B" w14:textId="77777777" w:rsidR="00A90E7B" w:rsidRPr="00041352" w:rsidRDefault="00A90E7B" w:rsidP="00B35880">
      <w:pPr>
        <w:pStyle w:val="ListParagraph"/>
        <w:numPr>
          <w:ilvl w:val="0"/>
          <w:numId w:val="42"/>
        </w:numPr>
        <w:jc w:val="both"/>
        <w:rPr>
          <w:rFonts w:ascii="Titillium" w:hAnsi="Titillium"/>
          <w:b/>
          <w:i/>
          <w:sz w:val="22"/>
          <w:szCs w:val="22"/>
        </w:rPr>
      </w:pPr>
      <w:r w:rsidRPr="00041352">
        <w:rPr>
          <w:rFonts w:ascii="Titillium" w:hAnsi="Titillium"/>
          <w:b/>
          <w:i/>
          <w:sz w:val="22"/>
          <w:szCs w:val="22"/>
        </w:rPr>
        <w:t>the activity does not interfere with the proper performance of your duties</w:t>
      </w:r>
    </w:p>
    <w:p w14:paraId="5FE92B06" w14:textId="77777777" w:rsidR="00A90E7B" w:rsidRPr="00A90E7B" w:rsidRDefault="00A90E7B" w:rsidP="00B35880">
      <w:pPr>
        <w:jc w:val="both"/>
        <w:rPr>
          <w:rFonts w:ascii="Titillium" w:hAnsi="Titillium"/>
          <w:sz w:val="22"/>
          <w:szCs w:val="22"/>
        </w:rPr>
      </w:pPr>
    </w:p>
    <w:p w14:paraId="71E4B4CB" w14:textId="7D5A8BCB" w:rsidR="0010749E" w:rsidRPr="00A90E7B" w:rsidRDefault="0010749E" w:rsidP="00A90E7B">
      <w:pPr>
        <w:spacing w:line="259" w:lineRule="auto"/>
        <w:jc w:val="both"/>
        <w:rPr>
          <w:rFonts w:ascii="Titillium" w:hAnsi="Titillium"/>
          <w:bCs/>
          <w:sz w:val="22"/>
          <w:szCs w:val="22"/>
        </w:rPr>
      </w:pPr>
    </w:p>
    <w:sectPr w:rsidR="0010749E" w:rsidRPr="00A90E7B" w:rsidSect="00E23202">
      <w:headerReference w:type="even" r:id="rId15"/>
      <w:headerReference w:type="default" r:id="rId16"/>
      <w:footerReference w:type="even" r:id="rId17"/>
      <w:footerReference w:type="default" r:id="rId18"/>
      <w:headerReference w:type="first" r:id="rId19"/>
      <w:type w:val="continuous"/>
      <w:pgSz w:w="11900" w:h="16820"/>
      <w:pgMar w:top="1985" w:right="1134" w:bottom="1701" w:left="1134" w:header="1247" w:footer="624" w:gutter="0"/>
      <w:pgNumType w:start="0"/>
      <w:cols w:sep="1"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723FF" w14:textId="77777777" w:rsidR="006242A3" w:rsidRDefault="006242A3" w:rsidP="00EC31D5">
      <w:r>
        <w:separator/>
      </w:r>
    </w:p>
  </w:endnote>
  <w:endnote w:type="continuationSeparator" w:id="0">
    <w:p w14:paraId="17479073" w14:textId="77777777" w:rsidR="006242A3" w:rsidRDefault="006242A3" w:rsidP="00EC31D5">
      <w:r>
        <w:continuationSeparator/>
      </w:r>
    </w:p>
  </w:endnote>
  <w:endnote w:type="continuationNotice" w:id="1">
    <w:p w14:paraId="73692CDA" w14:textId="77777777" w:rsidR="006242A3" w:rsidRDefault="006242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tillium">
    <w:panose1 w:val="00000500000000000000"/>
    <w:charset w:val="00"/>
    <w:family w:val="modern"/>
    <w:notTrueType/>
    <w:pitch w:val="variable"/>
    <w:sig w:usb0="00000007"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Helvetica 45 Light">
    <w:altName w:val="Arial"/>
    <w:charset w:val="00"/>
    <w:family w:val="swiss"/>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Titillium-Semibold">
    <w:altName w:val="Calibri"/>
    <w:panose1 w:val="00000000000000000000"/>
    <w:charset w:val="4D"/>
    <w:family w:val="auto"/>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26395625"/>
      <w:docPartObj>
        <w:docPartGallery w:val="Page Numbers (Bottom of Page)"/>
        <w:docPartUnique/>
      </w:docPartObj>
    </w:sdtPr>
    <w:sdtEndPr>
      <w:rPr>
        <w:rStyle w:val="PageNumber"/>
      </w:rPr>
    </w:sdtEndPr>
    <w:sdtContent>
      <w:p w14:paraId="3509FDE5" w14:textId="3F1FD786" w:rsidR="00736D6F" w:rsidRDefault="00736D6F" w:rsidP="00AC590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311B462" w14:textId="77777777" w:rsidR="00736D6F" w:rsidRDefault="00736D6F" w:rsidP="00064B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859EA4"/>
      </w:rPr>
      <w:id w:val="753006551"/>
      <w:docPartObj>
        <w:docPartGallery w:val="Page Numbers (Bottom of Page)"/>
        <w:docPartUnique/>
      </w:docPartObj>
    </w:sdtPr>
    <w:sdtEndPr>
      <w:rPr>
        <w:rStyle w:val="PageNumber"/>
        <w:rFonts w:ascii="Titillium" w:hAnsi="Titillium"/>
        <w:sz w:val="21"/>
        <w:szCs w:val="21"/>
      </w:rPr>
    </w:sdtEndPr>
    <w:sdtContent>
      <w:p w14:paraId="06998160" w14:textId="5F575E2F" w:rsidR="00736D6F" w:rsidRPr="00064BDC" w:rsidRDefault="00736D6F" w:rsidP="00064BDC">
        <w:pPr>
          <w:pStyle w:val="Footer"/>
          <w:framePr w:wrap="none" w:vAnchor="text" w:hAnchor="page" w:x="10647" w:y="7"/>
          <w:rPr>
            <w:rStyle w:val="PageNumber"/>
            <w:rFonts w:ascii="Titillium" w:hAnsi="Titillium"/>
            <w:color w:val="859EA4"/>
            <w:sz w:val="21"/>
            <w:szCs w:val="21"/>
          </w:rPr>
        </w:pPr>
        <w:r w:rsidRPr="00064BDC">
          <w:rPr>
            <w:rStyle w:val="PageNumber"/>
            <w:rFonts w:ascii="Titillium" w:hAnsi="Titillium"/>
            <w:color w:val="859EA4"/>
            <w:sz w:val="21"/>
            <w:szCs w:val="21"/>
          </w:rPr>
          <w:fldChar w:fldCharType="begin"/>
        </w:r>
        <w:r w:rsidRPr="00064BDC">
          <w:rPr>
            <w:rStyle w:val="PageNumber"/>
            <w:rFonts w:ascii="Titillium" w:hAnsi="Titillium"/>
            <w:color w:val="859EA4"/>
            <w:sz w:val="21"/>
            <w:szCs w:val="21"/>
          </w:rPr>
          <w:instrText xml:space="preserve"> PAGE </w:instrText>
        </w:r>
        <w:r w:rsidRPr="00064BDC">
          <w:rPr>
            <w:rStyle w:val="PageNumber"/>
            <w:rFonts w:ascii="Titillium" w:hAnsi="Titillium"/>
            <w:color w:val="859EA4"/>
            <w:sz w:val="21"/>
            <w:szCs w:val="21"/>
          </w:rPr>
          <w:fldChar w:fldCharType="separate"/>
        </w:r>
        <w:r w:rsidR="005D287D">
          <w:rPr>
            <w:rStyle w:val="PageNumber"/>
            <w:rFonts w:ascii="Titillium" w:hAnsi="Titillium"/>
            <w:noProof/>
            <w:color w:val="859EA4"/>
            <w:sz w:val="21"/>
            <w:szCs w:val="21"/>
          </w:rPr>
          <w:t>6</w:t>
        </w:r>
        <w:r w:rsidRPr="00064BDC">
          <w:rPr>
            <w:rStyle w:val="PageNumber"/>
            <w:rFonts w:ascii="Titillium" w:hAnsi="Titillium"/>
            <w:color w:val="859EA4"/>
            <w:sz w:val="21"/>
            <w:szCs w:val="21"/>
          </w:rPr>
          <w:fldChar w:fldCharType="end"/>
        </w:r>
      </w:p>
    </w:sdtContent>
  </w:sdt>
  <w:p w14:paraId="102BF2DC" w14:textId="589EB1AC" w:rsidR="00736D6F" w:rsidRPr="00582850" w:rsidRDefault="00736D6F" w:rsidP="00064BDC">
    <w:pPr>
      <w:pStyle w:val="Footer"/>
      <w:ind w:right="360"/>
      <w:jc w:val="center"/>
      <w:rPr>
        <w:rFonts w:ascii="Titillium" w:hAnsi="Titillium"/>
        <w:caps/>
        <w:noProof/>
        <w:sz w:val="22"/>
        <w:szCs w:val="22"/>
      </w:rPr>
    </w:pPr>
    <w:r>
      <w:rPr>
        <w:rFonts w:ascii="Titillium" w:hAnsi="Titillium"/>
        <w:caps/>
        <w:noProof/>
        <w:sz w:val="22"/>
        <w:szCs w:val="22"/>
        <w:lang w:eastAsia="en-GB"/>
      </w:rPr>
      <mc:AlternateContent>
        <mc:Choice Requires="wps">
          <w:drawing>
            <wp:anchor distT="0" distB="0" distL="114300" distR="114300" simplePos="0" relativeHeight="251664384" behindDoc="0" locked="0" layoutInCell="1" allowOverlap="1" wp14:anchorId="5B12F710" wp14:editId="1E893F4B">
              <wp:simplePos x="0" y="0"/>
              <wp:positionH relativeFrom="column">
                <wp:posOffset>-339725</wp:posOffset>
              </wp:positionH>
              <wp:positionV relativeFrom="paragraph">
                <wp:posOffset>-45199</wp:posOffset>
              </wp:positionV>
              <wp:extent cx="2958957" cy="349321"/>
              <wp:effectExtent l="0" t="0" r="0" b="0"/>
              <wp:wrapNone/>
              <wp:docPr id="16" name="Text Box 16"/>
              <wp:cNvGraphicFramePr/>
              <a:graphic xmlns:a="http://schemas.openxmlformats.org/drawingml/2006/main">
                <a:graphicData uri="http://schemas.microsoft.com/office/word/2010/wordprocessingShape">
                  <wps:wsp>
                    <wps:cNvSpPr txBox="1"/>
                    <wps:spPr>
                      <a:xfrm>
                        <a:off x="0" y="0"/>
                        <a:ext cx="2958957" cy="349321"/>
                      </a:xfrm>
                      <a:prstGeom prst="rect">
                        <a:avLst/>
                      </a:prstGeom>
                      <a:noFill/>
                      <a:ln w="6350">
                        <a:noFill/>
                      </a:ln>
                    </wps:spPr>
                    <wps:txbx>
                      <w:txbxContent>
                        <w:p w14:paraId="131E7096" w14:textId="0812B9F7" w:rsidR="00736D6F" w:rsidRPr="00064BDC" w:rsidRDefault="00736D6F">
                          <w:pPr>
                            <w:rPr>
                              <w:color w:val="859EA4"/>
                            </w:rPr>
                          </w:pPr>
                          <w:r>
                            <w:rPr>
                              <w:rFonts w:ascii="Titillium" w:hAnsi="Titillium"/>
                              <w:b/>
                              <w:bCs/>
                              <w:i/>
                              <w:iCs/>
                              <w:color w:val="859EA4"/>
                              <w:sz w:val="21"/>
                              <w:szCs w:val="21"/>
                            </w:rPr>
                            <w:t>Consultancy and Commercial Activity Framework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B12F710" id="_x0000_t202" coordsize="21600,21600" o:spt="202" path="m,l,21600r21600,l21600,xe">
              <v:stroke joinstyle="miter"/>
              <v:path gradientshapeok="t" o:connecttype="rect"/>
            </v:shapetype>
            <v:shape id="Text Box 16" o:spid="_x0000_s1026" type="#_x0000_t202" style="position:absolute;left:0;text-align:left;margin-left:-26.75pt;margin-top:-3.55pt;width:233pt;height:2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KuFwIAACwEAAAOAAAAZHJzL2Uyb0RvYy54bWysU9tuGyEQfa/Uf0C81+trEq+8jtxEripF&#10;SSSnyjNmwbsSMBSwd92v78CuL0r7VPUFBmaYyzmHxX2rFTkI52swBR0NhpQIw6Gsza6gP97WX+4o&#10;8YGZkikwoqBH4en98vOnRWNzMYYKVCkcwSTG540taBWCzbPM80po5gdghUGnBKdZwKPbZaVjDWbX&#10;KhsPhzdZA660DrjwHm8fOyddpvxSCh5epPQiEFVQ7C2k1aV1G9dsuWD5zjFb1bxvg/1DF5rVBoue&#10;Uz2ywMje1X+k0jV34EGGAQedgZQ1F2kGnGY0/DDNpmJWpFkQHG/PMPn/l5Y/Hzb21ZHQfoUWCYyA&#10;NNbnHi/jPK10Ou7YKUE/Qng8wybaQDhejuezu/nslhKOvsl0PhmnNNnltXU+fBOgSTQK6pCWhBY7&#10;PPmAFTH0FBKLGVjXSiVqlCFNQW8ms2F6cPbgC2Xw4aXXaIV22/YDbKE84lwOOsq95esaiz8xH16Z&#10;Q45xFNRteMFFKsAi0FuUVOB+/e0+xiP06KWkQc0U1P/cMycoUd8NkjIfTadRZOkwnd2O8eCuPdtr&#10;j9nrB0BZjvCHWJ7MGB/UyZQO9DvKexWroosZjrULGk7mQ+iUjN+Di9UqBaGsLAtPZmN5TB3hjNC+&#10;te/M2R7/gMw9w0ldLP9AQxfbEbHaB5B14igC3KHa446STNT13ydq/vqcoi6ffPkbAAD//wMAUEsD&#10;BBQABgAIAAAAIQAyM4t74QAAAAkBAAAPAAAAZHJzL2Rvd25yZXYueG1sTI9BT8MwDIXvSPyHyEjc&#10;trSFslGaTlOlCQmxw8Yu3NwmaysapzTZVvj1mBPcnv2enj/nq8n24mxG3zlSEM8jEIZqpztqFBze&#10;NrMlCB+QNPaOjIIv42FVXF/lmGl3oZ0570MjuIR8hgraEIZMSl+3xqKfu8EQe0c3Wgw8jo3UI164&#10;3PYyiaIHabEjvtDiYMrW1B/7k1XwUm62uKsSu/zuy+fX43r4PLynSt3eTOsnEMFM4S8Mv/iMDgUz&#10;Ve5E2otewSy9SznKYhGD4MB9nPCiYrF4BFnk8v8HxQ8AAAD//wMAUEsBAi0AFAAGAAgAAAAhALaD&#10;OJL+AAAA4QEAABMAAAAAAAAAAAAAAAAAAAAAAFtDb250ZW50X1R5cGVzXS54bWxQSwECLQAUAAYA&#10;CAAAACEAOP0h/9YAAACUAQAACwAAAAAAAAAAAAAAAAAvAQAAX3JlbHMvLnJlbHNQSwECLQAUAAYA&#10;CAAAACEAIcfirhcCAAAsBAAADgAAAAAAAAAAAAAAAAAuAgAAZHJzL2Uyb0RvYy54bWxQSwECLQAU&#10;AAYACAAAACEAMjOLe+EAAAAJAQAADwAAAAAAAAAAAAAAAABxBAAAZHJzL2Rvd25yZXYueG1sUEsF&#10;BgAAAAAEAAQA8wAAAH8FAAAAAA==&#10;" filled="f" stroked="f" strokeweight=".5pt">
              <v:textbox>
                <w:txbxContent>
                  <w:p w14:paraId="131E7096" w14:textId="0812B9F7" w:rsidR="00736D6F" w:rsidRPr="00064BDC" w:rsidRDefault="00736D6F">
                    <w:pPr>
                      <w:rPr>
                        <w:color w:val="859EA4"/>
                      </w:rPr>
                    </w:pPr>
                    <w:r>
                      <w:rPr>
                        <w:rFonts w:ascii="Titillium" w:hAnsi="Titillium"/>
                        <w:b/>
                        <w:bCs/>
                        <w:i/>
                        <w:iCs/>
                        <w:color w:val="859EA4"/>
                        <w:sz w:val="21"/>
                        <w:szCs w:val="21"/>
                      </w:rPr>
                      <w:t>Consultancy and Commercial Activity Framework</w:t>
                    </w:r>
                  </w:p>
                </w:txbxContent>
              </v:textbox>
            </v:shape>
          </w:pict>
        </mc:Fallback>
      </mc:AlternateContent>
    </w:r>
  </w:p>
  <w:p w14:paraId="2F969384" w14:textId="77777777" w:rsidR="00736D6F" w:rsidRDefault="00736D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8140C" w14:textId="77777777" w:rsidR="006242A3" w:rsidRDefault="006242A3" w:rsidP="00EC31D5">
      <w:r>
        <w:separator/>
      </w:r>
    </w:p>
  </w:footnote>
  <w:footnote w:type="continuationSeparator" w:id="0">
    <w:p w14:paraId="6C34F282" w14:textId="77777777" w:rsidR="006242A3" w:rsidRDefault="006242A3" w:rsidP="00EC31D5">
      <w:r>
        <w:continuationSeparator/>
      </w:r>
    </w:p>
  </w:footnote>
  <w:footnote w:type="continuationNotice" w:id="1">
    <w:p w14:paraId="5E296F97" w14:textId="77777777" w:rsidR="006242A3" w:rsidRDefault="006242A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C16B1" w14:textId="77777777" w:rsidR="00736D6F" w:rsidRDefault="006531DC">
    <w:pPr>
      <w:pStyle w:val="Header"/>
    </w:pPr>
    <w:sdt>
      <w:sdtPr>
        <w:id w:val="196288142"/>
        <w:placeholder>
          <w:docPart w:val="3F2B03ACD5DCCB409DA6B025703A710A"/>
        </w:placeholder>
        <w:temporary/>
        <w:showingPlcHdr/>
      </w:sdtPr>
      <w:sdtEndPr/>
      <w:sdtContent>
        <w:r w:rsidR="00736D6F">
          <w:t>[Type text]</w:t>
        </w:r>
      </w:sdtContent>
    </w:sdt>
    <w:r w:rsidR="00736D6F">
      <w:ptab w:relativeTo="margin" w:alignment="center" w:leader="none"/>
    </w:r>
    <w:sdt>
      <w:sdtPr>
        <w:id w:val="1926532305"/>
        <w:placeholder>
          <w:docPart w:val="CFACCB42C3B3404CAA11B9BB648C050E"/>
        </w:placeholder>
        <w:temporary/>
        <w:showingPlcHdr/>
      </w:sdtPr>
      <w:sdtEndPr/>
      <w:sdtContent>
        <w:r w:rsidR="00736D6F">
          <w:t>[Type text]</w:t>
        </w:r>
      </w:sdtContent>
    </w:sdt>
    <w:r w:rsidR="00736D6F">
      <w:ptab w:relativeTo="margin" w:alignment="right" w:leader="none"/>
    </w:r>
    <w:sdt>
      <w:sdtPr>
        <w:id w:val="-1643106329"/>
        <w:placeholder>
          <w:docPart w:val="EAB493A49408F545AC98EEFF5D8D7889"/>
        </w:placeholder>
        <w:temporary/>
        <w:showingPlcHdr/>
      </w:sdtPr>
      <w:sdtEndPr/>
      <w:sdtContent>
        <w:r w:rsidR="00736D6F">
          <w:t>[Type text]</w:t>
        </w:r>
      </w:sdtContent>
    </w:sdt>
  </w:p>
  <w:p w14:paraId="3C7F53CD" w14:textId="77777777" w:rsidR="00736D6F" w:rsidRDefault="00736D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3CA18" w14:textId="1FE53BF7" w:rsidR="00736D6F" w:rsidRPr="00640328" w:rsidRDefault="00736D6F" w:rsidP="00640328">
    <w:pPr>
      <w:pStyle w:val="Header"/>
      <w:rPr>
        <w:rFonts w:ascii="Titillium" w:hAnsi="Titillium"/>
        <w:color w:val="FFFFFF" w:themeColor="background1"/>
        <w:sz w:val="40"/>
        <w:szCs w:val="40"/>
      </w:rPr>
    </w:pPr>
    <w:r>
      <w:rPr>
        <w:rFonts w:ascii="Titillium" w:hAnsi="Titillium"/>
        <w:noProof/>
        <w:color w:val="FFFFFF" w:themeColor="background1"/>
        <w:sz w:val="40"/>
        <w:szCs w:val="40"/>
        <w:lang w:eastAsia="en-GB"/>
      </w:rPr>
      <w:drawing>
        <wp:anchor distT="0" distB="0" distL="114300" distR="114300" simplePos="0" relativeHeight="251663360" behindDoc="1" locked="0" layoutInCell="1" allowOverlap="1" wp14:anchorId="5FE62397" wp14:editId="7670C8F1">
          <wp:simplePos x="0" y="0"/>
          <wp:positionH relativeFrom="column">
            <wp:posOffset>-720091</wp:posOffset>
          </wp:positionH>
          <wp:positionV relativeFrom="paragraph">
            <wp:posOffset>-781571</wp:posOffset>
          </wp:positionV>
          <wp:extent cx="7564539" cy="750014"/>
          <wp:effectExtent l="0" t="0" r="508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stretch>
                    <a:fillRect/>
                  </a:stretch>
                </pic:blipFill>
                <pic:spPr>
                  <a:xfrm>
                    <a:off x="0" y="0"/>
                    <a:ext cx="7564539" cy="750014"/>
                  </a:xfrm>
                  <a:prstGeom prst="rect">
                    <a:avLst/>
                  </a:prstGeom>
                </pic:spPr>
              </pic:pic>
            </a:graphicData>
          </a:graphic>
          <wp14:sizeRelH relativeFrom="page">
            <wp14:pctWidth>0</wp14:pctWidth>
          </wp14:sizeRelH>
          <wp14:sizeRelV relativeFrom="page">
            <wp14:pctHeight>0</wp14:pctHeight>
          </wp14:sizeRelV>
        </wp:anchor>
      </w:drawing>
    </w:r>
    <w:r w:rsidRPr="00054539">
      <w:rPr>
        <w:noProof/>
        <w:lang w:eastAsia="en-GB"/>
      </w:rPr>
      <w:t xml:space="preserve"> </w:t>
    </w:r>
  </w:p>
  <w:p w14:paraId="66FF6D09" w14:textId="345B5830" w:rsidR="00736D6F" w:rsidRDefault="00736D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0E8CF" w14:textId="02D1020F" w:rsidR="00736D6F" w:rsidRDefault="00736D6F" w:rsidP="00D85313">
    <w:pPr>
      <w:pStyle w:val="Header"/>
      <w:jc w:val="right"/>
    </w:pPr>
    <w:r>
      <w:rPr>
        <w:noProof/>
        <w:lang w:eastAsia="en-GB"/>
      </w:rPr>
      <mc:AlternateContent>
        <mc:Choice Requires="wps">
          <w:drawing>
            <wp:anchor distT="0" distB="0" distL="114300" distR="114300" simplePos="0" relativeHeight="251662336" behindDoc="0" locked="0" layoutInCell="1" allowOverlap="1" wp14:anchorId="19A7B975" wp14:editId="7FEBAC70">
              <wp:simplePos x="0" y="0"/>
              <wp:positionH relativeFrom="margin">
                <wp:align>center</wp:align>
              </wp:positionH>
              <wp:positionV relativeFrom="paragraph">
                <wp:posOffset>170180</wp:posOffset>
              </wp:positionV>
              <wp:extent cx="6657975" cy="472612"/>
              <wp:effectExtent l="0" t="0" r="0" b="3810"/>
              <wp:wrapNone/>
              <wp:docPr id="12" name="Text Box 12"/>
              <wp:cNvGraphicFramePr/>
              <a:graphic xmlns:a="http://schemas.openxmlformats.org/drawingml/2006/main">
                <a:graphicData uri="http://schemas.microsoft.com/office/word/2010/wordprocessingShape">
                  <wps:wsp>
                    <wps:cNvSpPr txBox="1"/>
                    <wps:spPr>
                      <a:xfrm>
                        <a:off x="0" y="0"/>
                        <a:ext cx="6657975" cy="472612"/>
                      </a:xfrm>
                      <a:prstGeom prst="rect">
                        <a:avLst/>
                      </a:prstGeom>
                      <a:noFill/>
                      <a:ln w="6350">
                        <a:noFill/>
                      </a:ln>
                    </wps:spPr>
                    <wps:txbx>
                      <w:txbxContent>
                        <w:p w14:paraId="447728FC" w14:textId="7BC2319F" w:rsidR="00736D6F" w:rsidRPr="00AB0FB5" w:rsidRDefault="00736D6F" w:rsidP="00910461">
                          <w:pPr>
                            <w:jc w:val="center"/>
                            <w:rPr>
                              <w:rFonts w:ascii="Titillium" w:hAnsi="Titillium"/>
                              <w:b/>
                              <w:bCs/>
                              <w:sz w:val="40"/>
                              <w:szCs w:val="40"/>
                            </w:rPr>
                          </w:pPr>
                          <w:r>
                            <w:rPr>
                              <w:rFonts w:ascii="Titillium" w:hAnsi="Titillium"/>
                              <w:b/>
                              <w:bCs/>
                              <w:sz w:val="40"/>
                              <w:szCs w:val="40"/>
                            </w:rPr>
                            <w:t>Consultancy and Commercial Activity Framework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A7B975" id="_x0000_t202" coordsize="21600,21600" o:spt="202" path="m,l,21600r21600,l21600,xe">
              <v:stroke joinstyle="miter"/>
              <v:path gradientshapeok="t" o:connecttype="rect"/>
            </v:shapetype>
            <v:shape id="Text Box 12" o:spid="_x0000_s1027" type="#_x0000_t202" style="position:absolute;left:0;text-align:left;margin-left:0;margin-top:13.4pt;width:524.25pt;height:37.2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XGQIAADMEAAAOAAAAZHJzL2Uyb0RvYy54bWysU8lu2zAQvRfoPxC815JdL41gOXATuChg&#10;JAGcImeaIi0CFIclaUvu13dIeUPaU9ELNcMZzfLe4/y+azQ5COcVmJIOBzklwnColNmV9Mfr6tMX&#10;SnxgpmIajCjpUXh6v/j4Yd7aQoygBl0JR7CI8UVrS1qHYIss87wWDfMDsMJgUIJrWEDX7bLKsRar&#10;Nzob5fk0a8FV1gEX3uPtYx+ki1RfSsHDs5ReBKJLirOFdLp0buOZLeas2Dlma8VPY7B/mKJhymDT&#10;S6lHFhjZO/VHqUZxBx5kGHBoMpBScZF2wG2G+bttNjWzIu2C4Hh7gcn/v7L86bCxL46E7it0SGAE&#10;pLW+8HgZ9+mka+IXJyUYRwiPF9hEFwjHy+l0MrubTSjhGBvPRtPhKJbJrn9b58M3AQ2JRkkd0pLQ&#10;Yoe1D33qOSU2M7BSWidqtCEtdvg8ydMPlwgW1wZ7XGeNVui2HVHVzR5bqI64noOeeW/5SuEMa+bD&#10;C3NINW6E8g3PeEgN2AtOFiU1uF9/u4/5yABGKWlROiX1P/fMCUr0d4Pc3A3H46i15IwnsxE67jay&#10;vY2YffMAqM4hPhTLkxnzgz6b0kHzhipfxq4YYoZj75KGs/kQekHjK+FiuUxJqC7LwtpsLI+lI6oR&#10;4dfujTl7oiEggU9wFhkr3rHR5/Z8LPcBpEpURZx7VE/wozIT2adXFKV/66es61tf/AYAAP//AwBQ&#10;SwMEFAAGAAgAAAAhAPxXY5HeAAAACAEAAA8AAABkcnMvZG93bnJldi54bWxMj0FLw0AQhe+C/2EZ&#10;wZvdNNgSYjalBIogemjtxdskO02Cu7Mxu22jv97NSW9veMN73ys2kzXiQqPvHStYLhIQxI3TPbcK&#10;ju+7hwyED8gajWNS8E0eNuXtTYG5dlfe0+UQWhFD2OeooAthyKX0TUcW/cINxNE7udFiiOfYSj3i&#10;NYZbI9MkWUuLPceGDgeqOmo+D2er4KXaveG+Tm32Y6rn19N2+Dp+rJS6v5u2TyACTeHvGWb8iA5l&#10;ZKrdmbUXRkEcEhSk68g/u8ljtgJRz2qZgiwL+X9A+QsAAP//AwBQSwECLQAUAAYACAAAACEAtoM4&#10;kv4AAADhAQAAEwAAAAAAAAAAAAAAAAAAAAAAW0NvbnRlbnRfVHlwZXNdLnhtbFBLAQItABQABgAI&#10;AAAAIQA4/SH/1gAAAJQBAAALAAAAAAAAAAAAAAAAAC8BAABfcmVscy8ucmVsc1BLAQItABQABgAI&#10;AAAAIQC++qoXGQIAADMEAAAOAAAAAAAAAAAAAAAAAC4CAABkcnMvZTJvRG9jLnhtbFBLAQItABQA&#10;BgAIAAAAIQD8V2OR3gAAAAgBAAAPAAAAAAAAAAAAAAAAAHMEAABkcnMvZG93bnJldi54bWxQSwUG&#10;AAAAAAQABADzAAAAfgUAAAAA&#10;" filled="f" stroked="f" strokeweight=".5pt">
              <v:textbox>
                <w:txbxContent>
                  <w:p w14:paraId="447728FC" w14:textId="7BC2319F" w:rsidR="00736D6F" w:rsidRPr="00AB0FB5" w:rsidRDefault="00736D6F" w:rsidP="00910461">
                    <w:pPr>
                      <w:jc w:val="center"/>
                      <w:rPr>
                        <w:rFonts w:ascii="Titillium" w:hAnsi="Titillium"/>
                        <w:b/>
                        <w:bCs/>
                        <w:sz w:val="40"/>
                        <w:szCs w:val="40"/>
                      </w:rPr>
                    </w:pPr>
                    <w:r>
                      <w:rPr>
                        <w:rFonts w:ascii="Titillium" w:hAnsi="Titillium"/>
                        <w:b/>
                        <w:bCs/>
                        <w:sz w:val="40"/>
                        <w:szCs w:val="40"/>
                      </w:rPr>
                      <w:t>Consultancy and Commercial Activity Framework</w:t>
                    </w:r>
                  </w:p>
                </w:txbxContent>
              </v:textbox>
              <w10:wrap anchorx="margin"/>
            </v:shape>
          </w:pict>
        </mc:Fallback>
      </mc:AlternateContent>
    </w:r>
    <w:r>
      <w:rPr>
        <w:noProof/>
        <w:lang w:eastAsia="en-GB"/>
      </w:rPr>
      <w:drawing>
        <wp:anchor distT="0" distB="0" distL="114300" distR="114300" simplePos="0" relativeHeight="251665408" behindDoc="1" locked="0" layoutInCell="1" allowOverlap="1" wp14:anchorId="5CFDAA4A" wp14:editId="4F6AC628">
          <wp:simplePos x="0" y="0"/>
          <wp:positionH relativeFrom="column">
            <wp:posOffset>-710565</wp:posOffset>
          </wp:positionH>
          <wp:positionV relativeFrom="paragraph">
            <wp:posOffset>-791845</wp:posOffset>
          </wp:positionV>
          <wp:extent cx="7566246" cy="1533525"/>
          <wp:effectExtent l="0" t="0" r="0" b="0"/>
          <wp:wrapNone/>
          <wp:docPr id="15" name="Picture 15"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1"/>
                  <a:stretch>
                    <a:fillRect/>
                  </a:stretch>
                </pic:blipFill>
                <pic:spPr>
                  <a:xfrm>
                    <a:off x="0" y="0"/>
                    <a:ext cx="7568898" cy="153406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5" type="#_x0000_t75" style="width:500.55pt;height:500.55pt" o:bullet="t">
        <v:imagedata r:id="rId1" o:title="Tick-01"/>
      </v:shape>
    </w:pict>
  </w:numPicBullet>
  <w:abstractNum w:abstractNumId="0" w15:restartNumberingAfterBreak="0">
    <w:nsid w:val="00DA5944"/>
    <w:multiLevelType w:val="hybridMultilevel"/>
    <w:tmpl w:val="83E67476"/>
    <w:lvl w:ilvl="0" w:tplc="31363C20">
      <w:start w:val="1"/>
      <w:numFmt w:val="bullet"/>
      <w:lvlText w:val=""/>
      <w:lvlPicBulletId w:val="0"/>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 w15:restartNumberingAfterBreak="0">
    <w:nsid w:val="015C5627"/>
    <w:multiLevelType w:val="hybridMultilevel"/>
    <w:tmpl w:val="BDD65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274B65"/>
    <w:multiLevelType w:val="hybridMultilevel"/>
    <w:tmpl w:val="40765D90"/>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4F3A39"/>
    <w:multiLevelType w:val="hybridMultilevel"/>
    <w:tmpl w:val="35F67F18"/>
    <w:lvl w:ilvl="0" w:tplc="50A05B08">
      <w:start w:val="1"/>
      <w:numFmt w:val="decimal"/>
      <w:lvlText w:val="%1."/>
      <w:lvlJc w:val="left"/>
      <w:pPr>
        <w:ind w:left="720" w:hanging="360"/>
      </w:pPr>
      <w:rPr>
        <w:rFonts w:cs="Arial" w:hint="default"/>
        <w:b/>
        <w:color w:val="67B8E7"/>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EF792B"/>
    <w:multiLevelType w:val="hybridMultilevel"/>
    <w:tmpl w:val="3D2C0D80"/>
    <w:lvl w:ilvl="0" w:tplc="31363C20">
      <w:start w:val="1"/>
      <w:numFmt w:val="bullet"/>
      <w:lvlText w:val=""/>
      <w:lvlPicBulletId w:val="0"/>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11C27AE5"/>
    <w:multiLevelType w:val="hybridMultilevel"/>
    <w:tmpl w:val="0B32FAA0"/>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5743F8"/>
    <w:multiLevelType w:val="hybridMultilevel"/>
    <w:tmpl w:val="94109C7A"/>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4C39BD"/>
    <w:multiLevelType w:val="hybridMultilevel"/>
    <w:tmpl w:val="53E8811A"/>
    <w:lvl w:ilvl="0" w:tplc="3740214E">
      <w:start w:val="1"/>
      <w:numFmt w:val="decimal"/>
      <w:lvlText w:val="%1."/>
      <w:lvlJc w:val="left"/>
      <w:pPr>
        <w:ind w:left="678" w:hanging="360"/>
      </w:pPr>
      <w:rPr>
        <w:rFonts w:ascii="Titillium" w:hAnsi="Titillium" w:hint="default"/>
        <w:color w:val="auto"/>
      </w:rPr>
    </w:lvl>
    <w:lvl w:ilvl="1" w:tplc="08090019" w:tentative="1">
      <w:start w:val="1"/>
      <w:numFmt w:val="lowerLetter"/>
      <w:lvlText w:val="%2."/>
      <w:lvlJc w:val="left"/>
      <w:pPr>
        <w:ind w:left="1398" w:hanging="360"/>
      </w:pPr>
    </w:lvl>
    <w:lvl w:ilvl="2" w:tplc="0809001B" w:tentative="1">
      <w:start w:val="1"/>
      <w:numFmt w:val="lowerRoman"/>
      <w:lvlText w:val="%3."/>
      <w:lvlJc w:val="right"/>
      <w:pPr>
        <w:ind w:left="2118" w:hanging="180"/>
      </w:pPr>
    </w:lvl>
    <w:lvl w:ilvl="3" w:tplc="0809000F" w:tentative="1">
      <w:start w:val="1"/>
      <w:numFmt w:val="decimal"/>
      <w:lvlText w:val="%4."/>
      <w:lvlJc w:val="left"/>
      <w:pPr>
        <w:ind w:left="2838" w:hanging="360"/>
      </w:pPr>
    </w:lvl>
    <w:lvl w:ilvl="4" w:tplc="08090019" w:tentative="1">
      <w:start w:val="1"/>
      <w:numFmt w:val="lowerLetter"/>
      <w:lvlText w:val="%5."/>
      <w:lvlJc w:val="left"/>
      <w:pPr>
        <w:ind w:left="3558" w:hanging="360"/>
      </w:pPr>
    </w:lvl>
    <w:lvl w:ilvl="5" w:tplc="0809001B" w:tentative="1">
      <w:start w:val="1"/>
      <w:numFmt w:val="lowerRoman"/>
      <w:lvlText w:val="%6."/>
      <w:lvlJc w:val="right"/>
      <w:pPr>
        <w:ind w:left="4278" w:hanging="180"/>
      </w:pPr>
    </w:lvl>
    <w:lvl w:ilvl="6" w:tplc="0809000F" w:tentative="1">
      <w:start w:val="1"/>
      <w:numFmt w:val="decimal"/>
      <w:lvlText w:val="%7."/>
      <w:lvlJc w:val="left"/>
      <w:pPr>
        <w:ind w:left="4998" w:hanging="360"/>
      </w:pPr>
    </w:lvl>
    <w:lvl w:ilvl="7" w:tplc="08090019" w:tentative="1">
      <w:start w:val="1"/>
      <w:numFmt w:val="lowerLetter"/>
      <w:lvlText w:val="%8."/>
      <w:lvlJc w:val="left"/>
      <w:pPr>
        <w:ind w:left="5718" w:hanging="360"/>
      </w:pPr>
    </w:lvl>
    <w:lvl w:ilvl="8" w:tplc="0809001B" w:tentative="1">
      <w:start w:val="1"/>
      <w:numFmt w:val="lowerRoman"/>
      <w:lvlText w:val="%9."/>
      <w:lvlJc w:val="right"/>
      <w:pPr>
        <w:ind w:left="6438" w:hanging="180"/>
      </w:pPr>
    </w:lvl>
  </w:abstractNum>
  <w:abstractNum w:abstractNumId="8" w15:restartNumberingAfterBreak="0">
    <w:nsid w:val="257710BF"/>
    <w:multiLevelType w:val="hybridMultilevel"/>
    <w:tmpl w:val="59D4A5DA"/>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5705A9"/>
    <w:multiLevelType w:val="hybridMultilevel"/>
    <w:tmpl w:val="F03A659E"/>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2913C9"/>
    <w:multiLevelType w:val="hybridMultilevel"/>
    <w:tmpl w:val="5E8218A8"/>
    <w:lvl w:ilvl="0" w:tplc="15441DE6">
      <w:start w:val="1"/>
      <w:numFmt w:val="lowerLetter"/>
      <w:lvlText w:val="(%1)"/>
      <w:lvlJc w:val="left"/>
      <w:pPr>
        <w:ind w:left="987" w:hanging="4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15:restartNumberingAfterBreak="0">
    <w:nsid w:val="28F44FEE"/>
    <w:multiLevelType w:val="hybridMultilevel"/>
    <w:tmpl w:val="02F8676A"/>
    <w:lvl w:ilvl="0" w:tplc="31363C20">
      <w:start w:val="1"/>
      <w:numFmt w:val="bullet"/>
      <w:lvlText w:val=""/>
      <w:lvlPicBulletId w:val="0"/>
      <w:lvlJc w:val="left"/>
      <w:pPr>
        <w:ind w:left="1570" w:hanging="360"/>
      </w:pPr>
      <w:rPr>
        <w:rFonts w:ascii="Symbol" w:hAnsi="Symbol" w:hint="default"/>
      </w:rPr>
    </w:lvl>
    <w:lvl w:ilvl="1" w:tplc="08090003" w:tentative="1">
      <w:start w:val="1"/>
      <w:numFmt w:val="bullet"/>
      <w:lvlText w:val="o"/>
      <w:lvlJc w:val="left"/>
      <w:pPr>
        <w:ind w:left="2290" w:hanging="360"/>
      </w:pPr>
      <w:rPr>
        <w:rFonts w:ascii="Courier New" w:hAnsi="Courier New" w:cs="Courier New" w:hint="default"/>
      </w:rPr>
    </w:lvl>
    <w:lvl w:ilvl="2" w:tplc="08090005" w:tentative="1">
      <w:start w:val="1"/>
      <w:numFmt w:val="bullet"/>
      <w:lvlText w:val=""/>
      <w:lvlJc w:val="left"/>
      <w:pPr>
        <w:ind w:left="3010" w:hanging="360"/>
      </w:pPr>
      <w:rPr>
        <w:rFonts w:ascii="Wingdings" w:hAnsi="Wingdings" w:hint="default"/>
      </w:rPr>
    </w:lvl>
    <w:lvl w:ilvl="3" w:tplc="08090001" w:tentative="1">
      <w:start w:val="1"/>
      <w:numFmt w:val="bullet"/>
      <w:lvlText w:val=""/>
      <w:lvlJc w:val="left"/>
      <w:pPr>
        <w:ind w:left="3730" w:hanging="360"/>
      </w:pPr>
      <w:rPr>
        <w:rFonts w:ascii="Symbol" w:hAnsi="Symbol" w:hint="default"/>
      </w:rPr>
    </w:lvl>
    <w:lvl w:ilvl="4" w:tplc="08090003" w:tentative="1">
      <w:start w:val="1"/>
      <w:numFmt w:val="bullet"/>
      <w:lvlText w:val="o"/>
      <w:lvlJc w:val="left"/>
      <w:pPr>
        <w:ind w:left="4450" w:hanging="360"/>
      </w:pPr>
      <w:rPr>
        <w:rFonts w:ascii="Courier New" w:hAnsi="Courier New" w:cs="Courier New" w:hint="default"/>
      </w:rPr>
    </w:lvl>
    <w:lvl w:ilvl="5" w:tplc="08090005" w:tentative="1">
      <w:start w:val="1"/>
      <w:numFmt w:val="bullet"/>
      <w:lvlText w:val=""/>
      <w:lvlJc w:val="left"/>
      <w:pPr>
        <w:ind w:left="5170" w:hanging="360"/>
      </w:pPr>
      <w:rPr>
        <w:rFonts w:ascii="Wingdings" w:hAnsi="Wingdings" w:hint="default"/>
      </w:rPr>
    </w:lvl>
    <w:lvl w:ilvl="6" w:tplc="08090001" w:tentative="1">
      <w:start w:val="1"/>
      <w:numFmt w:val="bullet"/>
      <w:lvlText w:val=""/>
      <w:lvlJc w:val="left"/>
      <w:pPr>
        <w:ind w:left="5890" w:hanging="360"/>
      </w:pPr>
      <w:rPr>
        <w:rFonts w:ascii="Symbol" w:hAnsi="Symbol" w:hint="default"/>
      </w:rPr>
    </w:lvl>
    <w:lvl w:ilvl="7" w:tplc="08090003" w:tentative="1">
      <w:start w:val="1"/>
      <w:numFmt w:val="bullet"/>
      <w:lvlText w:val="o"/>
      <w:lvlJc w:val="left"/>
      <w:pPr>
        <w:ind w:left="6610" w:hanging="360"/>
      </w:pPr>
      <w:rPr>
        <w:rFonts w:ascii="Courier New" w:hAnsi="Courier New" w:cs="Courier New" w:hint="default"/>
      </w:rPr>
    </w:lvl>
    <w:lvl w:ilvl="8" w:tplc="08090005" w:tentative="1">
      <w:start w:val="1"/>
      <w:numFmt w:val="bullet"/>
      <w:lvlText w:val=""/>
      <w:lvlJc w:val="left"/>
      <w:pPr>
        <w:ind w:left="7330" w:hanging="360"/>
      </w:pPr>
      <w:rPr>
        <w:rFonts w:ascii="Wingdings" w:hAnsi="Wingdings" w:hint="default"/>
      </w:rPr>
    </w:lvl>
  </w:abstractNum>
  <w:abstractNum w:abstractNumId="12" w15:restartNumberingAfterBreak="0">
    <w:nsid w:val="2BC72CA4"/>
    <w:multiLevelType w:val="hybridMultilevel"/>
    <w:tmpl w:val="A3C2CB5A"/>
    <w:lvl w:ilvl="0" w:tplc="C76ABA8A">
      <w:start w:val="1"/>
      <w:numFmt w:val="bullet"/>
      <w:lvlText w:val=""/>
      <w:lvlPicBulletId w:val="0"/>
      <w:lvlJc w:val="left"/>
      <w:pPr>
        <w:ind w:left="393" w:hanging="360"/>
      </w:pPr>
      <w:rPr>
        <w:rFonts w:ascii="Symbol" w:hAnsi="Symbol" w:hint="default"/>
        <w:color w:val="EE7249"/>
      </w:rPr>
    </w:lvl>
    <w:lvl w:ilvl="1" w:tplc="08090003" w:tentative="1">
      <w:start w:val="1"/>
      <w:numFmt w:val="bullet"/>
      <w:lvlText w:val="o"/>
      <w:lvlJc w:val="left"/>
      <w:pPr>
        <w:ind w:left="829" w:hanging="360"/>
      </w:pPr>
      <w:rPr>
        <w:rFonts w:ascii="Courier New" w:hAnsi="Courier New" w:cs="Courier New" w:hint="default"/>
      </w:rPr>
    </w:lvl>
    <w:lvl w:ilvl="2" w:tplc="08090005" w:tentative="1">
      <w:start w:val="1"/>
      <w:numFmt w:val="bullet"/>
      <w:lvlText w:val=""/>
      <w:lvlJc w:val="left"/>
      <w:pPr>
        <w:ind w:left="1549" w:hanging="360"/>
      </w:pPr>
      <w:rPr>
        <w:rFonts w:ascii="Wingdings" w:hAnsi="Wingdings" w:hint="default"/>
      </w:rPr>
    </w:lvl>
    <w:lvl w:ilvl="3" w:tplc="08090001" w:tentative="1">
      <w:start w:val="1"/>
      <w:numFmt w:val="bullet"/>
      <w:lvlText w:val=""/>
      <w:lvlJc w:val="left"/>
      <w:pPr>
        <w:ind w:left="2269" w:hanging="360"/>
      </w:pPr>
      <w:rPr>
        <w:rFonts w:ascii="Symbol" w:hAnsi="Symbol" w:hint="default"/>
      </w:rPr>
    </w:lvl>
    <w:lvl w:ilvl="4" w:tplc="08090003" w:tentative="1">
      <w:start w:val="1"/>
      <w:numFmt w:val="bullet"/>
      <w:lvlText w:val="o"/>
      <w:lvlJc w:val="left"/>
      <w:pPr>
        <w:ind w:left="2989" w:hanging="360"/>
      </w:pPr>
      <w:rPr>
        <w:rFonts w:ascii="Courier New" w:hAnsi="Courier New" w:cs="Courier New" w:hint="default"/>
      </w:rPr>
    </w:lvl>
    <w:lvl w:ilvl="5" w:tplc="08090005" w:tentative="1">
      <w:start w:val="1"/>
      <w:numFmt w:val="bullet"/>
      <w:lvlText w:val=""/>
      <w:lvlJc w:val="left"/>
      <w:pPr>
        <w:ind w:left="3709" w:hanging="360"/>
      </w:pPr>
      <w:rPr>
        <w:rFonts w:ascii="Wingdings" w:hAnsi="Wingdings" w:hint="default"/>
      </w:rPr>
    </w:lvl>
    <w:lvl w:ilvl="6" w:tplc="08090001" w:tentative="1">
      <w:start w:val="1"/>
      <w:numFmt w:val="bullet"/>
      <w:lvlText w:val=""/>
      <w:lvlJc w:val="left"/>
      <w:pPr>
        <w:ind w:left="4429" w:hanging="360"/>
      </w:pPr>
      <w:rPr>
        <w:rFonts w:ascii="Symbol" w:hAnsi="Symbol" w:hint="default"/>
      </w:rPr>
    </w:lvl>
    <w:lvl w:ilvl="7" w:tplc="08090003" w:tentative="1">
      <w:start w:val="1"/>
      <w:numFmt w:val="bullet"/>
      <w:lvlText w:val="o"/>
      <w:lvlJc w:val="left"/>
      <w:pPr>
        <w:ind w:left="5149" w:hanging="360"/>
      </w:pPr>
      <w:rPr>
        <w:rFonts w:ascii="Courier New" w:hAnsi="Courier New" w:cs="Courier New" w:hint="default"/>
      </w:rPr>
    </w:lvl>
    <w:lvl w:ilvl="8" w:tplc="08090005" w:tentative="1">
      <w:start w:val="1"/>
      <w:numFmt w:val="bullet"/>
      <w:lvlText w:val=""/>
      <w:lvlJc w:val="left"/>
      <w:pPr>
        <w:ind w:left="5869" w:hanging="360"/>
      </w:pPr>
      <w:rPr>
        <w:rFonts w:ascii="Wingdings" w:hAnsi="Wingdings" w:hint="default"/>
      </w:rPr>
    </w:lvl>
  </w:abstractNum>
  <w:abstractNum w:abstractNumId="13" w15:restartNumberingAfterBreak="0">
    <w:nsid w:val="2D375EC8"/>
    <w:multiLevelType w:val="hybridMultilevel"/>
    <w:tmpl w:val="C5109BCE"/>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1A0C41"/>
    <w:multiLevelType w:val="hybridMultilevel"/>
    <w:tmpl w:val="7EFE6DCC"/>
    <w:lvl w:ilvl="0" w:tplc="31363C20">
      <w:start w:val="1"/>
      <w:numFmt w:val="bullet"/>
      <w:lvlText w:val=""/>
      <w:lvlPicBulletId w:val="0"/>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312937"/>
    <w:multiLevelType w:val="hybridMultilevel"/>
    <w:tmpl w:val="D7E4D09C"/>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4A5C24"/>
    <w:multiLevelType w:val="hybridMultilevel"/>
    <w:tmpl w:val="271CC7DE"/>
    <w:lvl w:ilvl="0" w:tplc="31363C20">
      <w:start w:val="1"/>
      <w:numFmt w:val="bullet"/>
      <w:lvlText w:val=""/>
      <w:lvlPicBulletId w:val="0"/>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8A14371"/>
    <w:multiLevelType w:val="hybridMultilevel"/>
    <w:tmpl w:val="2F38D618"/>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417530"/>
    <w:multiLevelType w:val="hybridMultilevel"/>
    <w:tmpl w:val="E592A5CA"/>
    <w:lvl w:ilvl="0" w:tplc="31363C20">
      <w:start w:val="1"/>
      <w:numFmt w:val="bullet"/>
      <w:lvlText w:val=""/>
      <w:lvlPicBulletId w:val="0"/>
      <w:lvlJc w:val="left"/>
      <w:pPr>
        <w:tabs>
          <w:tab w:val="num" w:pos="720"/>
        </w:tabs>
        <w:ind w:left="720" w:hanging="360"/>
      </w:pPr>
      <w:rPr>
        <w:rFonts w:ascii="Symbol" w:hAnsi="Symbol" w:hint="default"/>
      </w:rPr>
    </w:lvl>
    <w:lvl w:ilvl="1" w:tplc="7A08FF06" w:tentative="1">
      <w:start w:val="1"/>
      <w:numFmt w:val="bullet"/>
      <w:lvlText w:val="-"/>
      <w:lvlJc w:val="left"/>
      <w:pPr>
        <w:tabs>
          <w:tab w:val="num" w:pos="1440"/>
        </w:tabs>
        <w:ind w:left="1440" w:hanging="360"/>
      </w:pPr>
      <w:rPr>
        <w:rFonts w:ascii="Times New Roman" w:hAnsi="Times New Roman" w:hint="default"/>
      </w:rPr>
    </w:lvl>
    <w:lvl w:ilvl="2" w:tplc="416AF29C" w:tentative="1">
      <w:start w:val="1"/>
      <w:numFmt w:val="bullet"/>
      <w:lvlText w:val="-"/>
      <w:lvlJc w:val="left"/>
      <w:pPr>
        <w:tabs>
          <w:tab w:val="num" w:pos="2160"/>
        </w:tabs>
        <w:ind w:left="2160" w:hanging="360"/>
      </w:pPr>
      <w:rPr>
        <w:rFonts w:ascii="Times New Roman" w:hAnsi="Times New Roman" w:hint="default"/>
      </w:rPr>
    </w:lvl>
    <w:lvl w:ilvl="3" w:tplc="D4265884" w:tentative="1">
      <w:start w:val="1"/>
      <w:numFmt w:val="bullet"/>
      <w:lvlText w:val="-"/>
      <w:lvlJc w:val="left"/>
      <w:pPr>
        <w:tabs>
          <w:tab w:val="num" w:pos="2880"/>
        </w:tabs>
        <w:ind w:left="2880" w:hanging="360"/>
      </w:pPr>
      <w:rPr>
        <w:rFonts w:ascii="Times New Roman" w:hAnsi="Times New Roman" w:hint="default"/>
      </w:rPr>
    </w:lvl>
    <w:lvl w:ilvl="4" w:tplc="53D8F280" w:tentative="1">
      <w:start w:val="1"/>
      <w:numFmt w:val="bullet"/>
      <w:lvlText w:val="-"/>
      <w:lvlJc w:val="left"/>
      <w:pPr>
        <w:tabs>
          <w:tab w:val="num" w:pos="3600"/>
        </w:tabs>
        <w:ind w:left="3600" w:hanging="360"/>
      </w:pPr>
      <w:rPr>
        <w:rFonts w:ascii="Times New Roman" w:hAnsi="Times New Roman" w:hint="default"/>
      </w:rPr>
    </w:lvl>
    <w:lvl w:ilvl="5" w:tplc="BC2C8764" w:tentative="1">
      <w:start w:val="1"/>
      <w:numFmt w:val="bullet"/>
      <w:lvlText w:val="-"/>
      <w:lvlJc w:val="left"/>
      <w:pPr>
        <w:tabs>
          <w:tab w:val="num" w:pos="4320"/>
        </w:tabs>
        <w:ind w:left="4320" w:hanging="360"/>
      </w:pPr>
      <w:rPr>
        <w:rFonts w:ascii="Times New Roman" w:hAnsi="Times New Roman" w:hint="default"/>
      </w:rPr>
    </w:lvl>
    <w:lvl w:ilvl="6" w:tplc="AC40A6E4" w:tentative="1">
      <w:start w:val="1"/>
      <w:numFmt w:val="bullet"/>
      <w:lvlText w:val="-"/>
      <w:lvlJc w:val="left"/>
      <w:pPr>
        <w:tabs>
          <w:tab w:val="num" w:pos="5040"/>
        </w:tabs>
        <w:ind w:left="5040" w:hanging="360"/>
      </w:pPr>
      <w:rPr>
        <w:rFonts w:ascii="Times New Roman" w:hAnsi="Times New Roman" w:hint="default"/>
      </w:rPr>
    </w:lvl>
    <w:lvl w:ilvl="7" w:tplc="19923580" w:tentative="1">
      <w:start w:val="1"/>
      <w:numFmt w:val="bullet"/>
      <w:lvlText w:val="-"/>
      <w:lvlJc w:val="left"/>
      <w:pPr>
        <w:tabs>
          <w:tab w:val="num" w:pos="5760"/>
        </w:tabs>
        <w:ind w:left="5760" w:hanging="360"/>
      </w:pPr>
      <w:rPr>
        <w:rFonts w:ascii="Times New Roman" w:hAnsi="Times New Roman" w:hint="default"/>
      </w:rPr>
    </w:lvl>
    <w:lvl w:ilvl="8" w:tplc="C772EB98"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403B5EEF"/>
    <w:multiLevelType w:val="hybridMultilevel"/>
    <w:tmpl w:val="65F4BC9E"/>
    <w:lvl w:ilvl="0" w:tplc="15441DE6">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19F3FF8"/>
    <w:multiLevelType w:val="hybridMultilevel"/>
    <w:tmpl w:val="E75A1430"/>
    <w:lvl w:ilvl="0" w:tplc="F9469C12">
      <w:start w:val="1"/>
      <w:numFmt w:val="bullet"/>
      <w:lvlText w:val=""/>
      <w:lvlPicBulletId w:val="0"/>
      <w:lvlJc w:val="left"/>
      <w:pPr>
        <w:ind w:left="754" w:hanging="360"/>
      </w:pPr>
      <w:rPr>
        <w:rFonts w:ascii="Symbol" w:hAnsi="Symbol" w:hint="default"/>
        <w:color w:val="EE7249"/>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1" w15:restartNumberingAfterBreak="0">
    <w:nsid w:val="42225B59"/>
    <w:multiLevelType w:val="hybridMultilevel"/>
    <w:tmpl w:val="818405FC"/>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2718EC"/>
    <w:multiLevelType w:val="hybridMultilevel"/>
    <w:tmpl w:val="5C62B8EC"/>
    <w:lvl w:ilvl="0" w:tplc="31363C20">
      <w:start w:val="1"/>
      <w:numFmt w:val="bullet"/>
      <w:lvlText w:val=""/>
      <w:lvlPicBulletId w:val="0"/>
      <w:lvlJc w:val="left"/>
      <w:pPr>
        <w:ind w:left="92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15:restartNumberingAfterBreak="0">
    <w:nsid w:val="44B76B3A"/>
    <w:multiLevelType w:val="hybridMultilevel"/>
    <w:tmpl w:val="A706022E"/>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C30C35"/>
    <w:multiLevelType w:val="hybridMultilevel"/>
    <w:tmpl w:val="E3944E90"/>
    <w:lvl w:ilvl="0" w:tplc="31363C20">
      <w:start w:val="1"/>
      <w:numFmt w:val="bullet"/>
      <w:lvlText w:val=""/>
      <w:lvlPicBulletId w:val="0"/>
      <w:lvlJc w:val="left"/>
      <w:pPr>
        <w:ind w:left="1184" w:hanging="360"/>
      </w:pPr>
      <w:rPr>
        <w:rFonts w:ascii="Symbol" w:hAnsi="Symbol" w:hint="default"/>
      </w:rPr>
    </w:lvl>
    <w:lvl w:ilvl="1" w:tplc="08090003" w:tentative="1">
      <w:start w:val="1"/>
      <w:numFmt w:val="bullet"/>
      <w:lvlText w:val="o"/>
      <w:lvlJc w:val="left"/>
      <w:pPr>
        <w:ind w:left="1904" w:hanging="360"/>
      </w:pPr>
      <w:rPr>
        <w:rFonts w:ascii="Courier New" w:hAnsi="Courier New" w:cs="Courier New" w:hint="default"/>
      </w:rPr>
    </w:lvl>
    <w:lvl w:ilvl="2" w:tplc="08090005" w:tentative="1">
      <w:start w:val="1"/>
      <w:numFmt w:val="bullet"/>
      <w:lvlText w:val=""/>
      <w:lvlJc w:val="left"/>
      <w:pPr>
        <w:ind w:left="2624" w:hanging="360"/>
      </w:pPr>
      <w:rPr>
        <w:rFonts w:ascii="Wingdings" w:hAnsi="Wingdings" w:hint="default"/>
      </w:rPr>
    </w:lvl>
    <w:lvl w:ilvl="3" w:tplc="08090001" w:tentative="1">
      <w:start w:val="1"/>
      <w:numFmt w:val="bullet"/>
      <w:lvlText w:val=""/>
      <w:lvlJc w:val="left"/>
      <w:pPr>
        <w:ind w:left="3344" w:hanging="360"/>
      </w:pPr>
      <w:rPr>
        <w:rFonts w:ascii="Symbol" w:hAnsi="Symbol" w:hint="default"/>
      </w:rPr>
    </w:lvl>
    <w:lvl w:ilvl="4" w:tplc="08090003" w:tentative="1">
      <w:start w:val="1"/>
      <w:numFmt w:val="bullet"/>
      <w:lvlText w:val="o"/>
      <w:lvlJc w:val="left"/>
      <w:pPr>
        <w:ind w:left="4064" w:hanging="360"/>
      </w:pPr>
      <w:rPr>
        <w:rFonts w:ascii="Courier New" w:hAnsi="Courier New" w:cs="Courier New" w:hint="default"/>
      </w:rPr>
    </w:lvl>
    <w:lvl w:ilvl="5" w:tplc="08090005" w:tentative="1">
      <w:start w:val="1"/>
      <w:numFmt w:val="bullet"/>
      <w:lvlText w:val=""/>
      <w:lvlJc w:val="left"/>
      <w:pPr>
        <w:ind w:left="4784" w:hanging="360"/>
      </w:pPr>
      <w:rPr>
        <w:rFonts w:ascii="Wingdings" w:hAnsi="Wingdings" w:hint="default"/>
      </w:rPr>
    </w:lvl>
    <w:lvl w:ilvl="6" w:tplc="08090001" w:tentative="1">
      <w:start w:val="1"/>
      <w:numFmt w:val="bullet"/>
      <w:lvlText w:val=""/>
      <w:lvlJc w:val="left"/>
      <w:pPr>
        <w:ind w:left="5504" w:hanging="360"/>
      </w:pPr>
      <w:rPr>
        <w:rFonts w:ascii="Symbol" w:hAnsi="Symbol" w:hint="default"/>
      </w:rPr>
    </w:lvl>
    <w:lvl w:ilvl="7" w:tplc="08090003" w:tentative="1">
      <w:start w:val="1"/>
      <w:numFmt w:val="bullet"/>
      <w:lvlText w:val="o"/>
      <w:lvlJc w:val="left"/>
      <w:pPr>
        <w:ind w:left="6224" w:hanging="360"/>
      </w:pPr>
      <w:rPr>
        <w:rFonts w:ascii="Courier New" w:hAnsi="Courier New" w:cs="Courier New" w:hint="default"/>
      </w:rPr>
    </w:lvl>
    <w:lvl w:ilvl="8" w:tplc="08090005" w:tentative="1">
      <w:start w:val="1"/>
      <w:numFmt w:val="bullet"/>
      <w:lvlText w:val=""/>
      <w:lvlJc w:val="left"/>
      <w:pPr>
        <w:ind w:left="6944" w:hanging="360"/>
      </w:pPr>
      <w:rPr>
        <w:rFonts w:ascii="Wingdings" w:hAnsi="Wingdings" w:hint="default"/>
      </w:rPr>
    </w:lvl>
  </w:abstractNum>
  <w:abstractNum w:abstractNumId="25" w15:restartNumberingAfterBreak="0">
    <w:nsid w:val="4CFA57F6"/>
    <w:multiLevelType w:val="hybridMultilevel"/>
    <w:tmpl w:val="7994BAD2"/>
    <w:lvl w:ilvl="0" w:tplc="31363C20">
      <w:start w:val="1"/>
      <w:numFmt w:val="bullet"/>
      <w:lvlText w:val=""/>
      <w:lvlPicBulletId w:val="0"/>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6" w15:restartNumberingAfterBreak="0">
    <w:nsid w:val="50D71C54"/>
    <w:multiLevelType w:val="hybridMultilevel"/>
    <w:tmpl w:val="427E6DDA"/>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251FE9"/>
    <w:multiLevelType w:val="hybridMultilevel"/>
    <w:tmpl w:val="A7B44442"/>
    <w:lvl w:ilvl="0" w:tplc="31363C20">
      <w:start w:val="1"/>
      <w:numFmt w:val="bullet"/>
      <w:lvlText w:val=""/>
      <w:lvlPicBulletId w:val="0"/>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46B66B4"/>
    <w:multiLevelType w:val="hybridMultilevel"/>
    <w:tmpl w:val="9CF294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4965345"/>
    <w:multiLevelType w:val="hybridMultilevel"/>
    <w:tmpl w:val="AEC425A6"/>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B43F10"/>
    <w:multiLevelType w:val="hybridMultilevel"/>
    <w:tmpl w:val="F678DD68"/>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8511BA"/>
    <w:multiLevelType w:val="hybridMultilevel"/>
    <w:tmpl w:val="0F2EAB8E"/>
    <w:lvl w:ilvl="0" w:tplc="05E0BF66">
      <w:start w:val="1"/>
      <w:numFmt w:val="decimal"/>
      <w:lvlText w:val="%1."/>
      <w:lvlJc w:val="left"/>
      <w:pPr>
        <w:ind w:left="360" w:firstLine="0"/>
      </w:pPr>
      <w:rPr>
        <w:rFonts w:ascii="Titillium" w:hAnsi="Titillium" w:hint="default"/>
        <w:sz w:val="32"/>
        <w:szCs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A10736B"/>
    <w:multiLevelType w:val="hybridMultilevel"/>
    <w:tmpl w:val="53288B36"/>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D1A6933"/>
    <w:multiLevelType w:val="hybridMultilevel"/>
    <w:tmpl w:val="16866148"/>
    <w:lvl w:ilvl="0" w:tplc="15441DE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D2F2837"/>
    <w:multiLevelType w:val="hybridMultilevel"/>
    <w:tmpl w:val="D6A2AEB8"/>
    <w:lvl w:ilvl="0" w:tplc="74067E1E">
      <w:start w:val="1"/>
      <w:numFmt w:val="bullet"/>
      <w:lvlText w:val=""/>
      <w:lvlPicBulletId w:val="0"/>
      <w:lvlJc w:val="left"/>
      <w:pPr>
        <w:ind w:left="720" w:hanging="360"/>
      </w:pPr>
      <w:rPr>
        <w:rFonts w:ascii="Symbol" w:hAnsi="Symbol" w:hint="default"/>
        <w:color w:val="EE724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E180362"/>
    <w:multiLevelType w:val="hybridMultilevel"/>
    <w:tmpl w:val="CA26A4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5F6A40DB"/>
    <w:multiLevelType w:val="hybridMultilevel"/>
    <w:tmpl w:val="A93A8058"/>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FC14872"/>
    <w:multiLevelType w:val="hybridMultilevel"/>
    <w:tmpl w:val="1116E2BA"/>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4D62347"/>
    <w:multiLevelType w:val="hybridMultilevel"/>
    <w:tmpl w:val="22ACA9BE"/>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89A1913"/>
    <w:multiLevelType w:val="hybridMultilevel"/>
    <w:tmpl w:val="5EFA1992"/>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27A001E"/>
    <w:multiLevelType w:val="hybridMultilevel"/>
    <w:tmpl w:val="1FC41DD6"/>
    <w:lvl w:ilvl="0" w:tplc="1AE41346">
      <w:start w:val="1"/>
      <w:numFmt w:val="bullet"/>
      <w:lvlText w:val=""/>
      <w:lvlPicBulletId w:val="0"/>
      <w:lvlJc w:val="left"/>
      <w:pPr>
        <w:ind w:left="1038" w:hanging="360"/>
      </w:pPr>
      <w:rPr>
        <w:rFonts w:ascii="Symbol" w:hAnsi="Symbol" w:hint="default"/>
        <w:color w:val="EE7249"/>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41" w15:restartNumberingAfterBreak="0">
    <w:nsid w:val="7503485A"/>
    <w:multiLevelType w:val="hybridMultilevel"/>
    <w:tmpl w:val="D0A01510"/>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53C4344"/>
    <w:multiLevelType w:val="hybridMultilevel"/>
    <w:tmpl w:val="A50EB222"/>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53D694E"/>
    <w:multiLevelType w:val="hybridMultilevel"/>
    <w:tmpl w:val="378077E6"/>
    <w:lvl w:ilvl="0" w:tplc="31363C20">
      <w:start w:val="1"/>
      <w:numFmt w:val="bullet"/>
      <w:lvlText w:val=""/>
      <w:lvlPicBulletId w:val="0"/>
      <w:lvlJc w:val="left"/>
      <w:pPr>
        <w:ind w:left="1038" w:hanging="360"/>
      </w:pPr>
      <w:rPr>
        <w:rFonts w:ascii="Symbol" w:hAnsi="Symbol" w:hint="default"/>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44" w15:restartNumberingAfterBreak="0">
    <w:nsid w:val="763E7914"/>
    <w:multiLevelType w:val="hybridMultilevel"/>
    <w:tmpl w:val="A8D2F380"/>
    <w:lvl w:ilvl="0" w:tplc="460CAD04">
      <w:start w:val="2"/>
      <w:numFmt w:val="decimal"/>
      <w:lvlText w:val="%1."/>
      <w:lvlJc w:val="left"/>
      <w:pPr>
        <w:ind w:left="318" w:firstLine="0"/>
      </w:pPr>
      <w:rPr>
        <w:rFonts w:ascii="Titillium" w:hAnsi="Titillium" w:hint="default"/>
        <w:sz w:val="32"/>
        <w:szCs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8C3233A"/>
    <w:multiLevelType w:val="hybridMultilevel"/>
    <w:tmpl w:val="38EAD2CA"/>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90F1663"/>
    <w:multiLevelType w:val="hybridMultilevel"/>
    <w:tmpl w:val="1CE49B4C"/>
    <w:lvl w:ilvl="0" w:tplc="31363C20">
      <w:start w:val="1"/>
      <w:numFmt w:val="bullet"/>
      <w:lvlText w:val=""/>
      <w:lvlPicBulletId w:val="0"/>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7CCB59AC"/>
    <w:multiLevelType w:val="hybridMultilevel"/>
    <w:tmpl w:val="5B7884AC"/>
    <w:lvl w:ilvl="0" w:tplc="31363C20">
      <w:start w:val="1"/>
      <w:numFmt w:val="bullet"/>
      <w:lvlText w:val=""/>
      <w:lvlPicBulletId w:val="0"/>
      <w:lvlJc w:val="left"/>
      <w:pPr>
        <w:ind w:left="895" w:hanging="360"/>
      </w:pPr>
      <w:rPr>
        <w:rFonts w:ascii="Symbol" w:hAnsi="Symbol" w:hint="default"/>
      </w:rPr>
    </w:lvl>
    <w:lvl w:ilvl="1" w:tplc="08090003" w:tentative="1">
      <w:start w:val="1"/>
      <w:numFmt w:val="bullet"/>
      <w:lvlText w:val="o"/>
      <w:lvlJc w:val="left"/>
      <w:pPr>
        <w:ind w:left="1615" w:hanging="360"/>
      </w:pPr>
      <w:rPr>
        <w:rFonts w:ascii="Courier New" w:hAnsi="Courier New" w:cs="Courier New" w:hint="default"/>
      </w:rPr>
    </w:lvl>
    <w:lvl w:ilvl="2" w:tplc="08090005" w:tentative="1">
      <w:start w:val="1"/>
      <w:numFmt w:val="bullet"/>
      <w:lvlText w:val=""/>
      <w:lvlJc w:val="left"/>
      <w:pPr>
        <w:ind w:left="2335" w:hanging="360"/>
      </w:pPr>
      <w:rPr>
        <w:rFonts w:ascii="Wingdings" w:hAnsi="Wingdings" w:hint="default"/>
      </w:rPr>
    </w:lvl>
    <w:lvl w:ilvl="3" w:tplc="08090001" w:tentative="1">
      <w:start w:val="1"/>
      <w:numFmt w:val="bullet"/>
      <w:lvlText w:val=""/>
      <w:lvlJc w:val="left"/>
      <w:pPr>
        <w:ind w:left="3055" w:hanging="360"/>
      </w:pPr>
      <w:rPr>
        <w:rFonts w:ascii="Symbol" w:hAnsi="Symbol" w:hint="default"/>
      </w:rPr>
    </w:lvl>
    <w:lvl w:ilvl="4" w:tplc="08090003" w:tentative="1">
      <w:start w:val="1"/>
      <w:numFmt w:val="bullet"/>
      <w:lvlText w:val="o"/>
      <w:lvlJc w:val="left"/>
      <w:pPr>
        <w:ind w:left="3775" w:hanging="360"/>
      </w:pPr>
      <w:rPr>
        <w:rFonts w:ascii="Courier New" w:hAnsi="Courier New" w:cs="Courier New" w:hint="default"/>
      </w:rPr>
    </w:lvl>
    <w:lvl w:ilvl="5" w:tplc="08090005" w:tentative="1">
      <w:start w:val="1"/>
      <w:numFmt w:val="bullet"/>
      <w:lvlText w:val=""/>
      <w:lvlJc w:val="left"/>
      <w:pPr>
        <w:ind w:left="4495" w:hanging="360"/>
      </w:pPr>
      <w:rPr>
        <w:rFonts w:ascii="Wingdings" w:hAnsi="Wingdings" w:hint="default"/>
      </w:rPr>
    </w:lvl>
    <w:lvl w:ilvl="6" w:tplc="08090001" w:tentative="1">
      <w:start w:val="1"/>
      <w:numFmt w:val="bullet"/>
      <w:lvlText w:val=""/>
      <w:lvlJc w:val="left"/>
      <w:pPr>
        <w:ind w:left="5215" w:hanging="360"/>
      </w:pPr>
      <w:rPr>
        <w:rFonts w:ascii="Symbol" w:hAnsi="Symbol" w:hint="default"/>
      </w:rPr>
    </w:lvl>
    <w:lvl w:ilvl="7" w:tplc="08090003" w:tentative="1">
      <w:start w:val="1"/>
      <w:numFmt w:val="bullet"/>
      <w:lvlText w:val="o"/>
      <w:lvlJc w:val="left"/>
      <w:pPr>
        <w:ind w:left="5935" w:hanging="360"/>
      </w:pPr>
      <w:rPr>
        <w:rFonts w:ascii="Courier New" w:hAnsi="Courier New" w:cs="Courier New" w:hint="default"/>
      </w:rPr>
    </w:lvl>
    <w:lvl w:ilvl="8" w:tplc="08090005" w:tentative="1">
      <w:start w:val="1"/>
      <w:numFmt w:val="bullet"/>
      <w:lvlText w:val=""/>
      <w:lvlJc w:val="left"/>
      <w:pPr>
        <w:ind w:left="6655" w:hanging="360"/>
      </w:pPr>
      <w:rPr>
        <w:rFonts w:ascii="Wingdings" w:hAnsi="Wingdings" w:hint="default"/>
      </w:rPr>
    </w:lvl>
  </w:abstractNum>
  <w:abstractNum w:abstractNumId="48" w15:restartNumberingAfterBreak="0">
    <w:nsid w:val="7FA4160C"/>
    <w:multiLevelType w:val="multilevel"/>
    <w:tmpl w:val="FB94E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7"/>
  </w:num>
  <w:num w:numId="3">
    <w:abstractNumId w:val="43"/>
  </w:num>
  <w:num w:numId="4">
    <w:abstractNumId w:val="40"/>
  </w:num>
  <w:num w:numId="5">
    <w:abstractNumId w:val="12"/>
  </w:num>
  <w:num w:numId="6">
    <w:abstractNumId w:val="14"/>
  </w:num>
  <w:num w:numId="7">
    <w:abstractNumId w:val="26"/>
  </w:num>
  <w:num w:numId="8">
    <w:abstractNumId w:val="8"/>
  </w:num>
  <w:num w:numId="9">
    <w:abstractNumId w:val="24"/>
  </w:num>
  <w:num w:numId="10">
    <w:abstractNumId w:val="45"/>
  </w:num>
  <w:num w:numId="11">
    <w:abstractNumId w:val="9"/>
  </w:num>
  <w:num w:numId="12">
    <w:abstractNumId w:val="41"/>
  </w:num>
  <w:num w:numId="13">
    <w:abstractNumId w:val="15"/>
  </w:num>
  <w:num w:numId="14">
    <w:abstractNumId w:val="42"/>
  </w:num>
  <w:num w:numId="15">
    <w:abstractNumId w:val="30"/>
  </w:num>
  <w:num w:numId="16">
    <w:abstractNumId w:val="46"/>
  </w:num>
  <w:num w:numId="17">
    <w:abstractNumId w:val="17"/>
  </w:num>
  <w:num w:numId="18">
    <w:abstractNumId w:val="29"/>
  </w:num>
  <w:num w:numId="19">
    <w:abstractNumId w:val="20"/>
  </w:num>
  <w:num w:numId="20">
    <w:abstractNumId w:val="23"/>
  </w:num>
  <w:num w:numId="21">
    <w:abstractNumId w:val="6"/>
  </w:num>
  <w:num w:numId="22">
    <w:abstractNumId w:val="13"/>
  </w:num>
  <w:num w:numId="23">
    <w:abstractNumId w:val="34"/>
  </w:num>
  <w:num w:numId="24">
    <w:abstractNumId w:val="7"/>
  </w:num>
  <w:num w:numId="25">
    <w:abstractNumId w:val="31"/>
  </w:num>
  <w:num w:numId="26">
    <w:abstractNumId w:val="48"/>
  </w:num>
  <w:num w:numId="27">
    <w:abstractNumId w:val="47"/>
  </w:num>
  <w:num w:numId="28">
    <w:abstractNumId w:val="39"/>
  </w:num>
  <w:num w:numId="29">
    <w:abstractNumId w:val="18"/>
  </w:num>
  <w:num w:numId="30">
    <w:abstractNumId w:val="38"/>
  </w:num>
  <w:num w:numId="31">
    <w:abstractNumId w:val="3"/>
  </w:num>
  <w:num w:numId="32">
    <w:abstractNumId w:val="21"/>
  </w:num>
  <w:num w:numId="33">
    <w:abstractNumId w:val="22"/>
  </w:num>
  <w:num w:numId="34">
    <w:abstractNumId w:val="35"/>
  </w:num>
  <w:num w:numId="35">
    <w:abstractNumId w:val="36"/>
  </w:num>
  <w:num w:numId="36">
    <w:abstractNumId w:val="32"/>
  </w:num>
  <w:num w:numId="37">
    <w:abstractNumId w:val="4"/>
  </w:num>
  <w:num w:numId="38">
    <w:abstractNumId w:val="2"/>
  </w:num>
  <w:num w:numId="39">
    <w:abstractNumId w:val="5"/>
  </w:num>
  <w:num w:numId="40">
    <w:abstractNumId w:val="44"/>
  </w:num>
  <w:num w:numId="41">
    <w:abstractNumId w:val="10"/>
  </w:num>
  <w:num w:numId="42">
    <w:abstractNumId w:val="19"/>
  </w:num>
  <w:num w:numId="43">
    <w:abstractNumId w:val="0"/>
  </w:num>
  <w:num w:numId="44">
    <w:abstractNumId w:val="25"/>
  </w:num>
  <w:num w:numId="45">
    <w:abstractNumId w:val="16"/>
  </w:num>
  <w:num w:numId="46">
    <w:abstractNumId w:val="27"/>
  </w:num>
  <w:num w:numId="47">
    <w:abstractNumId w:val="33"/>
  </w:num>
  <w:num w:numId="48">
    <w:abstractNumId w:val="28"/>
  </w:num>
  <w:num w:numId="49">
    <w:abstractNumId w:val="1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284"/>
  <w:drawingGridVerticalSpacing w:val="284"/>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F9A"/>
    <w:rsid w:val="00001596"/>
    <w:rsid w:val="0000203B"/>
    <w:rsid w:val="000076FF"/>
    <w:rsid w:val="00010A5E"/>
    <w:rsid w:val="00010F51"/>
    <w:rsid w:val="0001129F"/>
    <w:rsid w:val="00013CFA"/>
    <w:rsid w:val="00016319"/>
    <w:rsid w:val="0001687B"/>
    <w:rsid w:val="000179AA"/>
    <w:rsid w:val="00022079"/>
    <w:rsid w:val="00023556"/>
    <w:rsid w:val="00023576"/>
    <w:rsid w:val="00025E53"/>
    <w:rsid w:val="00031846"/>
    <w:rsid w:val="000334FC"/>
    <w:rsid w:val="00033FCC"/>
    <w:rsid w:val="00035FDD"/>
    <w:rsid w:val="00036E5D"/>
    <w:rsid w:val="000373F2"/>
    <w:rsid w:val="00041352"/>
    <w:rsid w:val="00043EE5"/>
    <w:rsid w:val="00045AA3"/>
    <w:rsid w:val="000516ED"/>
    <w:rsid w:val="00052B79"/>
    <w:rsid w:val="000537B2"/>
    <w:rsid w:val="00054539"/>
    <w:rsid w:val="00056176"/>
    <w:rsid w:val="000631B9"/>
    <w:rsid w:val="00064BDC"/>
    <w:rsid w:val="00070C7B"/>
    <w:rsid w:val="000713AF"/>
    <w:rsid w:val="000750D6"/>
    <w:rsid w:val="00076EC9"/>
    <w:rsid w:val="0008233E"/>
    <w:rsid w:val="000842DB"/>
    <w:rsid w:val="00087160"/>
    <w:rsid w:val="00087E3F"/>
    <w:rsid w:val="00092208"/>
    <w:rsid w:val="00094039"/>
    <w:rsid w:val="000954D5"/>
    <w:rsid w:val="00096828"/>
    <w:rsid w:val="000A1C41"/>
    <w:rsid w:val="000A3BB2"/>
    <w:rsid w:val="000A4C5F"/>
    <w:rsid w:val="000A4F23"/>
    <w:rsid w:val="000A551C"/>
    <w:rsid w:val="000A57FF"/>
    <w:rsid w:val="000B5BCA"/>
    <w:rsid w:val="000B772A"/>
    <w:rsid w:val="000C2F9A"/>
    <w:rsid w:val="000C498A"/>
    <w:rsid w:val="000C4BBD"/>
    <w:rsid w:val="000C77FB"/>
    <w:rsid w:val="000D4E5D"/>
    <w:rsid w:val="000D57D9"/>
    <w:rsid w:val="000E5B1C"/>
    <w:rsid w:val="000E5CF6"/>
    <w:rsid w:val="000E749D"/>
    <w:rsid w:val="000F1498"/>
    <w:rsid w:val="000F1C67"/>
    <w:rsid w:val="000F229B"/>
    <w:rsid w:val="000F3816"/>
    <w:rsid w:val="000F393E"/>
    <w:rsid w:val="000F42C5"/>
    <w:rsid w:val="000F7788"/>
    <w:rsid w:val="001001E1"/>
    <w:rsid w:val="00100349"/>
    <w:rsid w:val="0010037E"/>
    <w:rsid w:val="00102C79"/>
    <w:rsid w:val="00104F20"/>
    <w:rsid w:val="0010749E"/>
    <w:rsid w:val="00120ABF"/>
    <w:rsid w:val="00122D9B"/>
    <w:rsid w:val="00126623"/>
    <w:rsid w:val="0013285A"/>
    <w:rsid w:val="001363D5"/>
    <w:rsid w:val="00141BDE"/>
    <w:rsid w:val="00142D3D"/>
    <w:rsid w:val="00143954"/>
    <w:rsid w:val="00154F14"/>
    <w:rsid w:val="00165271"/>
    <w:rsid w:val="001719E9"/>
    <w:rsid w:val="00171C80"/>
    <w:rsid w:val="001724F5"/>
    <w:rsid w:val="001733B7"/>
    <w:rsid w:val="0017403E"/>
    <w:rsid w:val="0017528E"/>
    <w:rsid w:val="001800F0"/>
    <w:rsid w:val="00180776"/>
    <w:rsid w:val="0018686D"/>
    <w:rsid w:val="00187F4F"/>
    <w:rsid w:val="001910D1"/>
    <w:rsid w:val="00192969"/>
    <w:rsid w:val="00194518"/>
    <w:rsid w:val="0019676B"/>
    <w:rsid w:val="001A072E"/>
    <w:rsid w:val="001A4E44"/>
    <w:rsid w:val="001A700F"/>
    <w:rsid w:val="001A77F2"/>
    <w:rsid w:val="001B18FC"/>
    <w:rsid w:val="001B1CB0"/>
    <w:rsid w:val="001B489D"/>
    <w:rsid w:val="001B6BA7"/>
    <w:rsid w:val="001C0DF2"/>
    <w:rsid w:val="001C27D2"/>
    <w:rsid w:val="001C5088"/>
    <w:rsid w:val="001C7FF6"/>
    <w:rsid w:val="001D12B5"/>
    <w:rsid w:val="001D3727"/>
    <w:rsid w:val="001D4224"/>
    <w:rsid w:val="001D5BC7"/>
    <w:rsid w:val="001E0D8F"/>
    <w:rsid w:val="001E1204"/>
    <w:rsid w:val="001E4C37"/>
    <w:rsid w:val="001F3710"/>
    <w:rsid w:val="001F6CA1"/>
    <w:rsid w:val="002061F2"/>
    <w:rsid w:val="0020658E"/>
    <w:rsid w:val="00207093"/>
    <w:rsid w:val="00207E21"/>
    <w:rsid w:val="00210BEA"/>
    <w:rsid w:val="00213EAC"/>
    <w:rsid w:val="00214398"/>
    <w:rsid w:val="0021440B"/>
    <w:rsid w:val="00216A4C"/>
    <w:rsid w:val="002200B6"/>
    <w:rsid w:val="0022284C"/>
    <w:rsid w:val="00225396"/>
    <w:rsid w:val="00226C3A"/>
    <w:rsid w:val="0023263A"/>
    <w:rsid w:val="002340E7"/>
    <w:rsid w:val="00234D0E"/>
    <w:rsid w:val="00236B18"/>
    <w:rsid w:val="00236BC8"/>
    <w:rsid w:val="002377CB"/>
    <w:rsid w:val="002377DF"/>
    <w:rsid w:val="00243C37"/>
    <w:rsid w:val="00243E32"/>
    <w:rsid w:val="002450AF"/>
    <w:rsid w:val="00245748"/>
    <w:rsid w:val="002529E3"/>
    <w:rsid w:val="00260A7A"/>
    <w:rsid w:val="00261662"/>
    <w:rsid w:val="00261732"/>
    <w:rsid w:val="00264777"/>
    <w:rsid w:val="002717E5"/>
    <w:rsid w:val="002766E9"/>
    <w:rsid w:val="0028149A"/>
    <w:rsid w:val="00281C27"/>
    <w:rsid w:val="00282416"/>
    <w:rsid w:val="0028639B"/>
    <w:rsid w:val="00286DAF"/>
    <w:rsid w:val="00290859"/>
    <w:rsid w:val="0029159D"/>
    <w:rsid w:val="00291F58"/>
    <w:rsid w:val="0029255E"/>
    <w:rsid w:val="002A18C6"/>
    <w:rsid w:val="002A2102"/>
    <w:rsid w:val="002A369C"/>
    <w:rsid w:val="002B3956"/>
    <w:rsid w:val="002B628C"/>
    <w:rsid w:val="002C0436"/>
    <w:rsid w:val="002C0D92"/>
    <w:rsid w:val="002C7B1D"/>
    <w:rsid w:val="002D19E3"/>
    <w:rsid w:val="002E0639"/>
    <w:rsid w:val="002E1BE3"/>
    <w:rsid w:val="002E21BD"/>
    <w:rsid w:val="002E6E3D"/>
    <w:rsid w:val="002F54B7"/>
    <w:rsid w:val="002F5A43"/>
    <w:rsid w:val="002F6B3F"/>
    <w:rsid w:val="0030138F"/>
    <w:rsid w:val="003045E6"/>
    <w:rsid w:val="00306518"/>
    <w:rsid w:val="003069CC"/>
    <w:rsid w:val="003100E9"/>
    <w:rsid w:val="0031060B"/>
    <w:rsid w:val="00316923"/>
    <w:rsid w:val="00317BE5"/>
    <w:rsid w:val="00320496"/>
    <w:rsid w:val="003238E4"/>
    <w:rsid w:val="00330D46"/>
    <w:rsid w:val="00333466"/>
    <w:rsid w:val="00336961"/>
    <w:rsid w:val="0033779E"/>
    <w:rsid w:val="003407C1"/>
    <w:rsid w:val="0034203A"/>
    <w:rsid w:val="00344C85"/>
    <w:rsid w:val="00345276"/>
    <w:rsid w:val="00345595"/>
    <w:rsid w:val="00346724"/>
    <w:rsid w:val="00350E46"/>
    <w:rsid w:val="00351611"/>
    <w:rsid w:val="00353ADB"/>
    <w:rsid w:val="00353E9B"/>
    <w:rsid w:val="00356728"/>
    <w:rsid w:val="003606E9"/>
    <w:rsid w:val="003612BC"/>
    <w:rsid w:val="00363BF4"/>
    <w:rsid w:val="0037222B"/>
    <w:rsid w:val="00372519"/>
    <w:rsid w:val="00374325"/>
    <w:rsid w:val="00380004"/>
    <w:rsid w:val="00381161"/>
    <w:rsid w:val="00381CDB"/>
    <w:rsid w:val="003849A8"/>
    <w:rsid w:val="0039045B"/>
    <w:rsid w:val="00395C0B"/>
    <w:rsid w:val="00396A78"/>
    <w:rsid w:val="003A64A4"/>
    <w:rsid w:val="003B2C11"/>
    <w:rsid w:val="003B31AD"/>
    <w:rsid w:val="003B586D"/>
    <w:rsid w:val="003B6C5C"/>
    <w:rsid w:val="003C33B2"/>
    <w:rsid w:val="003C33CE"/>
    <w:rsid w:val="003C5A33"/>
    <w:rsid w:val="003C654F"/>
    <w:rsid w:val="003D52A1"/>
    <w:rsid w:val="003E2237"/>
    <w:rsid w:val="003E2271"/>
    <w:rsid w:val="003E2C2B"/>
    <w:rsid w:val="003E6C33"/>
    <w:rsid w:val="003E765A"/>
    <w:rsid w:val="003F0DCC"/>
    <w:rsid w:val="003F20ED"/>
    <w:rsid w:val="003F46AD"/>
    <w:rsid w:val="003F5165"/>
    <w:rsid w:val="003F5799"/>
    <w:rsid w:val="003F58EF"/>
    <w:rsid w:val="0040343E"/>
    <w:rsid w:val="00405FBE"/>
    <w:rsid w:val="004072E0"/>
    <w:rsid w:val="00414C26"/>
    <w:rsid w:val="004153AB"/>
    <w:rsid w:val="0041577F"/>
    <w:rsid w:val="00416845"/>
    <w:rsid w:val="00417A66"/>
    <w:rsid w:val="00421EB8"/>
    <w:rsid w:val="00423E5E"/>
    <w:rsid w:val="00426161"/>
    <w:rsid w:val="00426584"/>
    <w:rsid w:val="0043209D"/>
    <w:rsid w:val="004321AD"/>
    <w:rsid w:val="004364BF"/>
    <w:rsid w:val="004401DC"/>
    <w:rsid w:val="004404E9"/>
    <w:rsid w:val="00443148"/>
    <w:rsid w:val="004505BE"/>
    <w:rsid w:val="00451894"/>
    <w:rsid w:val="00451C5B"/>
    <w:rsid w:val="0045403F"/>
    <w:rsid w:val="00455789"/>
    <w:rsid w:val="004606A8"/>
    <w:rsid w:val="00461073"/>
    <w:rsid w:val="0046232C"/>
    <w:rsid w:val="004715E0"/>
    <w:rsid w:val="00472E79"/>
    <w:rsid w:val="0047431A"/>
    <w:rsid w:val="004748E9"/>
    <w:rsid w:val="00480977"/>
    <w:rsid w:val="004810AB"/>
    <w:rsid w:val="00481D4E"/>
    <w:rsid w:val="00484D6A"/>
    <w:rsid w:val="004850B6"/>
    <w:rsid w:val="004920F4"/>
    <w:rsid w:val="004957DA"/>
    <w:rsid w:val="004961F8"/>
    <w:rsid w:val="00497E8C"/>
    <w:rsid w:val="004A4C3D"/>
    <w:rsid w:val="004A5566"/>
    <w:rsid w:val="004A5820"/>
    <w:rsid w:val="004A6E49"/>
    <w:rsid w:val="004B37B2"/>
    <w:rsid w:val="004B3C32"/>
    <w:rsid w:val="004B45EB"/>
    <w:rsid w:val="004B46A6"/>
    <w:rsid w:val="004B5C3F"/>
    <w:rsid w:val="004B6014"/>
    <w:rsid w:val="004B6CAC"/>
    <w:rsid w:val="004B6E84"/>
    <w:rsid w:val="004C00CA"/>
    <w:rsid w:val="004C27A8"/>
    <w:rsid w:val="004C7172"/>
    <w:rsid w:val="004D0F18"/>
    <w:rsid w:val="004D1B58"/>
    <w:rsid w:val="004D2E49"/>
    <w:rsid w:val="004D3679"/>
    <w:rsid w:val="004D443E"/>
    <w:rsid w:val="004D48C2"/>
    <w:rsid w:val="004D6611"/>
    <w:rsid w:val="004D77AA"/>
    <w:rsid w:val="004E10E6"/>
    <w:rsid w:val="004E140E"/>
    <w:rsid w:val="004E22A3"/>
    <w:rsid w:val="004E303E"/>
    <w:rsid w:val="004E36E2"/>
    <w:rsid w:val="004F2E9B"/>
    <w:rsid w:val="004F3AD4"/>
    <w:rsid w:val="004F3AF2"/>
    <w:rsid w:val="004F41AA"/>
    <w:rsid w:val="004F774B"/>
    <w:rsid w:val="005005C6"/>
    <w:rsid w:val="0050101B"/>
    <w:rsid w:val="00502EB2"/>
    <w:rsid w:val="00504522"/>
    <w:rsid w:val="0050569E"/>
    <w:rsid w:val="00506224"/>
    <w:rsid w:val="00506A88"/>
    <w:rsid w:val="0051093E"/>
    <w:rsid w:val="005137AB"/>
    <w:rsid w:val="00513E36"/>
    <w:rsid w:val="00516AF6"/>
    <w:rsid w:val="0052078B"/>
    <w:rsid w:val="00526EF1"/>
    <w:rsid w:val="00527DE8"/>
    <w:rsid w:val="0053216F"/>
    <w:rsid w:val="00534A63"/>
    <w:rsid w:val="005362D5"/>
    <w:rsid w:val="00540228"/>
    <w:rsid w:val="00540320"/>
    <w:rsid w:val="00540B65"/>
    <w:rsid w:val="00543470"/>
    <w:rsid w:val="005452D9"/>
    <w:rsid w:val="0054764A"/>
    <w:rsid w:val="00552E16"/>
    <w:rsid w:val="00562956"/>
    <w:rsid w:val="00564ACC"/>
    <w:rsid w:val="00564D9C"/>
    <w:rsid w:val="005704D1"/>
    <w:rsid w:val="005747F9"/>
    <w:rsid w:val="00575FFD"/>
    <w:rsid w:val="00576291"/>
    <w:rsid w:val="00580AB0"/>
    <w:rsid w:val="00582850"/>
    <w:rsid w:val="00584078"/>
    <w:rsid w:val="00584D7A"/>
    <w:rsid w:val="00590452"/>
    <w:rsid w:val="005932D4"/>
    <w:rsid w:val="005939B1"/>
    <w:rsid w:val="0059633B"/>
    <w:rsid w:val="005A0F47"/>
    <w:rsid w:val="005A466D"/>
    <w:rsid w:val="005B0472"/>
    <w:rsid w:val="005B525C"/>
    <w:rsid w:val="005C2872"/>
    <w:rsid w:val="005C574B"/>
    <w:rsid w:val="005D0021"/>
    <w:rsid w:val="005D14A3"/>
    <w:rsid w:val="005D2474"/>
    <w:rsid w:val="005D287D"/>
    <w:rsid w:val="005D6210"/>
    <w:rsid w:val="005D6CB4"/>
    <w:rsid w:val="005D6F3B"/>
    <w:rsid w:val="005D7EF5"/>
    <w:rsid w:val="005E3A95"/>
    <w:rsid w:val="005E4E40"/>
    <w:rsid w:val="005F3561"/>
    <w:rsid w:val="005F45A5"/>
    <w:rsid w:val="005F7161"/>
    <w:rsid w:val="00600B3C"/>
    <w:rsid w:val="00600C15"/>
    <w:rsid w:val="00602903"/>
    <w:rsid w:val="00605443"/>
    <w:rsid w:val="006059C2"/>
    <w:rsid w:val="006121E8"/>
    <w:rsid w:val="006142C7"/>
    <w:rsid w:val="00615A32"/>
    <w:rsid w:val="00622254"/>
    <w:rsid w:val="006223A7"/>
    <w:rsid w:val="006242A3"/>
    <w:rsid w:val="00625483"/>
    <w:rsid w:val="006256F7"/>
    <w:rsid w:val="00626308"/>
    <w:rsid w:val="0062663A"/>
    <w:rsid w:val="0063269C"/>
    <w:rsid w:val="0063275E"/>
    <w:rsid w:val="00636F47"/>
    <w:rsid w:val="00640328"/>
    <w:rsid w:val="00640B6D"/>
    <w:rsid w:val="006418EB"/>
    <w:rsid w:val="00642F25"/>
    <w:rsid w:val="00643736"/>
    <w:rsid w:val="00652E5C"/>
    <w:rsid w:val="006531DC"/>
    <w:rsid w:val="00654607"/>
    <w:rsid w:val="00655832"/>
    <w:rsid w:val="00657BC6"/>
    <w:rsid w:val="0066188E"/>
    <w:rsid w:val="006644BB"/>
    <w:rsid w:val="0066463B"/>
    <w:rsid w:val="00665AC6"/>
    <w:rsid w:val="00665E80"/>
    <w:rsid w:val="006710A2"/>
    <w:rsid w:val="00672C60"/>
    <w:rsid w:val="00676C01"/>
    <w:rsid w:val="00681344"/>
    <w:rsid w:val="00681973"/>
    <w:rsid w:val="00684265"/>
    <w:rsid w:val="00684744"/>
    <w:rsid w:val="00685B3E"/>
    <w:rsid w:val="00685D2B"/>
    <w:rsid w:val="00690EDD"/>
    <w:rsid w:val="0069485C"/>
    <w:rsid w:val="006972D9"/>
    <w:rsid w:val="006A280F"/>
    <w:rsid w:val="006A2A5E"/>
    <w:rsid w:val="006A391E"/>
    <w:rsid w:val="006A407D"/>
    <w:rsid w:val="006A6839"/>
    <w:rsid w:val="006B0192"/>
    <w:rsid w:val="006B1D7D"/>
    <w:rsid w:val="006B2DF2"/>
    <w:rsid w:val="006B31D3"/>
    <w:rsid w:val="006B3F7D"/>
    <w:rsid w:val="006B47BE"/>
    <w:rsid w:val="006B6FB5"/>
    <w:rsid w:val="006C0AC2"/>
    <w:rsid w:val="006C5321"/>
    <w:rsid w:val="006C6347"/>
    <w:rsid w:val="006D0A6A"/>
    <w:rsid w:val="006D1883"/>
    <w:rsid w:val="006D2140"/>
    <w:rsid w:val="006D5AD4"/>
    <w:rsid w:val="006D6D78"/>
    <w:rsid w:val="006D77BA"/>
    <w:rsid w:val="006E0A38"/>
    <w:rsid w:val="006E1227"/>
    <w:rsid w:val="006E20F5"/>
    <w:rsid w:val="006E7CDA"/>
    <w:rsid w:val="006F402B"/>
    <w:rsid w:val="006F6F84"/>
    <w:rsid w:val="00701F69"/>
    <w:rsid w:val="00710DDD"/>
    <w:rsid w:val="00712087"/>
    <w:rsid w:val="00712395"/>
    <w:rsid w:val="00717FB7"/>
    <w:rsid w:val="00721283"/>
    <w:rsid w:val="007329D6"/>
    <w:rsid w:val="00736A8A"/>
    <w:rsid w:val="00736D6F"/>
    <w:rsid w:val="00736E09"/>
    <w:rsid w:val="0074551F"/>
    <w:rsid w:val="00751AD8"/>
    <w:rsid w:val="007535D2"/>
    <w:rsid w:val="0075442B"/>
    <w:rsid w:val="00755AF1"/>
    <w:rsid w:val="00760C30"/>
    <w:rsid w:val="007637CF"/>
    <w:rsid w:val="00767018"/>
    <w:rsid w:val="00767559"/>
    <w:rsid w:val="0077695F"/>
    <w:rsid w:val="00783D56"/>
    <w:rsid w:val="007840AF"/>
    <w:rsid w:val="00786BBB"/>
    <w:rsid w:val="0078722D"/>
    <w:rsid w:val="00787800"/>
    <w:rsid w:val="0079014A"/>
    <w:rsid w:val="00790B9D"/>
    <w:rsid w:val="00793CA9"/>
    <w:rsid w:val="007B72F3"/>
    <w:rsid w:val="007C07CB"/>
    <w:rsid w:val="007C0DF5"/>
    <w:rsid w:val="007C0E8D"/>
    <w:rsid w:val="007C6A58"/>
    <w:rsid w:val="007D11D0"/>
    <w:rsid w:val="007D122A"/>
    <w:rsid w:val="007D1630"/>
    <w:rsid w:val="007D2455"/>
    <w:rsid w:val="007D36C4"/>
    <w:rsid w:val="007D5AAE"/>
    <w:rsid w:val="007D66F6"/>
    <w:rsid w:val="007D6D7B"/>
    <w:rsid w:val="007E0518"/>
    <w:rsid w:val="007E5644"/>
    <w:rsid w:val="007E6AEE"/>
    <w:rsid w:val="007F1666"/>
    <w:rsid w:val="007F3765"/>
    <w:rsid w:val="007F3DB7"/>
    <w:rsid w:val="0080567B"/>
    <w:rsid w:val="008116D4"/>
    <w:rsid w:val="0081185D"/>
    <w:rsid w:val="00816AFB"/>
    <w:rsid w:val="008201CF"/>
    <w:rsid w:val="00820872"/>
    <w:rsid w:val="008209E2"/>
    <w:rsid w:val="0082166C"/>
    <w:rsid w:val="00823C28"/>
    <w:rsid w:val="0082522B"/>
    <w:rsid w:val="00825947"/>
    <w:rsid w:val="008271F4"/>
    <w:rsid w:val="00830B69"/>
    <w:rsid w:val="008320ED"/>
    <w:rsid w:val="00833861"/>
    <w:rsid w:val="00834FED"/>
    <w:rsid w:val="008351AE"/>
    <w:rsid w:val="00836C14"/>
    <w:rsid w:val="00837FE9"/>
    <w:rsid w:val="008416F1"/>
    <w:rsid w:val="008438C3"/>
    <w:rsid w:val="0084488E"/>
    <w:rsid w:val="008469CB"/>
    <w:rsid w:val="00854008"/>
    <w:rsid w:val="00855D4D"/>
    <w:rsid w:val="008560E2"/>
    <w:rsid w:val="008600BB"/>
    <w:rsid w:val="008639E7"/>
    <w:rsid w:val="00865141"/>
    <w:rsid w:val="00866DD9"/>
    <w:rsid w:val="0086709C"/>
    <w:rsid w:val="00867509"/>
    <w:rsid w:val="00870DE5"/>
    <w:rsid w:val="00874F34"/>
    <w:rsid w:val="0087781B"/>
    <w:rsid w:val="00877C57"/>
    <w:rsid w:val="008834D9"/>
    <w:rsid w:val="00884924"/>
    <w:rsid w:val="008904B7"/>
    <w:rsid w:val="008915CA"/>
    <w:rsid w:val="00891E80"/>
    <w:rsid w:val="0089311B"/>
    <w:rsid w:val="00893414"/>
    <w:rsid w:val="008947BA"/>
    <w:rsid w:val="00896882"/>
    <w:rsid w:val="008A00BC"/>
    <w:rsid w:val="008A2266"/>
    <w:rsid w:val="008B3BBE"/>
    <w:rsid w:val="008B4136"/>
    <w:rsid w:val="008C47BF"/>
    <w:rsid w:val="008C5526"/>
    <w:rsid w:val="008C622A"/>
    <w:rsid w:val="008C7EF6"/>
    <w:rsid w:val="008D2013"/>
    <w:rsid w:val="008D3888"/>
    <w:rsid w:val="008E2088"/>
    <w:rsid w:val="008E30CA"/>
    <w:rsid w:val="008E326F"/>
    <w:rsid w:val="008E3B09"/>
    <w:rsid w:val="008E6288"/>
    <w:rsid w:val="008E721E"/>
    <w:rsid w:val="008E78E3"/>
    <w:rsid w:val="008F0BEA"/>
    <w:rsid w:val="008F1B53"/>
    <w:rsid w:val="008F1C74"/>
    <w:rsid w:val="008F5021"/>
    <w:rsid w:val="008F6130"/>
    <w:rsid w:val="00900EBB"/>
    <w:rsid w:val="00902960"/>
    <w:rsid w:val="00905C6E"/>
    <w:rsid w:val="00910236"/>
    <w:rsid w:val="00910461"/>
    <w:rsid w:val="009124CF"/>
    <w:rsid w:val="00914B0C"/>
    <w:rsid w:val="00915D84"/>
    <w:rsid w:val="00916677"/>
    <w:rsid w:val="00922815"/>
    <w:rsid w:val="00925951"/>
    <w:rsid w:val="00925A37"/>
    <w:rsid w:val="00930845"/>
    <w:rsid w:val="0093752E"/>
    <w:rsid w:val="00940495"/>
    <w:rsid w:val="00942DC8"/>
    <w:rsid w:val="00943A9B"/>
    <w:rsid w:val="00944F12"/>
    <w:rsid w:val="00944F77"/>
    <w:rsid w:val="00945E52"/>
    <w:rsid w:val="00947950"/>
    <w:rsid w:val="0095091A"/>
    <w:rsid w:val="009531C7"/>
    <w:rsid w:val="00954A71"/>
    <w:rsid w:val="0096631E"/>
    <w:rsid w:val="00970CF7"/>
    <w:rsid w:val="00973A58"/>
    <w:rsid w:val="0097570B"/>
    <w:rsid w:val="00976337"/>
    <w:rsid w:val="00976AED"/>
    <w:rsid w:val="0097793D"/>
    <w:rsid w:val="00982404"/>
    <w:rsid w:val="00983469"/>
    <w:rsid w:val="00983FD1"/>
    <w:rsid w:val="009848DE"/>
    <w:rsid w:val="00995269"/>
    <w:rsid w:val="00996352"/>
    <w:rsid w:val="009967DA"/>
    <w:rsid w:val="009969AF"/>
    <w:rsid w:val="009A067B"/>
    <w:rsid w:val="009A7DEC"/>
    <w:rsid w:val="009B514E"/>
    <w:rsid w:val="009C1D21"/>
    <w:rsid w:val="009C2BF5"/>
    <w:rsid w:val="009C301A"/>
    <w:rsid w:val="009C6EA4"/>
    <w:rsid w:val="009D20D1"/>
    <w:rsid w:val="009D269F"/>
    <w:rsid w:val="009D3BE0"/>
    <w:rsid w:val="009D48E2"/>
    <w:rsid w:val="009E07B2"/>
    <w:rsid w:val="009E223F"/>
    <w:rsid w:val="009E28F1"/>
    <w:rsid w:val="009E427B"/>
    <w:rsid w:val="009E5C97"/>
    <w:rsid w:val="009F5480"/>
    <w:rsid w:val="009F5625"/>
    <w:rsid w:val="00A05209"/>
    <w:rsid w:val="00A0673E"/>
    <w:rsid w:val="00A06E54"/>
    <w:rsid w:val="00A1524B"/>
    <w:rsid w:val="00A316FC"/>
    <w:rsid w:val="00A32C67"/>
    <w:rsid w:val="00A3626C"/>
    <w:rsid w:val="00A36AB8"/>
    <w:rsid w:val="00A37912"/>
    <w:rsid w:val="00A4024B"/>
    <w:rsid w:val="00A41583"/>
    <w:rsid w:val="00A551CD"/>
    <w:rsid w:val="00A66003"/>
    <w:rsid w:val="00A718AD"/>
    <w:rsid w:val="00A71BA5"/>
    <w:rsid w:val="00A75297"/>
    <w:rsid w:val="00A76705"/>
    <w:rsid w:val="00A76E0D"/>
    <w:rsid w:val="00A816A8"/>
    <w:rsid w:val="00A81DBC"/>
    <w:rsid w:val="00A82E7D"/>
    <w:rsid w:val="00A83657"/>
    <w:rsid w:val="00A87867"/>
    <w:rsid w:val="00A90E7B"/>
    <w:rsid w:val="00A94480"/>
    <w:rsid w:val="00A95748"/>
    <w:rsid w:val="00A95A19"/>
    <w:rsid w:val="00AA0606"/>
    <w:rsid w:val="00AA1A78"/>
    <w:rsid w:val="00AA24AC"/>
    <w:rsid w:val="00AA280A"/>
    <w:rsid w:val="00AA3CFD"/>
    <w:rsid w:val="00AA556D"/>
    <w:rsid w:val="00AA699A"/>
    <w:rsid w:val="00AB0FB5"/>
    <w:rsid w:val="00AB6B74"/>
    <w:rsid w:val="00AB6F31"/>
    <w:rsid w:val="00AC223A"/>
    <w:rsid w:val="00AC3016"/>
    <w:rsid w:val="00AC5907"/>
    <w:rsid w:val="00AC664C"/>
    <w:rsid w:val="00AC6EDE"/>
    <w:rsid w:val="00AE09BD"/>
    <w:rsid w:val="00AE3FDC"/>
    <w:rsid w:val="00AE53BA"/>
    <w:rsid w:val="00AE7D5F"/>
    <w:rsid w:val="00AF0B18"/>
    <w:rsid w:val="00AF1375"/>
    <w:rsid w:val="00AF2F22"/>
    <w:rsid w:val="00AF7942"/>
    <w:rsid w:val="00B03824"/>
    <w:rsid w:val="00B05305"/>
    <w:rsid w:val="00B1025D"/>
    <w:rsid w:val="00B1389F"/>
    <w:rsid w:val="00B14695"/>
    <w:rsid w:val="00B153BA"/>
    <w:rsid w:val="00B222EB"/>
    <w:rsid w:val="00B239DF"/>
    <w:rsid w:val="00B23EA0"/>
    <w:rsid w:val="00B25874"/>
    <w:rsid w:val="00B276BC"/>
    <w:rsid w:val="00B30B98"/>
    <w:rsid w:val="00B310C7"/>
    <w:rsid w:val="00B35880"/>
    <w:rsid w:val="00B35B1E"/>
    <w:rsid w:val="00B370FA"/>
    <w:rsid w:val="00B37196"/>
    <w:rsid w:val="00B417A6"/>
    <w:rsid w:val="00B4208A"/>
    <w:rsid w:val="00B42963"/>
    <w:rsid w:val="00B4311E"/>
    <w:rsid w:val="00B46F52"/>
    <w:rsid w:val="00B47310"/>
    <w:rsid w:val="00B53721"/>
    <w:rsid w:val="00B623C7"/>
    <w:rsid w:val="00B63693"/>
    <w:rsid w:val="00B70EE8"/>
    <w:rsid w:val="00B7289E"/>
    <w:rsid w:val="00B742C1"/>
    <w:rsid w:val="00B81409"/>
    <w:rsid w:val="00B81636"/>
    <w:rsid w:val="00B82138"/>
    <w:rsid w:val="00B85B2A"/>
    <w:rsid w:val="00B863AB"/>
    <w:rsid w:val="00B97095"/>
    <w:rsid w:val="00B970D2"/>
    <w:rsid w:val="00BA37B7"/>
    <w:rsid w:val="00BA390A"/>
    <w:rsid w:val="00BA3A59"/>
    <w:rsid w:val="00BA7369"/>
    <w:rsid w:val="00BA75BA"/>
    <w:rsid w:val="00BB111A"/>
    <w:rsid w:val="00BB38E6"/>
    <w:rsid w:val="00BB5CC2"/>
    <w:rsid w:val="00BB7942"/>
    <w:rsid w:val="00BC0666"/>
    <w:rsid w:val="00BC39A0"/>
    <w:rsid w:val="00BC3F89"/>
    <w:rsid w:val="00BC66D1"/>
    <w:rsid w:val="00BC6B1B"/>
    <w:rsid w:val="00BD00B3"/>
    <w:rsid w:val="00BD1067"/>
    <w:rsid w:val="00BD74E4"/>
    <w:rsid w:val="00BD7B6C"/>
    <w:rsid w:val="00BE1596"/>
    <w:rsid w:val="00BE1860"/>
    <w:rsid w:val="00BE2EDC"/>
    <w:rsid w:val="00BE46F9"/>
    <w:rsid w:val="00BE509F"/>
    <w:rsid w:val="00BE7B15"/>
    <w:rsid w:val="00BF1729"/>
    <w:rsid w:val="00BF31C2"/>
    <w:rsid w:val="00BF31F3"/>
    <w:rsid w:val="00BF45D3"/>
    <w:rsid w:val="00BF7F3D"/>
    <w:rsid w:val="00C01BF9"/>
    <w:rsid w:val="00C03622"/>
    <w:rsid w:val="00C05A27"/>
    <w:rsid w:val="00C07021"/>
    <w:rsid w:val="00C0794D"/>
    <w:rsid w:val="00C12C68"/>
    <w:rsid w:val="00C141B8"/>
    <w:rsid w:val="00C147BE"/>
    <w:rsid w:val="00C15344"/>
    <w:rsid w:val="00C216DB"/>
    <w:rsid w:val="00C306A0"/>
    <w:rsid w:val="00C33390"/>
    <w:rsid w:val="00C35A6B"/>
    <w:rsid w:val="00C41175"/>
    <w:rsid w:val="00C4231F"/>
    <w:rsid w:val="00C53B0B"/>
    <w:rsid w:val="00C55A7E"/>
    <w:rsid w:val="00C6169E"/>
    <w:rsid w:val="00C64FED"/>
    <w:rsid w:val="00C65388"/>
    <w:rsid w:val="00C665D3"/>
    <w:rsid w:val="00C72ED4"/>
    <w:rsid w:val="00C7473F"/>
    <w:rsid w:val="00C75B55"/>
    <w:rsid w:val="00C82734"/>
    <w:rsid w:val="00C83FB9"/>
    <w:rsid w:val="00C862B7"/>
    <w:rsid w:val="00C864A2"/>
    <w:rsid w:val="00C8657E"/>
    <w:rsid w:val="00C877E9"/>
    <w:rsid w:val="00C9049E"/>
    <w:rsid w:val="00C94449"/>
    <w:rsid w:val="00C94653"/>
    <w:rsid w:val="00C96B07"/>
    <w:rsid w:val="00C96C62"/>
    <w:rsid w:val="00C9723A"/>
    <w:rsid w:val="00CA41F9"/>
    <w:rsid w:val="00CA4F0E"/>
    <w:rsid w:val="00CA6A62"/>
    <w:rsid w:val="00CB02AC"/>
    <w:rsid w:val="00CB4579"/>
    <w:rsid w:val="00CB7F9A"/>
    <w:rsid w:val="00CC0616"/>
    <w:rsid w:val="00CC2F00"/>
    <w:rsid w:val="00CC6344"/>
    <w:rsid w:val="00CD3BE0"/>
    <w:rsid w:val="00CE099E"/>
    <w:rsid w:val="00CE64C8"/>
    <w:rsid w:val="00CF097D"/>
    <w:rsid w:val="00CF37BA"/>
    <w:rsid w:val="00CF57C8"/>
    <w:rsid w:val="00CF7E1D"/>
    <w:rsid w:val="00D02C2B"/>
    <w:rsid w:val="00D032F7"/>
    <w:rsid w:val="00D0460F"/>
    <w:rsid w:val="00D12245"/>
    <w:rsid w:val="00D12902"/>
    <w:rsid w:val="00D17498"/>
    <w:rsid w:val="00D17D98"/>
    <w:rsid w:val="00D205BE"/>
    <w:rsid w:val="00D2595C"/>
    <w:rsid w:val="00D314D6"/>
    <w:rsid w:val="00D32980"/>
    <w:rsid w:val="00D34269"/>
    <w:rsid w:val="00D3616E"/>
    <w:rsid w:val="00D412C2"/>
    <w:rsid w:val="00D41A56"/>
    <w:rsid w:val="00D43DA7"/>
    <w:rsid w:val="00D46212"/>
    <w:rsid w:val="00D47231"/>
    <w:rsid w:val="00D550B0"/>
    <w:rsid w:val="00D6007E"/>
    <w:rsid w:val="00D605C1"/>
    <w:rsid w:val="00D60F4C"/>
    <w:rsid w:val="00D62EF1"/>
    <w:rsid w:val="00D64581"/>
    <w:rsid w:val="00D67BFB"/>
    <w:rsid w:val="00D72AA6"/>
    <w:rsid w:val="00D73412"/>
    <w:rsid w:val="00D751BD"/>
    <w:rsid w:val="00D818BE"/>
    <w:rsid w:val="00D82B65"/>
    <w:rsid w:val="00D82EC9"/>
    <w:rsid w:val="00D85313"/>
    <w:rsid w:val="00D85E08"/>
    <w:rsid w:val="00D92326"/>
    <w:rsid w:val="00DA13A9"/>
    <w:rsid w:val="00DA1AA5"/>
    <w:rsid w:val="00DA6015"/>
    <w:rsid w:val="00DB48F0"/>
    <w:rsid w:val="00DB73DA"/>
    <w:rsid w:val="00DC0439"/>
    <w:rsid w:val="00DC1426"/>
    <w:rsid w:val="00DC1A8D"/>
    <w:rsid w:val="00DC24C2"/>
    <w:rsid w:val="00DC28E9"/>
    <w:rsid w:val="00DC39ED"/>
    <w:rsid w:val="00DC6285"/>
    <w:rsid w:val="00DC7ABA"/>
    <w:rsid w:val="00DE0811"/>
    <w:rsid w:val="00DE15DF"/>
    <w:rsid w:val="00DE5277"/>
    <w:rsid w:val="00DE5BFC"/>
    <w:rsid w:val="00DF2864"/>
    <w:rsid w:val="00E04299"/>
    <w:rsid w:val="00E11661"/>
    <w:rsid w:val="00E13264"/>
    <w:rsid w:val="00E13472"/>
    <w:rsid w:val="00E14929"/>
    <w:rsid w:val="00E1720C"/>
    <w:rsid w:val="00E23202"/>
    <w:rsid w:val="00E24581"/>
    <w:rsid w:val="00E251FE"/>
    <w:rsid w:val="00E2742D"/>
    <w:rsid w:val="00E3427B"/>
    <w:rsid w:val="00E423C6"/>
    <w:rsid w:val="00E43A71"/>
    <w:rsid w:val="00E47509"/>
    <w:rsid w:val="00E4759E"/>
    <w:rsid w:val="00E52EAC"/>
    <w:rsid w:val="00E551C0"/>
    <w:rsid w:val="00E5632B"/>
    <w:rsid w:val="00E6027F"/>
    <w:rsid w:val="00E61768"/>
    <w:rsid w:val="00E662F3"/>
    <w:rsid w:val="00E67B7D"/>
    <w:rsid w:val="00E74D07"/>
    <w:rsid w:val="00E778DF"/>
    <w:rsid w:val="00E81B27"/>
    <w:rsid w:val="00E834D5"/>
    <w:rsid w:val="00E84EC6"/>
    <w:rsid w:val="00E8793B"/>
    <w:rsid w:val="00E87C96"/>
    <w:rsid w:val="00E91279"/>
    <w:rsid w:val="00E929AD"/>
    <w:rsid w:val="00EA75BA"/>
    <w:rsid w:val="00EB081A"/>
    <w:rsid w:val="00EB6640"/>
    <w:rsid w:val="00EC0583"/>
    <w:rsid w:val="00EC0BE7"/>
    <w:rsid w:val="00EC102D"/>
    <w:rsid w:val="00EC31D5"/>
    <w:rsid w:val="00EC4CF3"/>
    <w:rsid w:val="00EC6246"/>
    <w:rsid w:val="00EC68A3"/>
    <w:rsid w:val="00ED5C89"/>
    <w:rsid w:val="00EE451E"/>
    <w:rsid w:val="00EF0683"/>
    <w:rsid w:val="00EF3ACF"/>
    <w:rsid w:val="00EF44C3"/>
    <w:rsid w:val="00EF6AAA"/>
    <w:rsid w:val="00F065AA"/>
    <w:rsid w:val="00F069F9"/>
    <w:rsid w:val="00F1267F"/>
    <w:rsid w:val="00F23601"/>
    <w:rsid w:val="00F23A11"/>
    <w:rsid w:val="00F30B06"/>
    <w:rsid w:val="00F317B8"/>
    <w:rsid w:val="00F3722A"/>
    <w:rsid w:val="00F37E63"/>
    <w:rsid w:val="00F44CE4"/>
    <w:rsid w:val="00F44E6F"/>
    <w:rsid w:val="00F47ED9"/>
    <w:rsid w:val="00F52332"/>
    <w:rsid w:val="00F606B5"/>
    <w:rsid w:val="00F672F7"/>
    <w:rsid w:val="00F70483"/>
    <w:rsid w:val="00F73488"/>
    <w:rsid w:val="00F74317"/>
    <w:rsid w:val="00F75F0B"/>
    <w:rsid w:val="00F77E4A"/>
    <w:rsid w:val="00F85243"/>
    <w:rsid w:val="00F86754"/>
    <w:rsid w:val="00F87B3A"/>
    <w:rsid w:val="00F90018"/>
    <w:rsid w:val="00F917AF"/>
    <w:rsid w:val="00F94927"/>
    <w:rsid w:val="00F951F8"/>
    <w:rsid w:val="00F95CD0"/>
    <w:rsid w:val="00F97972"/>
    <w:rsid w:val="00FA0C38"/>
    <w:rsid w:val="00FA50F6"/>
    <w:rsid w:val="00FB3282"/>
    <w:rsid w:val="00FB373D"/>
    <w:rsid w:val="00FB447F"/>
    <w:rsid w:val="00FB56E2"/>
    <w:rsid w:val="00FB6204"/>
    <w:rsid w:val="00FB7961"/>
    <w:rsid w:val="00FC160B"/>
    <w:rsid w:val="00FC4BCC"/>
    <w:rsid w:val="00FC7B42"/>
    <w:rsid w:val="00FD30E7"/>
    <w:rsid w:val="00FD34CB"/>
    <w:rsid w:val="00FD45C1"/>
    <w:rsid w:val="00FE0522"/>
    <w:rsid w:val="00FE0F91"/>
    <w:rsid w:val="00FE1837"/>
    <w:rsid w:val="00FE3A3D"/>
    <w:rsid w:val="00FE6DC2"/>
    <w:rsid w:val="00FF0CEE"/>
    <w:rsid w:val="00FF35D8"/>
    <w:rsid w:val="00FF5ED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C9B660"/>
  <w15:docId w15:val="{DBC70914-497A-480F-947E-C38D221CF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3601"/>
    <w:rPr>
      <w:rFonts w:ascii="Arial" w:eastAsia="Times New Roman" w:hAnsi="Arial" w:cs="Arial"/>
    </w:rPr>
  </w:style>
  <w:style w:type="paragraph" w:styleId="Heading2">
    <w:name w:val="heading 2"/>
    <w:basedOn w:val="Normal"/>
    <w:link w:val="Heading2Char"/>
    <w:uiPriority w:val="9"/>
    <w:qFormat/>
    <w:rsid w:val="009D3BE0"/>
    <w:pPr>
      <w:spacing w:before="100" w:beforeAutospacing="1" w:after="100" w:afterAutospacing="1"/>
      <w:outlineLvl w:val="1"/>
    </w:pPr>
    <w:rPr>
      <w:rFonts w:ascii="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A551CD"/>
    <w:pPr>
      <w:keepNext/>
      <w:keepLines/>
      <w:spacing w:before="40"/>
      <w:outlineLvl w:val="2"/>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5C3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5C3F"/>
    <w:rPr>
      <w:rFonts w:ascii="Lucida Grande" w:eastAsia="Times New Roman" w:hAnsi="Lucida Grande" w:cs="Lucida Grande"/>
      <w:sz w:val="18"/>
      <w:szCs w:val="18"/>
    </w:rPr>
  </w:style>
  <w:style w:type="paragraph" w:styleId="ListParagraph">
    <w:name w:val="List Paragraph"/>
    <w:basedOn w:val="Normal"/>
    <w:uiPriority w:val="34"/>
    <w:qFormat/>
    <w:rsid w:val="004A5566"/>
    <w:pPr>
      <w:ind w:left="720"/>
      <w:contextualSpacing/>
    </w:pPr>
  </w:style>
  <w:style w:type="paragraph" w:styleId="FootnoteText">
    <w:name w:val="footnote text"/>
    <w:basedOn w:val="Normal"/>
    <w:link w:val="FootnoteTextChar"/>
    <w:uiPriority w:val="99"/>
    <w:unhideWhenUsed/>
    <w:rsid w:val="00EC31D5"/>
  </w:style>
  <w:style w:type="character" w:customStyle="1" w:styleId="FootnoteTextChar">
    <w:name w:val="Footnote Text Char"/>
    <w:basedOn w:val="DefaultParagraphFont"/>
    <w:link w:val="FootnoteText"/>
    <w:uiPriority w:val="99"/>
    <w:rsid w:val="00EC31D5"/>
    <w:rPr>
      <w:rFonts w:ascii="Arial" w:eastAsia="Times New Roman" w:hAnsi="Arial" w:cs="Arial"/>
    </w:rPr>
  </w:style>
  <w:style w:type="character" w:styleId="FootnoteReference">
    <w:name w:val="footnote reference"/>
    <w:basedOn w:val="DefaultParagraphFont"/>
    <w:uiPriority w:val="99"/>
    <w:unhideWhenUsed/>
    <w:rsid w:val="00EC31D5"/>
    <w:rPr>
      <w:vertAlign w:val="superscript"/>
    </w:rPr>
  </w:style>
  <w:style w:type="paragraph" w:styleId="Header">
    <w:name w:val="header"/>
    <w:next w:val="Normal"/>
    <w:link w:val="HeaderChar"/>
    <w:uiPriority w:val="99"/>
    <w:unhideWhenUsed/>
    <w:rsid w:val="008201CF"/>
    <w:pPr>
      <w:tabs>
        <w:tab w:val="center" w:pos="4320"/>
        <w:tab w:val="right" w:pos="8640"/>
      </w:tabs>
    </w:pPr>
    <w:rPr>
      <w:rFonts w:ascii="Arial" w:eastAsia="Times New Roman" w:hAnsi="Arial" w:cs="Arial"/>
    </w:rPr>
  </w:style>
  <w:style w:type="character" w:customStyle="1" w:styleId="HeaderChar">
    <w:name w:val="Header Char"/>
    <w:basedOn w:val="DefaultParagraphFont"/>
    <w:link w:val="Header"/>
    <w:uiPriority w:val="99"/>
    <w:rsid w:val="008201CF"/>
    <w:rPr>
      <w:rFonts w:ascii="Arial" w:eastAsia="Times New Roman" w:hAnsi="Arial" w:cs="Arial"/>
    </w:rPr>
  </w:style>
  <w:style w:type="paragraph" w:styleId="Footer">
    <w:name w:val="footer"/>
    <w:basedOn w:val="Normal"/>
    <w:link w:val="FooterChar"/>
    <w:uiPriority w:val="99"/>
    <w:unhideWhenUsed/>
    <w:rsid w:val="00EC31D5"/>
    <w:pPr>
      <w:tabs>
        <w:tab w:val="center" w:pos="4320"/>
        <w:tab w:val="right" w:pos="8640"/>
      </w:tabs>
    </w:pPr>
  </w:style>
  <w:style w:type="character" w:customStyle="1" w:styleId="FooterChar">
    <w:name w:val="Footer Char"/>
    <w:basedOn w:val="DefaultParagraphFont"/>
    <w:link w:val="Footer"/>
    <w:uiPriority w:val="99"/>
    <w:rsid w:val="00EC31D5"/>
    <w:rPr>
      <w:rFonts w:ascii="Arial" w:eastAsia="Times New Roman" w:hAnsi="Arial" w:cs="Arial"/>
    </w:rPr>
  </w:style>
  <w:style w:type="character" w:customStyle="1" w:styleId="highlight">
    <w:name w:val="highlight"/>
    <w:basedOn w:val="DefaultParagraphFont"/>
    <w:rsid w:val="004D3679"/>
  </w:style>
  <w:style w:type="table" w:styleId="TableGrid">
    <w:name w:val="Table Grid"/>
    <w:basedOn w:val="TableNormal"/>
    <w:uiPriority w:val="59"/>
    <w:rsid w:val="008834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2C68"/>
    <w:rPr>
      <w:color w:val="5F5F5F" w:themeColor="hyperlink"/>
      <w:u w:val="single"/>
    </w:rPr>
  </w:style>
  <w:style w:type="table" w:customStyle="1" w:styleId="TableGrid1">
    <w:name w:val="Table Grid1"/>
    <w:basedOn w:val="TableNormal"/>
    <w:next w:val="TableGrid"/>
    <w:uiPriority w:val="59"/>
    <w:rsid w:val="00820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F5799"/>
    <w:rPr>
      <w:color w:val="919191" w:themeColor="followedHyperlink"/>
      <w:u w:val="single"/>
    </w:rPr>
  </w:style>
  <w:style w:type="table" w:customStyle="1" w:styleId="TableGrid2">
    <w:name w:val="Table Grid2"/>
    <w:basedOn w:val="TableNormal"/>
    <w:next w:val="TableGrid"/>
    <w:uiPriority w:val="59"/>
    <w:rsid w:val="003F57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582850"/>
  </w:style>
  <w:style w:type="paragraph" w:customStyle="1" w:styleId="Default">
    <w:name w:val="Default"/>
    <w:rsid w:val="00E24581"/>
    <w:pPr>
      <w:autoSpaceDE w:val="0"/>
      <w:autoSpaceDN w:val="0"/>
      <w:adjustRightInd w:val="0"/>
    </w:pPr>
    <w:rPr>
      <w:rFonts w:ascii="Helvetica 45 Light" w:hAnsi="Helvetica 45 Light" w:cs="Helvetica 45 Light"/>
      <w:color w:val="000000"/>
    </w:rPr>
  </w:style>
  <w:style w:type="paragraph" w:styleId="BodyText">
    <w:name w:val="Body Text"/>
    <w:basedOn w:val="Normal"/>
    <w:link w:val="BodyTextChar"/>
    <w:rsid w:val="008416F1"/>
    <w:pPr>
      <w:jc w:val="both"/>
    </w:pPr>
    <w:rPr>
      <w:rFonts w:ascii="Tahoma" w:hAnsi="Tahoma" w:cs="Times New Roman"/>
      <w:sz w:val="26"/>
      <w:szCs w:val="20"/>
    </w:rPr>
  </w:style>
  <w:style w:type="character" w:customStyle="1" w:styleId="BodyTextChar">
    <w:name w:val="Body Text Char"/>
    <w:basedOn w:val="DefaultParagraphFont"/>
    <w:link w:val="BodyText"/>
    <w:rsid w:val="008416F1"/>
    <w:rPr>
      <w:rFonts w:ascii="Tahoma" w:eastAsia="Times New Roman" w:hAnsi="Tahoma" w:cs="Times New Roman"/>
      <w:sz w:val="26"/>
      <w:szCs w:val="20"/>
    </w:rPr>
  </w:style>
  <w:style w:type="paragraph" w:styleId="List3">
    <w:name w:val="List 3"/>
    <w:basedOn w:val="Normal"/>
    <w:rsid w:val="008416F1"/>
    <w:pPr>
      <w:ind w:left="849" w:hanging="283"/>
    </w:pPr>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6A280F"/>
    <w:rPr>
      <w:sz w:val="16"/>
      <w:szCs w:val="16"/>
    </w:rPr>
  </w:style>
  <w:style w:type="paragraph" w:styleId="CommentText">
    <w:name w:val="annotation text"/>
    <w:basedOn w:val="Normal"/>
    <w:link w:val="CommentTextChar"/>
    <w:uiPriority w:val="99"/>
    <w:unhideWhenUsed/>
    <w:rsid w:val="006A280F"/>
    <w:rPr>
      <w:sz w:val="20"/>
      <w:szCs w:val="20"/>
    </w:rPr>
  </w:style>
  <w:style w:type="character" w:customStyle="1" w:styleId="CommentTextChar">
    <w:name w:val="Comment Text Char"/>
    <w:basedOn w:val="DefaultParagraphFont"/>
    <w:link w:val="CommentText"/>
    <w:uiPriority w:val="99"/>
    <w:rsid w:val="006A280F"/>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6A280F"/>
    <w:rPr>
      <w:b/>
      <w:bCs/>
    </w:rPr>
  </w:style>
  <w:style w:type="character" w:customStyle="1" w:styleId="CommentSubjectChar">
    <w:name w:val="Comment Subject Char"/>
    <w:basedOn w:val="CommentTextChar"/>
    <w:link w:val="CommentSubject"/>
    <w:uiPriority w:val="99"/>
    <w:semiHidden/>
    <w:rsid w:val="006A280F"/>
    <w:rPr>
      <w:rFonts w:ascii="Arial" w:eastAsia="Times New Roman" w:hAnsi="Arial" w:cs="Arial"/>
      <w:b/>
      <w:bCs/>
      <w:sz w:val="20"/>
      <w:szCs w:val="20"/>
    </w:rPr>
  </w:style>
  <w:style w:type="paragraph" w:styleId="NormalWeb">
    <w:name w:val="Normal (Web)"/>
    <w:basedOn w:val="Normal"/>
    <w:uiPriority w:val="99"/>
    <w:semiHidden/>
    <w:unhideWhenUsed/>
    <w:rsid w:val="004D1B58"/>
    <w:rPr>
      <w:rFonts w:ascii="Times New Roman" w:hAnsi="Times New Roman" w:cs="Times New Roman"/>
    </w:rPr>
  </w:style>
  <w:style w:type="table" w:customStyle="1" w:styleId="TableGrid3">
    <w:name w:val="Table Grid3"/>
    <w:basedOn w:val="TableNormal"/>
    <w:next w:val="TableGrid"/>
    <w:uiPriority w:val="59"/>
    <w:rsid w:val="00BB3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BB3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D3BE0"/>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9D3BE0"/>
    <w:rPr>
      <w:b/>
      <w:bCs/>
    </w:rPr>
  </w:style>
  <w:style w:type="character" w:customStyle="1" w:styleId="Heading3Char">
    <w:name w:val="Heading 3 Char"/>
    <w:basedOn w:val="DefaultParagraphFont"/>
    <w:link w:val="Heading3"/>
    <w:uiPriority w:val="9"/>
    <w:semiHidden/>
    <w:rsid w:val="00A551CD"/>
    <w:rPr>
      <w:rFonts w:asciiTheme="majorHAnsi" w:eastAsiaTheme="majorEastAsia" w:hAnsiTheme="majorHAnsi" w:cstheme="majorBidi"/>
      <w:color w:val="6E6E6E" w:themeColor="accent1" w:themeShade="7F"/>
    </w:rPr>
  </w:style>
  <w:style w:type="character" w:styleId="PageNumber">
    <w:name w:val="page number"/>
    <w:basedOn w:val="DefaultParagraphFont"/>
    <w:uiPriority w:val="99"/>
    <w:semiHidden/>
    <w:unhideWhenUsed/>
    <w:rsid w:val="00064BDC"/>
  </w:style>
  <w:style w:type="character" w:customStyle="1" w:styleId="UnresolvedMention1">
    <w:name w:val="Unresolved Mention1"/>
    <w:basedOn w:val="DefaultParagraphFont"/>
    <w:uiPriority w:val="99"/>
    <w:semiHidden/>
    <w:unhideWhenUsed/>
    <w:rsid w:val="00C4231F"/>
    <w:rPr>
      <w:color w:val="605E5C"/>
      <w:shd w:val="clear" w:color="auto" w:fill="E1DFDD"/>
    </w:rPr>
  </w:style>
  <w:style w:type="paragraph" w:styleId="Revision">
    <w:name w:val="Revision"/>
    <w:hidden/>
    <w:uiPriority w:val="99"/>
    <w:semiHidden/>
    <w:rsid w:val="00E87C96"/>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93265">
      <w:bodyDiv w:val="1"/>
      <w:marLeft w:val="0"/>
      <w:marRight w:val="0"/>
      <w:marTop w:val="0"/>
      <w:marBottom w:val="0"/>
      <w:divBdr>
        <w:top w:val="none" w:sz="0" w:space="0" w:color="auto"/>
        <w:left w:val="none" w:sz="0" w:space="0" w:color="auto"/>
        <w:bottom w:val="none" w:sz="0" w:space="0" w:color="auto"/>
        <w:right w:val="none" w:sz="0" w:space="0" w:color="auto"/>
      </w:divBdr>
      <w:divsChild>
        <w:div w:id="126315171">
          <w:marLeft w:val="0"/>
          <w:marRight w:val="0"/>
          <w:marTop w:val="0"/>
          <w:marBottom w:val="0"/>
          <w:divBdr>
            <w:top w:val="none" w:sz="0" w:space="0" w:color="auto"/>
            <w:left w:val="none" w:sz="0" w:space="0" w:color="auto"/>
            <w:bottom w:val="none" w:sz="0" w:space="0" w:color="auto"/>
            <w:right w:val="none" w:sz="0" w:space="0" w:color="auto"/>
          </w:divBdr>
          <w:divsChild>
            <w:div w:id="179704069">
              <w:marLeft w:val="0"/>
              <w:marRight w:val="0"/>
              <w:marTop w:val="0"/>
              <w:marBottom w:val="0"/>
              <w:divBdr>
                <w:top w:val="none" w:sz="0" w:space="0" w:color="auto"/>
                <w:left w:val="none" w:sz="0" w:space="0" w:color="auto"/>
                <w:bottom w:val="none" w:sz="0" w:space="0" w:color="auto"/>
                <w:right w:val="none" w:sz="0" w:space="0" w:color="auto"/>
              </w:divBdr>
              <w:divsChild>
                <w:div w:id="467552922">
                  <w:marLeft w:val="0"/>
                  <w:marRight w:val="0"/>
                  <w:marTop w:val="0"/>
                  <w:marBottom w:val="0"/>
                  <w:divBdr>
                    <w:top w:val="none" w:sz="0" w:space="0" w:color="auto"/>
                    <w:left w:val="none" w:sz="0" w:space="0" w:color="auto"/>
                    <w:bottom w:val="none" w:sz="0" w:space="0" w:color="auto"/>
                    <w:right w:val="none" w:sz="0" w:space="0" w:color="auto"/>
                  </w:divBdr>
                  <w:divsChild>
                    <w:div w:id="1103108045">
                      <w:marLeft w:val="0"/>
                      <w:marRight w:val="0"/>
                      <w:marTop w:val="210"/>
                      <w:marBottom w:val="0"/>
                      <w:divBdr>
                        <w:top w:val="none" w:sz="0" w:space="0" w:color="auto"/>
                        <w:left w:val="none" w:sz="0" w:space="0" w:color="auto"/>
                        <w:bottom w:val="none" w:sz="0" w:space="0" w:color="auto"/>
                        <w:right w:val="none" w:sz="0" w:space="0" w:color="auto"/>
                      </w:divBdr>
                      <w:divsChild>
                        <w:div w:id="2141026030">
                          <w:marLeft w:val="0"/>
                          <w:marRight w:val="0"/>
                          <w:marTop w:val="0"/>
                          <w:marBottom w:val="0"/>
                          <w:divBdr>
                            <w:top w:val="none" w:sz="0" w:space="0" w:color="auto"/>
                            <w:left w:val="none" w:sz="0" w:space="0" w:color="auto"/>
                            <w:bottom w:val="none" w:sz="0" w:space="0" w:color="auto"/>
                            <w:right w:val="none" w:sz="0" w:space="0" w:color="auto"/>
                          </w:divBdr>
                          <w:divsChild>
                            <w:div w:id="1965623103">
                              <w:marLeft w:val="0"/>
                              <w:marRight w:val="0"/>
                              <w:marTop w:val="0"/>
                              <w:marBottom w:val="0"/>
                              <w:divBdr>
                                <w:top w:val="none" w:sz="0" w:space="0" w:color="auto"/>
                                <w:left w:val="none" w:sz="0" w:space="0" w:color="auto"/>
                                <w:bottom w:val="none" w:sz="0" w:space="0" w:color="auto"/>
                                <w:right w:val="none" w:sz="0" w:space="0" w:color="auto"/>
                              </w:divBdr>
                              <w:divsChild>
                                <w:div w:id="60430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5633112">
      <w:bodyDiv w:val="1"/>
      <w:marLeft w:val="0"/>
      <w:marRight w:val="0"/>
      <w:marTop w:val="0"/>
      <w:marBottom w:val="0"/>
      <w:divBdr>
        <w:top w:val="none" w:sz="0" w:space="0" w:color="auto"/>
        <w:left w:val="none" w:sz="0" w:space="0" w:color="auto"/>
        <w:bottom w:val="none" w:sz="0" w:space="0" w:color="auto"/>
        <w:right w:val="none" w:sz="0" w:space="0" w:color="auto"/>
      </w:divBdr>
      <w:divsChild>
        <w:div w:id="1470899623">
          <w:marLeft w:val="0"/>
          <w:marRight w:val="0"/>
          <w:marTop w:val="0"/>
          <w:marBottom w:val="0"/>
          <w:divBdr>
            <w:top w:val="none" w:sz="0" w:space="0" w:color="auto"/>
            <w:left w:val="none" w:sz="0" w:space="0" w:color="auto"/>
            <w:bottom w:val="none" w:sz="0" w:space="0" w:color="auto"/>
            <w:right w:val="none" w:sz="0" w:space="0" w:color="auto"/>
          </w:divBdr>
          <w:divsChild>
            <w:div w:id="570431338">
              <w:marLeft w:val="0"/>
              <w:marRight w:val="0"/>
              <w:marTop w:val="0"/>
              <w:marBottom w:val="0"/>
              <w:divBdr>
                <w:top w:val="none" w:sz="0" w:space="0" w:color="auto"/>
                <w:left w:val="none" w:sz="0" w:space="0" w:color="auto"/>
                <w:bottom w:val="none" w:sz="0" w:space="0" w:color="auto"/>
                <w:right w:val="none" w:sz="0" w:space="0" w:color="auto"/>
              </w:divBdr>
              <w:divsChild>
                <w:div w:id="714430598">
                  <w:marLeft w:val="0"/>
                  <w:marRight w:val="0"/>
                  <w:marTop w:val="0"/>
                  <w:marBottom w:val="0"/>
                  <w:divBdr>
                    <w:top w:val="none" w:sz="0" w:space="0" w:color="auto"/>
                    <w:left w:val="none" w:sz="0" w:space="0" w:color="auto"/>
                    <w:bottom w:val="none" w:sz="0" w:space="0" w:color="auto"/>
                    <w:right w:val="none" w:sz="0" w:space="0" w:color="auto"/>
                  </w:divBdr>
                  <w:divsChild>
                    <w:div w:id="990330205">
                      <w:marLeft w:val="0"/>
                      <w:marRight w:val="0"/>
                      <w:marTop w:val="210"/>
                      <w:marBottom w:val="0"/>
                      <w:divBdr>
                        <w:top w:val="none" w:sz="0" w:space="0" w:color="auto"/>
                        <w:left w:val="none" w:sz="0" w:space="0" w:color="auto"/>
                        <w:bottom w:val="none" w:sz="0" w:space="0" w:color="auto"/>
                        <w:right w:val="none" w:sz="0" w:space="0" w:color="auto"/>
                      </w:divBdr>
                      <w:divsChild>
                        <w:div w:id="1091778492">
                          <w:marLeft w:val="0"/>
                          <w:marRight w:val="0"/>
                          <w:marTop w:val="0"/>
                          <w:marBottom w:val="0"/>
                          <w:divBdr>
                            <w:top w:val="none" w:sz="0" w:space="0" w:color="auto"/>
                            <w:left w:val="none" w:sz="0" w:space="0" w:color="auto"/>
                            <w:bottom w:val="none" w:sz="0" w:space="0" w:color="auto"/>
                            <w:right w:val="none" w:sz="0" w:space="0" w:color="auto"/>
                          </w:divBdr>
                          <w:divsChild>
                            <w:div w:id="295725742">
                              <w:marLeft w:val="0"/>
                              <w:marRight w:val="0"/>
                              <w:marTop w:val="0"/>
                              <w:marBottom w:val="0"/>
                              <w:divBdr>
                                <w:top w:val="none" w:sz="0" w:space="0" w:color="auto"/>
                                <w:left w:val="none" w:sz="0" w:space="0" w:color="auto"/>
                                <w:bottom w:val="none" w:sz="0" w:space="0" w:color="auto"/>
                                <w:right w:val="none" w:sz="0" w:space="0" w:color="auto"/>
                              </w:divBdr>
                              <w:divsChild>
                                <w:div w:id="103253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9884486">
      <w:bodyDiv w:val="1"/>
      <w:marLeft w:val="0"/>
      <w:marRight w:val="0"/>
      <w:marTop w:val="0"/>
      <w:marBottom w:val="0"/>
      <w:divBdr>
        <w:top w:val="none" w:sz="0" w:space="0" w:color="auto"/>
        <w:left w:val="none" w:sz="0" w:space="0" w:color="auto"/>
        <w:bottom w:val="none" w:sz="0" w:space="0" w:color="auto"/>
        <w:right w:val="none" w:sz="0" w:space="0" w:color="auto"/>
      </w:divBdr>
    </w:div>
    <w:div w:id="536891513">
      <w:bodyDiv w:val="1"/>
      <w:marLeft w:val="0"/>
      <w:marRight w:val="0"/>
      <w:marTop w:val="0"/>
      <w:marBottom w:val="0"/>
      <w:divBdr>
        <w:top w:val="none" w:sz="0" w:space="0" w:color="auto"/>
        <w:left w:val="none" w:sz="0" w:space="0" w:color="auto"/>
        <w:bottom w:val="none" w:sz="0" w:space="0" w:color="auto"/>
        <w:right w:val="none" w:sz="0" w:space="0" w:color="auto"/>
      </w:divBdr>
      <w:divsChild>
        <w:div w:id="71318563">
          <w:marLeft w:val="0"/>
          <w:marRight w:val="0"/>
          <w:marTop w:val="0"/>
          <w:marBottom w:val="0"/>
          <w:divBdr>
            <w:top w:val="none" w:sz="0" w:space="0" w:color="auto"/>
            <w:left w:val="none" w:sz="0" w:space="0" w:color="auto"/>
            <w:bottom w:val="none" w:sz="0" w:space="0" w:color="auto"/>
            <w:right w:val="none" w:sz="0" w:space="0" w:color="auto"/>
          </w:divBdr>
          <w:divsChild>
            <w:div w:id="584730779">
              <w:marLeft w:val="0"/>
              <w:marRight w:val="0"/>
              <w:marTop w:val="0"/>
              <w:marBottom w:val="0"/>
              <w:divBdr>
                <w:top w:val="none" w:sz="0" w:space="0" w:color="auto"/>
                <w:left w:val="none" w:sz="0" w:space="0" w:color="auto"/>
                <w:bottom w:val="none" w:sz="0" w:space="0" w:color="auto"/>
                <w:right w:val="none" w:sz="0" w:space="0" w:color="auto"/>
              </w:divBdr>
              <w:divsChild>
                <w:div w:id="1252474795">
                  <w:marLeft w:val="0"/>
                  <w:marRight w:val="0"/>
                  <w:marTop w:val="0"/>
                  <w:marBottom w:val="0"/>
                  <w:divBdr>
                    <w:top w:val="none" w:sz="0" w:space="0" w:color="auto"/>
                    <w:left w:val="none" w:sz="0" w:space="0" w:color="auto"/>
                    <w:bottom w:val="none" w:sz="0" w:space="0" w:color="auto"/>
                    <w:right w:val="none" w:sz="0" w:space="0" w:color="auto"/>
                  </w:divBdr>
                  <w:divsChild>
                    <w:div w:id="721096330">
                      <w:marLeft w:val="0"/>
                      <w:marRight w:val="0"/>
                      <w:marTop w:val="0"/>
                      <w:marBottom w:val="0"/>
                      <w:divBdr>
                        <w:top w:val="none" w:sz="0" w:space="0" w:color="auto"/>
                        <w:left w:val="none" w:sz="0" w:space="0" w:color="auto"/>
                        <w:bottom w:val="none" w:sz="0" w:space="0" w:color="auto"/>
                        <w:right w:val="none" w:sz="0" w:space="0" w:color="auto"/>
                      </w:divBdr>
                      <w:divsChild>
                        <w:div w:id="197863675">
                          <w:marLeft w:val="0"/>
                          <w:marRight w:val="0"/>
                          <w:marTop w:val="0"/>
                          <w:marBottom w:val="0"/>
                          <w:divBdr>
                            <w:top w:val="none" w:sz="0" w:space="0" w:color="auto"/>
                            <w:left w:val="none" w:sz="0" w:space="0" w:color="auto"/>
                            <w:bottom w:val="none" w:sz="0" w:space="0" w:color="auto"/>
                            <w:right w:val="none" w:sz="0" w:space="0" w:color="auto"/>
                          </w:divBdr>
                          <w:divsChild>
                            <w:div w:id="2022735371">
                              <w:marLeft w:val="0"/>
                              <w:marRight w:val="0"/>
                              <w:marTop w:val="0"/>
                              <w:marBottom w:val="0"/>
                              <w:divBdr>
                                <w:top w:val="none" w:sz="0" w:space="0" w:color="auto"/>
                                <w:left w:val="none" w:sz="0" w:space="0" w:color="auto"/>
                                <w:bottom w:val="none" w:sz="0" w:space="0" w:color="auto"/>
                                <w:right w:val="none" w:sz="0" w:space="0" w:color="auto"/>
                              </w:divBdr>
                              <w:divsChild>
                                <w:div w:id="1063022853">
                                  <w:marLeft w:val="0"/>
                                  <w:marRight w:val="0"/>
                                  <w:marTop w:val="0"/>
                                  <w:marBottom w:val="0"/>
                                  <w:divBdr>
                                    <w:top w:val="none" w:sz="0" w:space="0" w:color="auto"/>
                                    <w:left w:val="none" w:sz="0" w:space="0" w:color="auto"/>
                                    <w:bottom w:val="none" w:sz="0" w:space="0" w:color="auto"/>
                                    <w:right w:val="none" w:sz="0" w:space="0" w:color="auto"/>
                                  </w:divBdr>
                                  <w:divsChild>
                                    <w:div w:id="835806553">
                                      <w:marLeft w:val="0"/>
                                      <w:marRight w:val="0"/>
                                      <w:marTop w:val="0"/>
                                      <w:marBottom w:val="0"/>
                                      <w:divBdr>
                                        <w:top w:val="none" w:sz="0" w:space="0" w:color="auto"/>
                                        <w:left w:val="none" w:sz="0" w:space="0" w:color="auto"/>
                                        <w:bottom w:val="none" w:sz="0" w:space="0" w:color="auto"/>
                                        <w:right w:val="none" w:sz="0" w:space="0" w:color="auto"/>
                                      </w:divBdr>
                                      <w:divsChild>
                                        <w:div w:id="444346623">
                                          <w:marLeft w:val="0"/>
                                          <w:marRight w:val="0"/>
                                          <w:marTop w:val="0"/>
                                          <w:marBottom w:val="0"/>
                                          <w:divBdr>
                                            <w:top w:val="none" w:sz="0" w:space="0" w:color="auto"/>
                                            <w:left w:val="none" w:sz="0" w:space="0" w:color="auto"/>
                                            <w:bottom w:val="none" w:sz="0" w:space="0" w:color="auto"/>
                                            <w:right w:val="none" w:sz="0" w:space="0" w:color="auto"/>
                                          </w:divBdr>
                                          <w:divsChild>
                                            <w:div w:id="32926518">
                                              <w:marLeft w:val="0"/>
                                              <w:marRight w:val="0"/>
                                              <w:marTop w:val="0"/>
                                              <w:marBottom w:val="0"/>
                                              <w:divBdr>
                                                <w:top w:val="none" w:sz="0" w:space="0" w:color="auto"/>
                                                <w:left w:val="none" w:sz="0" w:space="0" w:color="auto"/>
                                                <w:bottom w:val="none" w:sz="0" w:space="0" w:color="auto"/>
                                                <w:right w:val="none" w:sz="0" w:space="0" w:color="auto"/>
                                              </w:divBdr>
                                              <w:divsChild>
                                                <w:div w:id="1649507394">
                                                  <w:marLeft w:val="0"/>
                                                  <w:marRight w:val="0"/>
                                                  <w:marTop w:val="0"/>
                                                  <w:marBottom w:val="45"/>
                                                  <w:divBdr>
                                                    <w:top w:val="none" w:sz="0" w:space="0" w:color="auto"/>
                                                    <w:left w:val="none" w:sz="0" w:space="0" w:color="auto"/>
                                                    <w:bottom w:val="none" w:sz="0" w:space="0" w:color="auto"/>
                                                    <w:right w:val="none" w:sz="0" w:space="0" w:color="auto"/>
                                                  </w:divBdr>
                                                </w:div>
                                                <w:div w:id="400181577">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6595755">
      <w:bodyDiv w:val="1"/>
      <w:marLeft w:val="0"/>
      <w:marRight w:val="0"/>
      <w:marTop w:val="0"/>
      <w:marBottom w:val="0"/>
      <w:divBdr>
        <w:top w:val="none" w:sz="0" w:space="0" w:color="auto"/>
        <w:left w:val="none" w:sz="0" w:space="0" w:color="auto"/>
        <w:bottom w:val="none" w:sz="0" w:space="0" w:color="auto"/>
        <w:right w:val="none" w:sz="0" w:space="0" w:color="auto"/>
      </w:divBdr>
    </w:div>
    <w:div w:id="792016289">
      <w:bodyDiv w:val="1"/>
      <w:marLeft w:val="0"/>
      <w:marRight w:val="0"/>
      <w:marTop w:val="0"/>
      <w:marBottom w:val="0"/>
      <w:divBdr>
        <w:top w:val="none" w:sz="0" w:space="0" w:color="auto"/>
        <w:left w:val="none" w:sz="0" w:space="0" w:color="auto"/>
        <w:bottom w:val="none" w:sz="0" w:space="0" w:color="auto"/>
        <w:right w:val="none" w:sz="0" w:space="0" w:color="auto"/>
      </w:divBdr>
      <w:divsChild>
        <w:div w:id="2135832698">
          <w:marLeft w:val="0"/>
          <w:marRight w:val="0"/>
          <w:marTop w:val="0"/>
          <w:marBottom w:val="0"/>
          <w:divBdr>
            <w:top w:val="none" w:sz="0" w:space="0" w:color="auto"/>
            <w:left w:val="none" w:sz="0" w:space="0" w:color="auto"/>
            <w:bottom w:val="none" w:sz="0" w:space="0" w:color="auto"/>
            <w:right w:val="none" w:sz="0" w:space="0" w:color="auto"/>
          </w:divBdr>
          <w:divsChild>
            <w:div w:id="420152190">
              <w:marLeft w:val="0"/>
              <w:marRight w:val="0"/>
              <w:marTop w:val="0"/>
              <w:marBottom w:val="0"/>
              <w:divBdr>
                <w:top w:val="none" w:sz="0" w:space="0" w:color="auto"/>
                <w:left w:val="none" w:sz="0" w:space="0" w:color="auto"/>
                <w:bottom w:val="none" w:sz="0" w:space="0" w:color="auto"/>
                <w:right w:val="none" w:sz="0" w:space="0" w:color="auto"/>
              </w:divBdr>
              <w:divsChild>
                <w:div w:id="1975210981">
                  <w:marLeft w:val="0"/>
                  <w:marRight w:val="0"/>
                  <w:marTop w:val="0"/>
                  <w:marBottom w:val="0"/>
                  <w:divBdr>
                    <w:top w:val="none" w:sz="0" w:space="0" w:color="auto"/>
                    <w:left w:val="none" w:sz="0" w:space="0" w:color="auto"/>
                    <w:bottom w:val="none" w:sz="0" w:space="0" w:color="auto"/>
                    <w:right w:val="none" w:sz="0" w:space="0" w:color="auto"/>
                  </w:divBdr>
                  <w:divsChild>
                    <w:div w:id="233514286">
                      <w:marLeft w:val="0"/>
                      <w:marRight w:val="0"/>
                      <w:marTop w:val="210"/>
                      <w:marBottom w:val="0"/>
                      <w:divBdr>
                        <w:top w:val="none" w:sz="0" w:space="0" w:color="auto"/>
                        <w:left w:val="none" w:sz="0" w:space="0" w:color="auto"/>
                        <w:bottom w:val="none" w:sz="0" w:space="0" w:color="auto"/>
                        <w:right w:val="none" w:sz="0" w:space="0" w:color="auto"/>
                      </w:divBdr>
                      <w:divsChild>
                        <w:div w:id="1862930293">
                          <w:marLeft w:val="0"/>
                          <w:marRight w:val="0"/>
                          <w:marTop w:val="0"/>
                          <w:marBottom w:val="0"/>
                          <w:divBdr>
                            <w:top w:val="none" w:sz="0" w:space="0" w:color="auto"/>
                            <w:left w:val="none" w:sz="0" w:space="0" w:color="auto"/>
                            <w:bottom w:val="none" w:sz="0" w:space="0" w:color="auto"/>
                            <w:right w:val="none" w:sz="0" w:space="0" w:color="auto"/>
                          </w:divBdr>
                          <w:divsChild>
                            <w:div w:id="1951275690">
                              <w:marLeft w:val="0"/>
                              <w:marRight w:val="0"/>
                              <w:marTop w:val="0"/>
                              <w:marBottom w:val="0"/>
                              <w:divBdr>
                                <w:top w:val="none" w:sz="0" w:space="0" w:color="auto"/>
                                <w:left w:val="none" w:sz="0" w:space="0" w:color="auto"/>
                                <w:bottom w:val="none" w:sz="0" w:space="0" w:color="auto"/>
                                <w:right w:val="none" w:sz="0" w:space="0" w:color="auto"/>
                              </w:divBdr>
                              <w:divsChild>
                                <w:div w:id="136664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0155378">
      <w:bodyDiv w:val="1"/>
      <w:marLeft w:val="0"/>
      <w:marRight w:val="0"/>
      <w:marTop w:val="0"/>
      <w:marBottom w:val="0"/>
      <w:divBdr>
        <w:top w:val="none" w:sz="0" w:space="0" w:color="auto"/>
        <w:left w:val="none" w:sz="0" w:space="0" w:color="auto"/>
        <w:bottom w:val="none" w:sz="0" w:space="0" w:color="auto"/>
        <w:right w:val="none" w:sz="0" w:space="0" w:color="auto"/>
      </w:divBdr>
      <w:divsChild>
        <w:div w:id="26831721">
          <w:marLeft w:val="0"/>
          <w:marRight w:val="0"/>
          <w:marTop w:val="0"/>
          <w:marBottom w:val="0"/>
          <w:divBdr>
            <w:top w:val="none" w:sz="0" w:space="0" w:color="auto"/>
            <w:left w:val="none" w:sz="0" w:space="0" w:color="auto"/>
            <w:bottom w:val="none" w:sz="0" w:space="0" w:color="auto"/>
            <w:right w:val="none" w:sz="0" w:space="0" w:color="auto"/>
          </w:divBdr>
          <w:divsChild>
            <w:div w:id="558903433">
              <w:marLeft w:val="0"/>
              <w:marRight w:val="0"/>
              <w:marTop w:val="0"/>
              <w:marBottom w:val="0"/>
              <w:divBdr>
                <w:top w:val="none" w:sz="0" w:space="0" w:color="auto"/>
                <w:left w:val="none" w:sz="0" w:space="0" w:color="auto"/>
                <w:bottom w:val="none" w:sz="0" w:space="0" w:color="auto"/>
                <w:right w:val="none" w:sz="0" w:space="0" w:color="auto"/>
              </w:divBdr>
              <w:divsChild>
                <w:div w:id="323749629">
                  <w:marLeft w:val="0"/>
                  <w:marRight w:val="0"/>
                  <w:marTop w:val="0"/>
                  <w:marBottom w:val="0"/>
                  <w:divBdr>
                    <w:top w:val="none" w:sz="0" w:space="0" w:color="auto"/>
                    <w:left w:val="none" w:sz="0" w:space="0" w:color="auto"/>
                    <w:bottom w:val="none" w:sz="0" w:space="0" w:color="auto"/>
                    <w:right w:val="none" w:sz="0" w:space="0" w:color="auto"/>
                  </w:divBdr>
                  <w:divsChild>
                    <w:div w:id="164518855">
                      <w:marLeft w:val="0"/>
                      <w:marRight w:val="0"/>
                      <w:marTop w:val="210"/>
                      <w:marBottom w:val="0"/>
                      <w:divBdr>
                        <w:top w:val="none" w:sz="0" w:space="0" w:color="auto"/>
                        <w:left w:val="none" w:sz="0" w:space="0" w:color="auto"/>
                        <w:bottom w:val="none" w:sz="0" w:space="0" w:color="auto"/>
                        <w:right w:val="none" w:sz="0" w:space="0" w:color="auto"/>
                      </w:divBdr>
                      <w:divsChild>
                        <w:div w:id="509218307">
                          <w:marLeft w:val="0"/>
                          <w:marRight w:val="0"/>
                          <w:marTop w:val="0"/>
                          <w:marBottom w:val="0"/>
                          <w:divBdr>
                            <w:top w:val="none" w:sz="0" w:space="0" w:color="auto"/>
                            <w:left w:val="none" w:sz="0" w:space="0" w:color="auto"/>
                            <w:bottom w:val="none" w:sz="0" w:space="0" w:color="auto"/>
                            <w:right w:val="none" w:sz="0" w:space="0" w:color="auto"/>
                          </w:divBdr>
                          <w:divsChild>
                            <w:div w:id="982809883">
                              <w:marLeft w:val="0"/>
                              <w:marRight w:val="0"/>
                              <w:marTop w:val="0"/>
                              <w:marBottom w:val="0"/>
                              <w:divBdr>
                                <w:top w:val="none" w:sz="0" w:space="0" w:color="auto"/>
                                <w:left w:val="none" w:sz="0" w:space="0" w:color="auto"/>
                                <w:bottom w:val="none" w:sz="0" w:space="0" w:color="auto"/>
                                <w:right w:val="none" w:sz="0" w:space="0" w:color="auto"/>
                              </w:divBdr>
                              <w:divsChild>
                                <w:div w:id="108947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7217828">
      <w:bodyDiv w:val="1"/>
      <w:marLeft w:val="0"/>
      <w:marRight w:val="0"/>
      <w:marTop w:val="0"/>
      <w:marBottom w:val="0"/>
      <w:divBdr>
        <w:top w:val="none" w:sz="0" w:space="0" w:color="auto"/>
        <w:left w:val="none" w:sz="0" w:space="0" w:color="auto"/>
        <w:bottom w:val="none" w:sz="0" w:space="0" w:color="auto"/>
        <w:right w:val="none" w:sz="0" w:space="0" w:color="auto"/>
      </w:divBdr>
      <w:divsChild>
        <w:div w:id="2110612382">
          <w:marLeft w:val="0"/>
          <w:marRight w:val="0"/>
          <w:marTop w:val="0"/>
          <w:marBottom w:val="0"/>
          <w:divBdr>
            <w:top w:val="none" w:sz="0" w:space="0" w:color="auto"/>
            <w:left w:val="none" w:sz="0" w:space="0" w:color="auto"/>
            <w:bottom w:val="none" w:sz="0" w:space="0" w:color="auto"/>
            <w:right w:val="none" w:sz="0" w:space="0" w:color="auto"/>
          </w:divBdr>
          <w:divsChild>
            <w:div w:id="824472347">
              <w:marLeft w:val="0"/>
              <w:marRight w:val="0"/>
              <w:marTop w:val="0"/>
              <w:marBottom w:val="0"/>
              <w:divBdr>
                <w:top w:val="none" w:sz="0" w:space="0" w:color="auto"/>
                <w:left w:val="none" w:sz="0" w:space="0" w:color="auto"/>
                <w:bottom w:val="none" w:sz="0" w:space="0" w:color="auto"/>
                <w:right w:val="none" w:sz="0" w:space="0" w:color="auto"/>
              </w:divBdr>
              <w:divsChild>
                <w:div w:id="1473061568">
                  <w:marLeft w:val="0"/>
                  <w:marRight w:val="0"/>
                  <w:marTop w:val="0"/>
                  <w:marBottom w:val="0"/>
                  <w:divBdr>
                    <w:top w:val="none" w:sz="0" w:space="0" w:color="auto"/>
                    <w:left w:val="none" w:sz="0" w:space="0" w:color="auto"/>
                    <w:bottom w:val="none" w:sz="0" w:space="0" w:color="auto"/>
                    <w:right w:val="none" w:sz="0" w:space="0" w:color="auto"/>
                  </w:divBdr>
                  <w:divsChild>
                    <w:div w:id="1789423499">
                      <w:marLeft w:val="0"/>
                      <w:marRight w:val="0"/>
                      <w:marTop w:val="210"/>
                      <w:marBottom w:val="0"/>
                      <w:divBdr>
                        <w:top w:val="none" w:sz="0" w:space="0" w:color="auto"/>
                        <w:left w:val="none" w:sz="0" w:space="0" w:color="auto"/>
                        <w:bottom w:val="none" w:sz="0" w:space="0" w:color="auto"/>
                        <w:right w:val="none" w:sz="0" w:space="0" w:color="auto"/>
                      </w:divBdr>
                      <w:divsChild>
                        <w:div w:id="1257901707">
                          <w:marLeft w:val="0"/>
                          <w:marRight w:val="0"/>
                          <w:marTop w:val="0"/>
                          <w:marBottom w:val="0"/>
                          <w:divBdr>
                            <w:top w:val="none" w:sz="0" w:space="0" w:color="auto"/>
                            <w:left w:val="none" w:sz="0" w:space="0" w:color="auto"/>
                            <w:bottom w:val="none" w:sz="0" w:space="0" w:color="auto"/>
                            <w:right w:val="none" w:sz="0" w:space="0" w:color="auto"/>
                          </w:divBdr>
                          <w:divsChild>
                            <w:div w:id="1242717072">
                              <w:marLeft w:val="0"/>
                              <w:marRight w:val="0"/>
                              <w:marTop w:val="0"/>
                              <w:marBottom w:val="0"/>
                              <w:divBdr>
                                <w:top w:val="none" w:sz="0" w:space="0" w:color="auto"/>
                                <w:left w:val="none" w:sz="0" w:space="0" w:color="auto"/>
                                <w:bottom w:val="none" w:sz="0" w:space="0" w:color="auto"/>
                                <w:right w:val="none" w:sz="0" w:space="0" w:color="auto"/>
                              </w:divBdr>
                              <w:divsChild>
                                <w:div w:id="183815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9086535">
      <w:bodyDiv w:val="1"/>
      <w:marLeft w:val="0"/>
      <w:marRight w:val="0"/>
      <w:marTop w:val="0"/>
      <w:marBottom w:val="0"/>
      <w:divBdr>
        <w:top w:val="none" w:sz="0" w:space="0" w:color="auto"/>
        <w:left w:val="none" w:sz="0" w:space="0" w:color="auto"/>
        <w:bottom w:val="none" w:sz="0" w:space="0" w:color="auto"/>
        <w:right w:val="none" w:sz="0" w:space="0" w:color="auto"/>
      </w:divBdr>
    </w:div>
    <w:div w:id="1060250270">
      <w:bodyDiv w:val="1"/>
      <w:marLeft w:val="0"/>
      <w:marRight w:val="0"/>
      <w:marTop w:val="0"/>
      <w:marBottom w:val="0"/>
      <w:divBdr>
        <w:top w:val="none" w:sz="0" w:space="0" w:color="auto"/>
        <w:left w:val="none" w:sz="0" w:space="0" w:color="auto"/>
        <w:bottom w:val="none" w:sz="0" w:space="0" w:color="auto"/>
        <w:right w:val="none" w:sz="0" w:space="0" w:color="auto"/>
      </w:divBdr>
      <w:divsChild>
        <w:div w:id="1270820559">
          <w:marLeft w:val="0"/>
          <w:marRight w:val="0"/>
          <w:marTop w:val="0"/>
          <w:marBottom w:val="0"/>
          <w:divBdr>
            <w:top w:val="none" w:sz="0" w:space="0" w:color="auto"/>
            <w:left w:val="none" w:sz="0" w:space="0" w:color="auto"/>
            <w:bottom w:val="none" w:sz="0" w:space="0" w:color="auto"/>
            <w:right w:val="none" w:sz="0" w:space="0" w:color="auto"/>
          </w:divBdr>
          <w:divsChild>
            <w:div w:id="2107381490">
              <w:marLeft w:val="0"/>
              <w:marRight w:val="0"/>
              <w:marTop w:val="0"/>
              <w:marBottom w:val="0"/>
              <w:divBdr>
                <w:top w:val="none" w:sz="0" w:space="0" w:color="auto"/>
                <w:left w:val="none" w:sz="0" w:space="0" w:color="auto"/>
                <w:bottom w:val="none" w:sz="0" w:space="0" w:color="auto"/>
                <w:right w:val="none" w:sz="0" w:space="0" w:color="auto"/>
              </w:divBdr>
              <w:divsChild>
                <w:div w:id="1978946225">
                  <w:marLeft w:val="0"/>
                  <w:marRight w:val="0"/>
                  <w:marTop w:val="0"/>
                  <w:marBottom w:val="0"/>
                  <w:divBdr>
                    <w:top w:val="none" w:sz="0" w:space="0" w:color="auto"/>
                    <w:left w:val="none" w:sz="0" w:space="0" w:color="auto"/>
                    <w:bottom w:val="none" w:sz="0" w:space="0" w:color="auto"/>
                    <w:right w:val="none" w:sz="0" w:space="0" w:color="auto"/>
                  </w:divBdr>
                  <w:divsChild>
                    <w:div w:id="1110783009">
                      <w:marLeft w:val="0"/>
                      <w:marRight w:val="0"/>
                      <w:marTop w:val="210"/>
                      <w:marBottom w:val="0"/>
                      <w:divBdr>
                        <w:top w:val="none" w:sz="0" w:space="0" w:color="auto"/>
                        <w:left w:val="none" w:sz="0" w:space="0" w:color="auto"/>
                        <w:bottom w:val="none" w:sz="0" w:space="0" w:color="auto"/>
                        <w:right w:val="none" w:sz="0" w:space="0" w:color="auto"/>
                      </w:divBdr>
                      <w:divsChild>
                        <w:div w:id="154609391">
                          <w:marLeft w:val="0"/>
                          <w:marRight w:val="0"/>
                          <w:marTop w:val="0"/>
                          <w:marBottom w:val="0"/>
                          <w:divBdr>
                            <w:top w:val="none" w:sz="0" w:space="0" w:color="auto"/>
                            <w:left w:val="none" w:sz="0" w:space="0" w:color="auto"/>
                            <w:bottom w:val="none" w:sz="0" w:space="0" w:color="auto"/>
                            <w:right w:val="none" w:sz="0" w:space="0" w:color="auto"/>
                          </w:divBdr>
                          <w:divsChild>
                            <w:div w:id="647786424">
                              <w:marLeft w:val="0"/>
                              <w:marRight w:val="0"/>
                              <w:marTop w:val="0"/>
                              <w:marBottom w:val="0"/>
                              <w:divBdr>
                                <w:top w:val="none" w:sz="0" w:space="0" w:color="auto"/>
                                <w:left w:val="none" w:sz="0" w:space="0" w:color="auto"/>
                                <w:bottom w:val="none" w:sz="0" w:space="0" w:color="auto"/>
                                <w:right w:val="none" w:sz="0" w:space="0" w:color="auto"/>
                              </w:divBdr>
                              <w:divsChild>
                                <w:div w:id="121912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7266387">
      <w:bodyDiv w:val="1"/>
      <w:marLeft w:val="0"/>
      <w:marRight w:val="0"/>
      <w:marTop w:val="0"/>
      <w:marBottom w:val="0"/>
      <w:divBdr>
        <w:top w:val="none" w:sz="0" w:space="0" w:color="auto"/>
        <w:left w:val="none" w:sz="0" w:space="0" w:color="auto"/>
        <w:bottom w:val="none" w:sz="0" w:space="0" w:color="auto"/>
        <w:right w:val="none" w:sz="0" w:space="0" w:color="auto"/>
      </w:divBdr>
    </w:div>
    <w:div w:id="1255674817">
      <w:bodyDiv w:val="1"/>
      <w:marLeft w:val="0"/>
      <w:marRight w:val="0"/>
      <w:marTop w:val="0"/>
      <w:marBottom w:val="0"/>
      <w:divBdr>
        <w:top w:val="none" w:sz="0" w:space="0" w:color="auto"/>
        <w:left w:val="none" w:sz="0" w:space="0" w:color="auto"/>
        <w:bottom w:val="none" w:sz="0" w:space="0" w:color="auto"/>
        <w:right w:val="none" w:sz="0" w:space="0" w:color="auto"/>
      </w:divBdr>
      <w:divsChild>
        <w:div w:id="817695967">
          <w:marLeft w:val="0"/>
          <w:marRight w:val="0"/>
          <w:marTop w:val="0"/>
          <w:marBottom w:val="0"/>
          <w:divBdr>
            <w:top w:val="none" w:sz="0" w:space="0" w:color="auto"/>
            <w:left w:val="none" w:sz="0" w:space="0" w:color="auto"/>
            <w:bottom w:val="none" w:sz="0" w:space="0" w:color="auto"/>
            <w:right w:val="none" w:sz="0" w:space="0" w:color="auto"/>
          </w:divBdr>
          <w:divsChild>
            <w:div w:id="864371538">
              <w:marLeft w:val="0"/>
              <w:marRight w:val="0"/>
              <w:marTop w:val="0"/>
              <w:marBottom w:val="0"/>
              <w:divBdr>
                <w:top w:val="none" w:sz="0" w:space="0" w:color="auto"/>
                <w:left w:val="none" w:sz="0" w:space="0" w:color="auto"/>
                <w:bottom w:val="none" w:sz="0" w:space="0" w:color="auto"/>
                <w:right w:val="none" w:sz="0" w:space="0" w:color="auto"/>
              </w:divBdr>
              <w:divsChild>
                <w:div w:id="326137158">
                  <w:marLeft w:val="0"/>
                  <w:marRight w:val="0"/>
                  <w:marTop w:val="0"/>
                  <w:marBottom w:val="0"/>
                  <w:divBdr>
                    <w:top w:val="none" w:sz="0" w:space="0" w:color="auto"/>
                    <w:left w:val="none" w:sz="0" w:space="0" w:color="auto"/>
                    <w:bottom w:val="none" w:sz="0" w:space="0" w:color="auto"/>
                    <w:right w:val="none" w:sz="0" w:space="0" w:color="auto"/>
                  </w:divBdr>
                  <w:divsChild>
                    <w:div w:id="878201268">
                      <w:marLeft w:val="0"/>
                      <w:marRight w:val="0"/>
                      <w:marTop w:val="210"/>
                      <w:marBottom w:val="0"/>
                      <w:divBdr>
                        <w:top w:val="none" w:sz="0" w:space="0" w:color="auto"/>
                        <w:left w:val="none" w:sz="0" w:space="0" w:color="auto"/>
                        <w:bottom w:val="none" w:sz="0" w:space="0" w:color="auto"/>
                        <w:right w:val="none" w:sz="0" w:space="0" w:color="auto"/>
                      </w:divBdr>
                      <w:divsChild>
                        <w:div w:id="1578975882">
                          <w:marLeft w:val="0"/>
                          <w:marRight w:val="0"/>
                          <w:marTop w:val="0"/>
                          <w:marBottom w:val="0"/>
                          <w:divBdr>
                            <w:top w:val="none" w:sz="0" w:space="0" w:color="auto"/>
                            <w:left w:val="none" w:sz="0" w:space="0" w:color="auto"/>
                            <w:bottom w:val="none" w:sz="0" w:space="0" w:color="auto"/>
                            <w:right w:val="none" w:sz="0" w:space="0" w:color="auto"/>
                          </w:divBdr>
                          <w:divsChild>
                            <w:div w:id="947195600">
                              <w:marLeft w:val="0"/>
                              <w:marRight w:val="0"/>
                              <w:marTop w:val="0"/>
                              <w:marBottom w:val="0"/>
                              <w:divBdr>
                                <w:top w:val="none" w:sz="0" w:space="0" w:color="auto"/>
                                <w:left w:val="none" w:sz="0" w:space="0" w:color="auto"/>
                                <w:bottom w:val="none" w:sz="0" w:space="0" w:color="auto"/>
                                <w:right w:val="none" w:sz="0" w:space="0" w:color="auto"/>
                              </w:divBdr>
                              <w:divsChild>
                                <w:div w:id="124715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1983934">
      <w:bodyDiv w:val="1"/>
      <w:marLeft w:val="0"/>
      <w:marRight w:val="0"/>
      <w:marTop w:val="0"/>
      <w:marBottom w:val="0"/>
      <w:divBdr>
        <w:top w:val="none" w:sz="0" w:space="0" w:color="auto"/>
        <w:left w:val="none" w:sz="0" w:space="0" w:color="auto"/>
        <w:bottom w:val="none" w:sz="0" w:space="0" w:color="auto"/>
        <w:right w:val="none" w:sz="0" w:space="0" w:color="auto"/>
      </w:divBdr>
    </w:div>
    <w:div w:id="1436436419">
      <w:bodyDiv w:val="1"/>
      <w:marLeft w:val="0"/>
      <w:marRight w:val="0"/>
      <w:marTop w:val="0"/>
      <w:marBottom w:val="0"/>
      <w:divBdr>
        <w:top w:val="none" w:sz="0" w:space="0" w:color="auto"/>
        <w:left w:val="none" w:sz="0" w:space="0" w:color="auto"/>
        <w:bottom w:val="none" w:sz="0" w:space="0" w:color="auto"/>
        <w:right w:val="none" w:sz="0" w:space="0" w:color="auto"/>
      </w:divBdr>
      <w:divsChild>
        <w:div w:id="820927984">
          <w:marLeft w:val="0"/>
          <w:marRight w:val="0"/>
          <w:marTop w:val="0"/>
          <w:marBottom w:val="0"/>
          <w:divBdr>
            <w:top w:val="none" w:sz="0" w:space="0" w:color="auto"/>
            <w:left w:val="none" w:sz="0" w:space="0" w:color="auto"/>
            <w:bottom w:val="none" w:sz="0" w:space="0" w:color="auto"/>
            <w:right w:val="none" w:sz="0" w:space="0" w:color="auto"/>
          </w:divBdr>
          <w:divsChild>
            <w:div w:id="732629511">
              <w:marLeft w:val="0"/>
              <w:marRight w:val="0"/>
              <w:marTop w:val="0"/>
              <w:marBottom w:val="0"/>
              <w:divBdr>
                <w:top w:val="none" w:sz="0" w:space="0" w:color="auto"/>
                <w:left w:val="none" w:sz="0" w:space="0" w:color="auto"/>
                <w:bottom w:val="none" w:sz="0" w:space="0" w:color="auto"/>
                <w:right w:val="none" w:sz="0" w:space="0" w:color="auto"/>
              </w:divBdr>
              <w:divsChild>
                <w:div w:id="1166281620">
                  <w:marLeft w:val="0"/>
                  <w:marRight w:val="0"/>
                  <w:marTop w:val="0"/>
                  <w:marBottom w:val="0"/>
                  <w:divBdr>
                    <w:top w:val="none" w:sz="0" w:space="0" w:color="auto"/>
                    <w:left w:val="none" w:sz="0" w:space="0" w:color="auto"/>
                    <w:bottom w:val="none" w:sz="0" w:space="0" w:color="auto"/>
                    <w:right w:val="none" w:sz="0" w:space="0" w:color="auto"/>
                  </w:divBdr>
                  <w:divsChild>
                    <w:div w:id="143357942">
                      <w:marLeft w:val="0"/>
                      <w:marRight w:val="0"/>
                      <w:marTop w:val="210"/>
                      <w:marBottom w:val="0"/>
                      <w:divBdr>
                        <w:top w:val="none" w:sz="0" w:space="0" w:color="auto"/>
                        <w:left w:val="none" w:sz="0" w:space="0" w:color="auto"/>
                        <w:bottom w:val="none" w:sz="0" w:space="0" w:color="auto"/>
                        <w:right w:val="none" w:sz="0" w:space="0" w:color="auto"/>
                      </w:divBdr>
                      <w:divsChild>
                        <w:div w:id="825626882">
                          <w:marLeft w:val="0"/>
                          <w:marRight w:val="0"/>
                          <w:marTop w:val="0"/>
                          <w:marBottom w:val="0"/>
                          <w:divBdr>
                            <w:top w:val="none" w:sz="0" w:space="0" w:color="auto"/>
                            <w:left w:val="none" w:sz="0" w:space="0" w:color="auto"/>
                            <w:bottom w:val="none" w:sz="0" w:space="0" w:color="auto"/>
                            <w:right w:val="none" w:sz="0" w:space="0" w:color="auto"/>
                          </w:divBdr>
                          <w:divsChild>
                            <w:div w:id="16542141">
                              <w:marLeft w:val="0"/>
                              <w:marRight w:val="0"/>
                              <w:marTop w:val="0"/>
                              <w:marBottom w:val="0"/>
                              <w:divBdr>
                                <w:top w:val="none" w:sz="0" w:space="0" w:color="auto"/>
                                <w:left w:val="none" w:sz="0" w:space="0" w:color="auto"/>
                                <w:bottom w:val="none" w:sz="0" w:space="0" w:color="auto"/>
                                <w:right w:val="none" w:sz="0" w:space="0" w:color="auto"/>
                              </w:divBdr>
                              <w:divsChild>
                                <w:div w:id="86752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2525166">
      <w:bodyDiv w:val="1"/>
      <w:marLeft w:val="0"/>
      <w:marRight w:val="0"/>
      <w:marTop w:val="0"/>
      <w:marBottom w:val="0"/>
      <w:divBdr>
        <w:top w:val="none" w:sz="0" w:space="0" w:color="auto"/>
        <w:left w:val="none" w:sz="0" w:space="0" w:color="auto"/>
        <w:bottom w:val="none" w:sz="0" w:space="0" w:color="auto"/>
        <w:right w:val="none" w:sz="0" w:space="0" w:color="auto"/>
      </w:divBdr>
    </w:div>
    <w:div w:id="1589576477">
      <w:bodyDiv w:val="1"/>
      <w:marLeft w:val="0"/>
      <w:marRight w:val="0"/>
      <w:marTop w:val="0"/>
      <w:marBottom w:val="0"/>
      <w:divBdr>
        <w:top w:val="none" w:sz="0" w:space="0" w:color="auto"/>
        <w:left w:val="none" w:sz="0" w:space="0" w:color="auto"/>
        <w:bottom w:val="none" w:sz="0" w:space="0" w:color="auto"/>
        <w:right w:val="none" w:sz="0" w:space="0" w:color="auto"/>
      </w:divBdr>
      <w:divsChild>
        <w:div w:id="1411927295">
          <w:marLeft w:val="0"/>
          <w:marRight w:val="0"/>
          <w:marTop w:val="0"/>
          <w:marBottom w:val="0"/>
          <w:divBdr>
            <w:top w:val="none" w:sz="0" w:space="0" w:color="auto"/>
            <w:left w:val="none" w:sz="0" w:space="0" w:color="auto"/>
            <w:bottom w:val="none" w:sz="0" w:space="0" w:color="auto"/>
            <w:right w:val="none" w:sz="0" w:space="0" w:color="auto"/>
          </w:divBdr>
          <w:divsChild>
            <w:div w:id="221134911">
              <w:marLeft w:val="0"/>
              <w:marRight w:val="0"/>
              <w:marTop w:val="0"/>
              <w:marBottom w:val="0"/>
              <w:divBdr>
                <w:top w:val="none" w:sz="0" w:space="0" w:color="auto"/>
                <w:left w:val="none" w:sz="0" w:space="0" w:color="auto"/>
                <w:bottom w:val="none" w:sz="0" w:space="0" w:color="auto"/>
                <w:right w:val="none" w:sz="0" w:space="0" w:color="auto"/>
              </w:divBdr>
              <w:divsChild>
                <w:div w:id="515848963">
                  <w:marLeft w:val="0"/>
                  <w:marRight w:val="0"/>
                  <w:marTop w:val="0"/>
                  <w:marBottom w:val="0"/>
                  <w:divBdr>
                    <w:top w:val="none" w:sz="0" w:space="0" w:color="auto"/>
                    <w:left w:val="none" w:sz="0" w:space="0" w:color="auto"/>
                    <w:bottom w:val="none" w:sz="0" w:space="0" w:color="auto"/>
                    <w:right w:val="none" w:sz="0" w:space="0" w:color="auto"/>
                  </w:divBdr>
                  <w:divsChild>
                    <w:div w:id="909654187">
                      <w:marLeft w:val="0"/>
                      <w:marRight w:val="0"/>
                      <w:marTop w:val="210"/>
                      <w:marBottom w:val="0"/>
                      <w:divBdr>
                        <w:top w:val="none" w:sz="0" w:space="0" w:color="auto"/>
                        <w:left w:val="none" w:sz="0" w:space="0" w:color="auto"/>
                        <w:bottom w:val="none" w:sz="0" w:space="0" w:color="auto"/>
                        <w:right w:val="none" w:sz="0" w:space="0" w:color="auto"/>
                      </w:divBdr>
                      <w:divsChild>
                        <w:div w:id="559051358">
                          <w:marLeft w:val="0"/>
                          <w:marRight w:val="0"/>
                          <w:marTop w:val="0"/>
                          <w:marBottom w:val="0"/>
                          <w:divBdr>
                            <w:top w:val="none" w:sz="0" w:space="0" w:color="auto"/>
                            <w:left w:val="none" w:sz="0" w:space="0" w:color="auto"/>
                            <w:bottom w:val="none" w:sz="0" w:space="0" w:color="auto"/>
                            <w:right w:val="none" w:sz="0" w:space="0" w:color="auto"/>
                          </w:divBdr>
                          <w:divsChild>
                            <w:div w:id="61173735">
                              <w:marLeft w:val="0"/>
                              <w:marRight w:val="0"/>
                              <w:marTop w:val="0"/>
                              <w:marBottom w:val="0"/>
                              <w:divBdr>
                                <w:top w:val="none" w:sz="0" w:space="0" w:color="auto"/>
                                <w:left w:val="none" w:sz="0" w:space="0" w:color="auto"/>
                                <w:bottom w:val="none" w:sz="0" w:space="0" w:color="auto"/>
                                <w:right w:val="none" w:sz="0" w:space="0" w:color="auto"/>
                              </w:divBdr>
                              <w:divsChild>
                                <w:div w:id="12258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0664185">
      <w:bodyDiv w:val="1"/>
      <w:marLeft w:val="0"/>
      <w:marRight w:val="0"/>
      <w:marTop w:val="0"/>
      <w:marBottom w:val="0"/>
      <w:divBdr>
        <w:top w:val="none" w:sz="0" w:space="0" w:color="auto"/>
        <w:left w:val="none" w:sz="0" w:space="0" w:color="auto"/>
        <w:bottom w:val="none" w:sz="0" w:space="0" w:color="auto"/>
        <w:right w:val="none" w:sz="0" w:space="0" w:color="auto"/>
      </w:divBdr>
    </w:div>
    <w:div w:id="1872304517">
      <w:bodyDiv w:val="1"/>
      <w:marLeft w:val="0"/>
      <w:marRight w:val="0"/>
      <w:marTop w:val="0"/>
      <w:marBottom w:val="0"/>
      <w:divBdr>
        <w:top w:val="none" w:sz="0" w:space="0" w:color="auto"/>
        <w:left w:val="none" w:sz="0" w:space="0" w:color="auto"/>
        <w:bottom w:val="none" w:sz="0" w:space="0" w:color="auto"/>
        <w:right w:val="none" w:sz="0" w:space="0" w:color="auto"/>
      </w:divBdr>
    </w:div>
    <w:div w:id="2038657276">
      <w:bodyDiv w:val="1"/>
      <w:marLeft w:val="0"/>
      <w:marRight w:val="0"/>
      <w:marTop w:val="0"/>
      <w:marBottom w:val="0"/>
      <w:divBdr>
        <w:top w:val="none" w:sz="0" w:space="0" w:color="auto"/>
        <w:left w:val="none" w:sz="0" w:space="0" w:color="auto"/>
        <w:bottom w:val="none" w:sz="0" w:space="0" w:color="auto"/>
        <w:right w:val="none" w:sz="0" w:space="0" w:color="auto"/>
      </w:divBdr>
      <w:divsChild>
        <w:div w:id="58751882">
          <w:marLeft w:val="0"/>
          <w:marRight w:val="0"/>
          <w:marTop w:val="0"/>
          <w:marBottom w:val="0"/>
          <w:divBdr>
            <w:top w:val="none" w:sz="0" w:space="0" w:color="auto"/>
            <w:left w:val="none" w:sz="0" w:space="0" w:color="auto"/>
            <w:bottom w:val="none" w:sz="0" w:space="0" w:color="auto"/>
            <w:right w:val="none" w:sz="0" w:space="0" w:color="auto"/>
          </w:divBdr>
          <w:divsChild>
            <w:div w:id="399451999">
              <w:marLeft w:val="0"/>
              <w:marRight w:val="0"/>
              <w:marTop w:val="0"/>
              <w:marBottom w:val="0"/>
              <w:divBdr>
                <w:top w:val="none" w:sz="0" w:space="0" w:color="auto"/>
                <w:left w:val="none" w:sz="0" w:space="0" w:color="auto"/>
                <w:bottom w:val="none" w:sz="0" w:space="0" w:color="auto"/>
                <w:right w:val="none" w:sz="0" w:space="0" w:color="auto"/>
              </w:divBdr>
              <w:divsChild>
                <w:div w:id="1049722082">
                  <w:marLeft w:val="0"/>
                  <w:marRight w:val="0"/>
                  <w:marTop w:val="0"/>
                  <w:marBottom w:val="0"/>
                  <w:divBdr>
                    <w:top w:val="none" w:sz="0" w:space="0" w:color="auto"/>
                    <w:left w:val="none" w:sz="0" w:space="0" w:color="auto"/>
                    <w:bottom w:val="none" w:sz="0" w:space="0" w:color="auto"/>
                    <w:right w:val="none" w:sz="0" w:space="0" w:color="auto"/>
                  </w:divBdr>
                  <w:divsChild>
                    <w:div w:id="1320961928">
                      <w:marLeft w:val="0"/>
                      <w:marRight w:val="0"/>
                      <w:marTop w:val="210"/>
                      <w:marBottom w:val="0"/>
                      <w:divBdr>
                        <w:top w:val="none" w:sz="0" w:space="0" w:color="auto"/>
                        <w:left w:val="none" w:sz="0" w:space="0" w:color="auto"/>
                        <w:bottom w:val="none" w:sz="0" w:space="0" w:color="auto"/>
                        <w:right w:val="none" w:sz="0" w:space="0" w:color="auto"/>
                      </w:divBdr>
                      <w:divsChild>
                        <w:div w:id="1074353974">
                          <w:marLeft w:val="0"/>
                          <w:marRight w:val="0"/>
                          <w:marTop w:val="0"/>
                          <w:marBottom w:val="0"/>
                          <w:divBdr>
                            <w:top w:val="none" w:sz="0" w:space="0" w:color="auto"/>
                            <w:left w:val="none" w:sz="0" w:space="0" w:color="auto"/>
                            <w:bottom w:val="none" w:sz="0" w:space="0" w:color="auto"/>
                            <w:right w:val="none" w:sz="0" w:space="0" w:color="auto"/>
                          </w:divBdr>
                          <w:divsChild>
                            <w:div w:id="1951546357">
                              <w:marLeft w:val="0"/>
                              <w:marRight w:val="0"/>
                              <w:marTop w:val="0"/>
                              <w:marBottom w:val="0"/>
                              <w:divBdr>
                                <w:top w:val="none" w:sz="0" w:space="0" w:color="auto"/>
                                <w:left w:val="none" w:sz="0" w:space="0" w:color="auto"/>
                                <w:bottom w:val="none" w:sz="0" w:space="0" w:color="auto"/>
                                <w:right w:val="none" w:sz="0" w:space="0" w:color="auto"/>
                              </w:divBdr>
                              <w:divsChild>
                                <w:div w:id="183044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ff.napier.ac.uk/services/research-innovation-office/contact/Pages/contact.aspx" TargetMode="External"/><Relationship Id="rId13" Type="http://schemas.openxmlformats.org/officeDocument/2006/relationships/diagramColors" Target="diagrams/colors1.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footer" Target="foot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customXml" Target="../customXml/item2.xml"/><Relationship Id="rId10" Type="http://schemas.openxmlformats.org/officeDocument/2006/relationships/diagramData" Target="diagrams/data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payroll@napier.ac.uk" TargetMode="External"/><Relationship Id="rId14" Type="http://schemas.microsoft.com/office/2007/relationships/diagramDrawing" Target="diagrams/drawing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AF56DA9-508F-4453-819B-442983520035}" type="doc">
      <dgm:prSet loTypeId="urn:microsoft.com/office/officeart/2005/8/layout/process4" loCatId="process" qsTypeId="urn:microsoft.com/office/officeart/2005/8/quickstyle/simple1" qsCatId="simple" csTypeId="urn:microsoft.com/office/officeart/2005/8/colors/accent1_2" csCatId="accent1" phldr="1"/>
      <dgm:spPr/>
      <dgm:t>
        <a:bodyPr/>
        <a:lstStyle/>
        <a:p>
          <a:endParaRPr lang="en-GB"/>
        </a:p>
      </dgm:t>
    </dgm:pt>
    <dgm:pt modelId="{6C98CE29-84B0-4612-8346-5CDF86F8A9C4}">
      <dgm:prSet phldrT="[Text]" custT="1"/>
      <dgm:spPr>
        <a:solidFill>
          <a:schemeClr val="accent3">
            <a:lumMod val="20000"/>
            <a:lumOff val="80000"/>
          </a:schemeClr>
        </a:solidFill>
        <a:ln>
          <a:solidFill>
            <a:schemeClr val="accent3">
              <a:lumMod val="40000"/>
              <a:lumOff val="60000"/>
            </a:schemeClr>
          </a:solidFill>
        </a:ln>
      </dgm:spPr>
      <dgm:t>
        <a:bodyPr/>
        <a:lstStyle/>
        <a:p>
          <a:r>
            <a:rPr lang="en-GB" sz="1050" b="1">
              <a:solidFill>
                <a:schemeClr val="tx1"/>
              </a:solidFill>
              <a:latin typeface="Titillium" panose="00000500000000000000" pitchFamily="50" charset="0"/>
            </a:rPr>
            <a:t>Project Scoping:</a:t>
          </a:r>
          <a:r>
            <a:rPr lang="en-GB" sz="1050">
              <a:solidFill>
                <a:schemeClr val="tx1"/>
              </a:solidFill>
              <a:latin typeface="Titillium" panose="00000500000000000000" pitchFamily="50" charset="0"/>
            </a:rPr>
            <a:t> Initial conversation between ENU (staff member and / or RIE) and client. Staff member creates Worktribe (WT) project and informs RIE if client needs to be added as a new funder.</a:t>
          </a:r>
        </a:p>
      </dgm:t>
    </dgm:pt>
    <dgm:pt modelId="{872EDA85-BE66-4E01-BACB-375E4D65531F}" type="parTrans" cxnId="{07C5C9BD-9868-475B-9570-C961B38DB3A0}">
      <dgm:prSet/>
      <dgm:spPr/>
      <dgm:t>
        <a:bodyPr/>
        <a:lstStyle/>
        <a:p>
          <a:endParaRPr lang="en-GB"/>
        </a:p>
      </dgm:t>
    </dgm:pt>
    <dgm:pt modelId="{09386677-D89F-45DC-812C-A803B8E00724}" type="sibTrans" cxnId="{07C5C9BD-9868-475B-9570-C961B38DB3A0}">
      <dgm:prSet/>
      <dgm:spPr/>
      <dgm:t>
        <a:bodyPr/>
        <a:lstStyle/>
        <a:p>
          <a:endParaRPr lang="en-GB"/>
        </a:p>
      </dgm:t>
    </dgm:pt>
    <dgm:pt modelId="{A9960E6E-7B73-4793-90DD-43D456657592}">
      <dgm:prSet phldrT="[Text]" custT="1"/>
      <dgm:spPr>
        <a:solidFill>
          <a:srgbClr val="DDF2FF"/>
        </a:solidFill>
        <a:ln>
          <a:solidFill>
            <a:srgbClr val="C1E7FF"/>
          </a:solidFill>
        </a:ln>
      </dgm:spPr>
      <dgm:t>
        <a:bodyPr/>
        <a:lstStyle/>
        <a:p>
          <a:r>
            <a:rPr lang="en-GB" sz="1050" b="1">
              <a:solidFill>
                <a:schemeClr val="tx1"/>
              </a:solidFill>
              <a:latin typeface="Titillium" panose="00000500000000000000" pitchFamily="50" charset="0"/>
            </a:rPr>
            <a:t>Line Manager Discussion / Approval</a:t>
          </a:r>
          <a:r>
            <a:rPr lang="en-GB" sz="1050">
              <a:solidFill>
                <a:schemeClr val="tx1"/>
              </a:solidFill>
              <a:latin typeface="Titillium" panose="00000500000000000000" pitchFamily="50" charset="0"/>
            </a:rPr>
            <a:t>: Staff member to discuss activity with Line Manager to determine if project is feasible within, or is out with, WAM. Line Manager approves via Consultancy and Commercial Activity email. Raise awarness to key service leads of potential project and impact. </a:t>
          </a:r>
        </a:p>
      </dgm:t>
    </dgm:pt>
    <dgm:pt modelId="{DC419614-E064-43A0-8E21-2F7556CD9F65}" type="parTrans" cxnId="{883F80E7-9289-4F57-B17B-A6FBA357EA3E}">
      <dgm:prSet/>
      <dgm:spPr/>
      <dgm:t>
        <a:bodyPr/>
        <a:lstStyle/>
        <a:p>
          <a:endParaRPr lang="en-GB"/>
        </a:p>
      </dgm:t>
    </dgm:pt>
    <dgm:pt modelId="{3DEAA3CD-F3B0-48CE-B641-989E178CBCBF}" type="sibTrans" cxnId="{883F80E7-9289-4F57-B17B-A6FBA357EA3E}">
      <dgm:prSet/>
      <dgm:spPr/>
      <dgm:t>
        <a:bodyPr/>
        <a:lstStyle/>
        <a:p>
          <a:endParaRPr lang="en-GB"/>
        </a:p>
      </dgm:t>
    </dgm:pt>
    <dgm:pt modelId="{7F47E0DE-E766-412A-B042-EB4E6A072EA6}">
      <dgm:prSet phldrT="[Text]" custT="1"/>
      <dgm:spPr>
        <a:solidFill>
          <a:schemeClr val="accent3">
            <a:lumMod val="20000"/>
            <a:lumOff val="80000"/>
          </a:schemeClr>
        </a:solidFill>
        <a:ln>
          <a:solidFill>
            <a:schemeClr val="accent3">
              <a:lumMod val="40000"/>
              <a:lumOff val="60000"/>
            </a:schemeClr>
          </a:solidFill>
        </a:ln>
      </dgm:spPr>
      <dgm:t>
        <a:bodyPr/>
        <a:lstStyle/>
        <a:p>
          <a:r>
            <a:rPr lang="en-GB" sz="1050" b="1">
              <a:solidFill>
                <a:schemeClr val="tx1"/>
              </a:solidFill>
              <a:latin typeface="Titillium" panose="00000500000000000000" pitchFamily="50" charset="0"/>
            </a:rPr>
            <a:t>Project Development</a:t>
          </a:r>
          <a:r>
            <a:rPr lang="en-GB" sz="1050">
              <a:solidFill>
                <a:schemeClr val="tx1"/>
              </a:solidFill>
              <a:latin typeface="Titillium" panose="00000500000000000000" pitchFamily="50" charset="0"/>
            </a:rPr>
            <a:t>: Based on project scope, RIE will advise on due diligence, costs, market analysis, price and final quote. If required, RIE will generate indicative client quick quotes and signpost to other support departments.  </a:t>
          </a:r>
        </a:p>
      </dgm:t>
    </dgm:pt>
    <dgm:pt modelId="{C1D77A0C-4F7E-4A68-96DF-A026F53490C8}" type="parTrans" cxnId="{C1EC501A-8247-4F94-868F-EF0505796903}">
      <dgm:prSet/>
      <dgm:spPr/>
      <dgm:t>
        <a:bodyPr/>
        <a:lstStyle/>
        <a:p>
          <a:endParaRPr lang="en-GB"/>
        </a:p>
      </dgm:t>
    </dgm:pt>
    <dgm:pt modelId="{0F7F68C4-33C6-4106-A2E5-39584250AEB8}" type="sibTrans" cxnId="{C1EC501A-8247-4F94-868F-EF0505796903}">
      <dgm:prSet/>
      <dgm:spPr/>
      <dgm:t>
        <a:bodyPr/>
        <a:lstStyle/>
        <a:p>
          <a:endParaRPr lang="en-GB"/>
        </a:p>
      </dgm:t>
    </dgm:pt>
    <dgm:pt modelId="{EEA45916-400D-478E-84D9-D5D29E62A105}">
      <dgm:prSet phldrT="[Text]" custT="1"/>
      <dgm:spPr>
        <a:solidFill>
          <a:srgbClr val="DDF2FF"/>
        </a:solidFill>
        <a:ln>
          <a:solidFill>
            <a:srgbClr val="C1E7FF"/>
          </a:solidFill>
        </a:ln>
      </dgm:spPr>
      <dgm:t>
        <a:bodyPr/>
        <a:lstStyle/>
        <a:p>
          <a:r>
            <a:rPr lang="en-GB" sz="1050" b="1">
              <a:solidFill>
                <a:schemeClr val="tx1"/>
              </a:solidFill>
              <a:latin typeface="Titillium" panose="00000500000000000000" pitchFamily="50" charset="0"/>
            </a:rPr>
            <a:t>Worktribe Approvals</a:t>
          </a:r>
          <a:r>
            <a:rPr lang="en-GB" sz="1050">
              <a:solidFill>
                <a:schemeClr val="tx1"/>
              </a:solidFill>
              <a:latin typeface="Titillium" panose="00000500000000000000" pitchFamily="50" charset="0"/>
            </a:rPr>
            <a:t>: Prior to issuing final quote to client, staff member must submit project for approval by the School via WT. Once approved, final quote submitted to client - incl. T&amp;Cs.</a:t>
          </a:r>
        </a:p>
      </dgm:t>
    </dgm:pt>
    <dgm:pt modelId="{7456F65F-58DA-4ABB-A377-6404ED938B73}" type="parTrans" cxnId="{52D1A034-BAEC-4249-A611-A74250AE4A47}">
      <dgm:prSet/>
      <dgm:spPr/>
      <dgm:t>
        <a:bodyPr/>
        <a:lstStyle/>
        <a:p>
          <a:endParaRPr lang="en-GB"/>
        </a:p>
      </dgm:t>
    </dgm:pt>
    <dgm:pt modelId="{CCCC28D0-9E74-4009-B621-61B3CD0BABA2}" type="sibTrans" cxnId="{52D1A034-BAEC-4249-A611-A74250AE4A47}">
      <dgm:prSet/>
      <dgm:spPr/>
      <dgm:t>
        <a:bodyPr/>
        <a:lstStyle/>
        <a:p>
          <a:endParaRPr lang="en-GB"/>
        </a:p>
      </dgm:t>
    </dgm:pt>
    <dgm:pt modelId="{6C029ED9-6B5D-486F-94E4-706A4442CF96}">
      <dgm:prSet phldrT="[Text]" custT="1"/>
      <dgm:spPr>
        <a:solidFill>
          <a:schemeClr val="accent3">
            <a:lumMod val="20000"/>
            <a:lumOff val="80000"/>
          </a:schemeClr>
        </a:solidFill>
        <a:ln>
          <a:solidFill>
            <a:schemeClr val="accent3">
              <a:lumMod val="40000"/>
              <a:lumOff val="60000"/>
            </a:schemeClr>
          </a:solidFill>
        </a:ln>
      </dgm:spPr>
      <dgm:t>
        <a:bodyPr/>
        <a:lstStyle/>
        <a:p>
          <a:r>
            <a:rPr lang="en-GB" sz="1050" b="1">
              <a:solidFill>
                <a:schemeClr val="tx1"/>
              </a:solidFill>
              <a:latin typeface="Titillium" panose="00000500000000000000" pitchFamily="50" charset="0"/>
            </a:rPr>
            <a:t>Client Accepts Quote: </a:t>
          </a:r>
          <a:r>
            <a:rPr lang="en-GB" sz="1050">
              <a:solidFill>
                <a:schemeClr val="tx1"/>
              </a:solidFill>
              <a:latin typeface="Titillium" panose="00000500000000000000" pitchFamily="50" charset="0"/>
            </a:rPr>
            <a:t>RIE will issue an ENU contract to client and support negotiation, if required.  </a:t>
          </a:r>
        </a:p>
      </dgm:t>
    </dgm:pt>
    <dgm:pt modelId="{9A592A69-6EC0-46CE-BC7B-2AC1A311F7A9}" type="parTrans" cxnId="{42A5C507-3D49-49C2-925A-EBD1559059F9}">
      <dgm:prSet/>
      <dgm:spPr/>
      <dgm:t>
        <a:bodyPr/>
        <a:lstStyle/>
        <a:p>
          <a:endParaRPr lang="en-GB"/>
        </a:p>
      </dgm:t>
    </dgm:pt>
    <dgm:pt modelId="{3FD01FD6-45F4-4BA2-9FC1-074F18C1AFA2}" type="sibTrans" cxnId="{42A5C507-3D49-49C2-925A-EBD1559059F9}">
      <dgm:prSet/>
      <dgm:spPr/>
      <dgm:t>
        <a:bodyPr/>
        <a:lstStyle/>
        <a:p>
          <a:endParaRPr lang="en-GB"/>
        </a:p>
      </dgm:t>
    </dgm:pt>
    <dgm:pt modelId="{6AF0CDFC-0268-4B1D-A8DA-B23AA5878438}">
      <dgm:prSet phldrT="[Text]" custT="1"/>
      <dgm:spPr>
        <a:solidFill>
          <a:srgbClr val="DDF2FF"/>
        </a:solidFill>
        <a:ln>
          <a:solidFill>
            <a:srgbClr val="C1E7FF"/>
          </a:solidFill>
        </a:ln>
      </dgm:spPr>
      <dgm:t>
        <a:bodyPr/>
        <a:lstStyle/>
        <a:p>
          <a:r>
            <a:rPr lang="en-GB" sz="1050" b="1">
              <a:solidFill>
                <a:schemeClr val="tx1"/>
              </a:solidFill>
              <a:latin typeface="Titillium" panose="00000500000000000000" pitchFamily="50" charset="0"/>
            </a:rPr>
            <a:t>Project Set Up: </a:t>
          </a:r>
          <a:r>
            <a:rPr lang="en-GB" sz="1050" b="0">
              <a:solidFill>
                <a:schemeClr val="tx1"/>
              </a:solidFill>
              <a:latin typeface="Titillium" panose="00000500000000000000" pitchFamily="50" charset="0"/>
            </a:rPr>
            <a:t>RIE will issue project finance code (R-Code) and set up reporting and invoicing (milestones). Staff member will be signposted to key contact points for project delivery. </a:t>
          </a:r>
        </a:p>
      </dgm:t>
    </dgm:pt>
    <dgm:pt modelId="{18919164-1729-43B1-BCBD-B273EC44B9BA}" type="parTrans" cxnId="{495AE8CC-57F4-4EAF-ADB5-7CAD4ADC078A}">
      <dgm:prSet/>
      <dgm:spPr/>
      <dgm:t>
        <a:bodyPr/>
        <a:lstStyle/>
        <a:p>
          <a:endParaRPr lang="en-GB"/>
        </a:p>
      </dgm:t>
    </dgm:pt>
    <dgm:pt modelId="{AA3AFF37-567D-4137-B060-03C0E7608D72}" type="sibTrans" cxnId="{495AE8CC-57F4-4EAF-ADB5-7CAD4ADC078A}">
      <dgm:prSet/>
      <dgm:spPr/>
      <dgm:t>
        <a:bodyPr/>
        <a:lstStyle/>
        <a:p>
          <a:endParaRPr lang="en-GB"/>
        </a:p>
      </dgm:t>
    </dgm:pt>
    <dgm:pt modelId="{7896B231-CE1E-4E7B-AEA6-02D517C84EE4}">
      <dgm:prSet phldrT="[Text]" custT="1"/>
      <dgm:spPr>
        <a:solidFill>
          <a:schemeClr val="accent3">
            <a:lumMod val="20000"/>
            <a:lumOff val="80000"/>
          </a:schemeClr>
        </a:solidFill>
        <a:ln>
          <a:solidFill>
            <a:schemeClr val="accent3">
              <a:lumMod val="40000"/>
              <a:lumOff val="60000"/>
            </a:schemeClr>
          </a:solidFill>
        </a:ln>
      </dgm:spPr>
      <dgm:t>
        <a:bodyPr/>
        <a:lstStyle/>
        <a:p>
          <a:r>
            <a:rPr lang="en-GB" sz="1050" b="1">
              <a:solidFill>
                <a:schemeClr val="tx1"/>
              </a:solidFill>
              <a:latin typeface="Titillium" panose="00000500000000000000" pitchFamily="50" charset="0"/>
            </a:rPr>
            <a:t>Project Delivery: </a:t>
          </a:r>
          <a:r>
            <a:rPr lang="en-GB" sz="1050" b="0">
              <a:solidFill>
                <a:schemeClr val="tx1"/>
              </a:solidFill>
              <a:latin typeface="Titillium" panose="00000500000000000000" pitchFamily="50" charset="0"/>
            </a:rPr>
            <a:t>Staff member delivers project according to project scope, keeping RIE informed of activity and uploading reports to Worktribe (via documents tab). RIE will invoice client in accordance with payment schedule.</a:t>
          </a:r>
          <a:endParaRPr lang="en-GB" sz="1050" b="1">
            <a:solidFill>
              <a:schemeClr val="tx1"/>
            </a:solidFill>
            <a:latin typeface="Titillium" panose="00000500000000000000" pitchFamily="50" charset="0"/>
          </a:endParaRPr>
        </a:p>
      </dgm:t>
    </dgm:pt>
    <dgm:pt modelId="{CF8C2892-683A-41D0-BE45-95D1AD5BA145}" type="parTrans" cxnId="{6B7A7720-930D-459C-9045-195588E76DB2}">
      <dgm:prSet/>
      <dgm:spPr/>
      <dgm:t>
        <a:bodyPr/>
        <a:lstStyle/>
        <a:p>
          <a:endParaRPr lang="en-GB"/>
        </a:p>
      </dgm:t>
    </dgm:pt>
    <dgm:pt modelId="{7EE449DB-6CA8-4B05-AD15-CBFEDD0120AB}" type="sibTrans" cxnId="{6B7A7720-930D-459C-9045-195588E76DB2}">
      <dgm:prSet/>
      <dgm:spPr/>
      <dgm:t>
        <a:bodyPr/>
        <a:lstStyle/>
        <a:p>
          <a:endParaRPr lang="en-GB"/>
        </a:p>
      </dgm:t>
    </dgm:pt>
    <dgm:pt modelId="{9FD81FFE-F91E-48CB-B38F-720701C30F92}">
      <dgm:prSet phldrT="[Text]" custT="1"/>
      <dgm:spPr>
        <a:solidFill>
          <a:srgbClr val="DDF2FF"/>
        </a:solidFill>
        <a:ln>
          <a:solidFill>
            <a:srgbClr val="C1E7FF"/>
          </a:solidFill>
        </a:ln>
      </dgm:spPr>
      <dgm:t>
        <a:bodyPr/>
        <a:lstStyle/>
        <a:p>
          <a:r>
            <a:rPr lang="en-GB" sz="1050" b="1">
              <a:solidFill>
                <a:schemeClr val="tx1"/>
              </a:solidFill>
              <a:latin typeface="Titillium" panose="00000500000000000000" pitchFamily="50" charset="0"/>
            </a:rPr>
            <a:t>Project Completion: </a:t>
          </a:r>
          <a:r>
            <a:rPr lang="en-GB" sz="1050" b="0">
              <a:solidFill>
                <a:schemeClr val="tx1"/>
              </a:solidFill>
              <a:latin typeface="Titillium" panose="00000500000000000000" pitchFamily="50" charset="0"/>
            </a:rPr>
            <a:t>Staff member will complete all final deliverables and inform RIE of successful completion. RIE will issue final invoice to client. </a:t>
          </a:r>
          <a:endParaRPr lang="en-GB" sz="1050" b="1">
            <a:solidFill>
              <a:schemeClr val="tx1"/>
            </a:solidFill>
            <a:latin typeface="Titillium" panose="00000500000000000000" pitchFamily="50" charset="0"/>
          </a:endParaRPr>
        </a:p>
      </dgm:t>
    </dgm:pt>
    <dgm:pt modelId="{3A021175-412A-40BB-972B-8F9E4075A90E}" type="parTrans" cxnId="{0D22FA1E-D9E0-41D9-A228-6340B5A6F584}">
      <dgm:prSet/>
      <dgm:spPr/>
      <dgm:t>
        <a:bodyPr/>
        <a:lstStyle/>
        <a:p>
          <a:endParaRPr lang="en-GB"/>
        </a:p>
      </dgm:t>
    </dgm:pt>
    <dgm:pt modelId="{19E47F95-36FB-4929-BFAD-5AADF6A0D728}" type="sibTrans" cxnId="{0D22FA1E-D9E0-41D9-A228-6340B5A6F584}">
      <dgm:prSet/>
      <dgm:spPr/>
      <dgm:t>
        <a:bodyPr/>
        <a:lstStyle/>
        <a:p>
          <a:endParaRPr lang="en-GB"/>
        </a:p>
      </dgm:t>
    </dgm:pt>
    <dgm:pt modelId="{2034BC0F-41E7-4F18-AD4C-747CF6DE04DD}">
      <dgm:prSet phldrT="[Text]" custT="1"/>
      <dgm:spPr>
        <a:solidFill>
          <a:schemeClr val="accent3">
            <a:lumMod val="20000"/>
            <a:lumOff val="80000"/>
          </a:schemeClr>
        </a:solidFill>
        <a:ln>
          <a:solidFill>
            <a:schemeClr val="accent3">
              <a:lumMod val="40000"/>
              <a:lumOff val="60000"/>
            </a:schemeClr>
          </a:solidFill>
        </a:ln>
      </dgm:spPr>
      <dgm:t>
        <a:bodyPr/>
        <a:lstStyle/>
        <a:p>
          <a:r>
            <a:rPr lang="en-GB" sz="1050" b="1">
              <a:solidFill>
                <a:schemeClr val="tx1"/>
              </a:solidFill>
              <a:latin typeface="Titillium" panose="00000500000000000000" pitchFamily="50" charset="0"/>
            </a:rPr>
            <a:t>Additional Payment Claimed: </a:t>
          </a:r>
          <a:r>
            <a:rPr lang="en-GB" sz="1050" b="0">
              <a:solidFill>
                <a:schemeClr val="tx1"/>
              </a:solidFill>
              <a:latin typeface="Titillium" panose="00000500000000000000" pitchFamily="50" charset="0"/>
            </a:rPr>
            <a:t>Once final invoice issued, if relevant, staff member must request additional payment via HR connect within two months of project completion. Payment is approved by Line Manager and paid via PAYE, subject to relevant deductions. Speak with External Project Officers for confirmation of amount you can claim. </a:t>
          </a:r>
          <a:endParaRPr lang="en-GB" sz="1050" b="1">
            <a:solidFill>
              <a:schemeClr val="tx1"/>
            </a:solidFill>
            <a:latin typeface="Titillium" panose="00000500000000000000" pitchFamily="50" charset="0"/>
          </a:endParaRPr>
        </a:p>
      </dgm:t>
    </dgm:pt>
    <dgm:pt modelId="{31734E0E-04F2-4562-AAE8-F67A69AC31CF}" type="parTrans" cxnId="{70F7CF7E-9BFC-4DD3-B542-C1C60C1EC28C}">
      <dgm:prSet/>
      <dgm:spPr/>
      <dgm:t>
        <a:bodyPr/>
        <a:lstStyle/>
        <a:p>
          <a:endParaRPr lang="en-GB"/>
        </a:p>
      </dgm:t>
    </dgm:pt>
    <dgm:pt modelId="{2EBC8A8E-B9EA-44F0-A748-FD24251D1CA8}" type="sibTrans" cxnId="{70F7CF7E-9BFC-4DD3-B542-C1C60C1EC28C}">
      <dgm:prSet/>
      <dgm:spPr/>
      <dgm:t>
        <a:bodyPr/>
        <a:lstStyle/>
        <a:p>
          <a:endParaRPr lang="en-GB"/>
        </a:p>
      </dgm:t>
    </dgm:pt>
    <dgm:pt modelId="{F97AA647-E38A-46D8-A836-8C48EE3C4BE2}" type="pres">
      <dgm:prSet presAssocID="{9AF56DA9-508F-4453-819B-442983520035}" presName="Name0" presStyleCnt="0">
        <dgm:presLayoutVars>
          <dgm:dir/>
          <dgm:animLvl val="lvl"/>
          <dgm:resizeHandles val="exact"/>
        </dgm:presLayoutVars>
      </dgm:prSet>
      <dgm:spPr/>
    </dgm:pt>
    <dgm:pt modelId="{B672121E-A245-4B93-BE1D-F1517372E53A}" type="pres">
      <dgm:prSet presAssocID="{2034BC0F-41E7-4F18-AD4C-747CF6DE04DD}" presName="boxAndChildren" presStyleCnt="0"/>
      <dgm:spPr/>
    </dgm:pt>
    <dgm:pt modelId="{32EA0A8F-17BC-41B0-A0D8-8697D869F3C8}" type="pres">
      <dgm:prSet presAssocID="{2034BC0F-41E7-4F18-AD4C-747CF6DE04DD}" presName="parentTextBox" presStyleLbl="node1" presStyleIdx="0" presStyleCnt="9"/>
      <dgm:spPr/>
    </dgm:pt>
    <dgm:pt modelId="{0661E83B-CF48-4519-B387-9792A5319469}" type="pres">
      <dgm:prSet presAssocID="{19E47F95-36FB-4929-BFAD-5AADF6A0D728}" presName="sp" presStyleCnt="0"/>
      <dgm:spPr/>
    </dgm:pt>
    <dgm:pt modelId="{939CB79F-AF99-4C4A-9701-75988FD4921F}" type="pres">
      <dgm:prSet presAssocID="{9FD81FFE-F91E-48CB-B38F-720701C30F92}" presName="arrowAndChildren" presStyleCnt="0"/>
      <dgm:spPr/>
    </dgm:pt>
    <dgm:pt modelId="{33C957AE-E9E1-4A8B-B63E-379A68542595}" type="pres">
      <dgm:prSet presAssocID="{9FD81FFE-F91E-48CB-B38F-720701C30F92}" presName="parentTextArrow" presStyleLbl="node1" presStyleIdx="1" presStyleCnt="9"/>
      <dgm:spPr/>
    </dgm:pt>
    <dgm:pt modelId="{16D1804E-89F7-4BAD-A1AF-2A2E5A824E6B}" type="pres">
      <dgm:prSet presAssocID="{7EE449DB-6CA8-4B05-AD15-CBFEDD0120AB}" presName="sp" presStyleCnt="0"/>
      <dgm:spPr/>
    </dgm:pt>
    <dgm:pt modelId="{60505A23-D302-4670-BE9C-F307AE1F1A3C}" type="pres">
      <dgm:prSet presAssocID="{7896B231-CE1E-4E7B-AEA6-02D517C84EE4}" presName="arrowAndChildren" presStyleCnt="0"/>
      <dgm:spPr/>
    </dgm:pt>
    <dgm:pt modelId="{4978791F-FD65-4FC7-8F1A-26C79676D2B3}" type="pres">
      <dgm:prSet presAssocID="{7896B231-CE1E-4E7B-AEA6-02D517C84EE4}" presName="parentTextArrow" presStyleLbl="node1" presStyleIdx="2" presStyleCnt="9"/>
      <dgm:spPr/>
    </dgm:pt>
    <dgm:pt modelId="{D94FD7B9-4C5E-416F-9DCA-65ABB45D24CA}" type="pres">
      <dgm:prSet presAssocID="{AA3AFF37-567D-4137-B060-03C0E7608D72}" presName="sp" presStyleCnt="0"/>
      <dgm:spPr/>
    </dgm:pt>
    <dgm:pt modelId="{9678DF36-A263-4E06-82FF-C26F47805A01}" type="pres">
      <dgm:prSet presAssocID="{6AF0CDFC-0268-4B1D-A8DA-B23AA5878438}" presName="arrowAndChildren" presStyleCnt="0"/>
      <dgm:spPr/>
    </dgm:pt>
    <dgm:pt modelId="{2A136EFD-4E0E-425D-BA2B-5324C890F8C2}" type="pres">
      <dgm:prSet presAssocID="{6AF0CDFC-0268-4B1D-A8DA-B23AA5878438}" presName="parentTextArrow" presStyleLbl="node1" presStyleIdx="3" presStyleCnt="9"/>
      <dgm:spPr/>
    </dgm:pt>
    <dgm:pt modelId="{C6ED6347-D115-48F0-A3F4-938CFB1D6DC8}" type="pres">
      <dgm:prSet presAssocID="{3FD01FD6-45F4-4BA2-9FC1-074F18C1AFA2}" presName="sp" presStyleCnt="0"/>
      <dgm:spPr/>
    </dgm:pt>
    <dgm:pt modelId="{2FD80C1E-F896-4038-96A2-22F432A30E84}" type="pres">
      <dgm:prSet presAssocID="{6C029ED9-6B5D-486F-94E4-706A4442CF96}" presName="arrowAndChildren" presStyleCnt="0"/>
      <dgm:spPr/>
    </dgm:pt>
    <dgm:pt modelId="{C8F8E02F-BBCA-48EF-95D8-D39A03FF0181}" type="pres">
      <dgm:prSet presAssocID="{6C029ED9-6B5D-486F-94E4-706A4442CF96}" presName="parentTextArrow" presStyleLbl="node1" presStyleIdx="4" presStyleCnt="9"/>
      <dgm:spPr/>
    </dgm:pt>
    <dgm:pt modelId="{F38C6459-16A0-4B7F-8009-22EB0FD84E96}" type="pres">
      <dgm:prSet presAssocID="{CCCC28D0-9E74-4009-B621-61B3CD0BABA2}" presName="sp" presStyleCnt="0"/>
      <dgm:spPr/>
    </dgm:pt>
    <dgm:pt modelId="{0716822F-3C02-4CA7-AB75-434EFDAFA5C3}" type="pres">
      <dgm:prSet presAssocID="{EEA45916-400D-478E-84D9-D5D29E62A105}" presName="arrowAndChildren" presStyleCnt="0"/>
      <dgm:spPr/>
    </dgm:pt>
    <dgm:pt modelId="{B07B1275-71A1-47EA-966A-0FD53104CF36}" type="pres">
      <dgm:prSet presAssocID="{EEA45916-400D-478E-84D9-D5D29E62A105}" presName="parentTextArrow" presStyleLbl="node1" presStyleIdx="5" presStyleCnt="9"/>
      <dgm:spPr/>
    </dgm:pt>
    <dgm:pt modelId="{C20CF2EF-E6C9-4070-8706-35D6C454A743}" type="pres">
      <dgm:prSet presAssocID="{0F7F68C4-33C6-4106-A2E5-39584250AEB8}" presName="sp" presStyleCnt="0"/>
      <dgm:spPr/>
    </dgm:pt>
    <dgm:pt modelId="{BA590EE2-692F-4AF6-B936-562B994283BB}" type="pres">
      <dgm:prSet presAssocID="{7F47E0DE-E766-412A-B042-EB4E6A072EA6}" presName="arrowAndChildren" presStyleCnt="0"/>
      <dgm:spPr/>
    </dgm:pt>
    <dgm:pt modelId="{518852FA-7C11-47BA-B7E3-9860B236525D}" type="pres">
      <dgm:prSet presAssocID="{7F47E0DE-E766-412A-B042-EB4E6A072EA6}" presName="parentTextArrow" presStyleLbl="node1" presStyleIdx="6" presStyleCnt="9"/>
      <dgm:spPr/>
    </dgm:pt>
    <dgm:pt modelId="{F33E5860-88CC-4F68-A686-04402D3FFE61}" type="pres">
      <dgm:prSet presAssocID="{3DEAA3CD-F3B0-48CE-B641-989E178CBCBF}" presName="sp" presStyleCnt="0"/>
      <dgm:spPr/>
    </dgm:pt>
    <dgm:pt modelId="{7B11EB82-24CD-46C7-9272-5541BCAFFBF8}" type="pres">
      <dgm:prSet presAssocID="{A9960E6E-7B73-4793-90DD-43D456657592}" presName="arrowAndChildren" presStyleCnt="0"/>
      <dgm:spPr/>
    </dgm:pt>
    <dgm:pt modelId="{AB51804F-6DD7-4601-BCED-D4CD4B293854}" type="pres">
      <dgm:prSet presAssocID="{A9960E6E-7B73-4793-90DD-43D456657592}" presName="parentTextArrow" presStyleLbl="node1" presStyleIdx="7" presStyleCnt="9"/>
      <dgm:spPr/>
    </dgm:pt>
    <dgm:pt modelId="{498343F0-D0BD-415C-9239-2856891F29A7}" type="pres">
      <dgm:prSet presAssocID="{09386677-D89F-45DC-812C-A803B8E00724}" presName="sp" presStyleCnt="0"/>
      <dgm:spPr/>
    </dgm:pt>
    <dgm:pt modelId="{C91526E3-9E20-4463-951A-AB2761B6454F}" type="pres">
      <dgm:prSet presAssocID="{6C98CE29-84B0-4612-8346-5CDF86F8A9C4}" presName="arrowAndChildren" presStyleCnt="0"/>
      <dgm:spPr/>
    </dgm:pt>
    <dgm:pt modelId="{367441CA-116F-4C01-A680-74FABF88B787}" type="pres">
      <dgm:prSet presAssocID="{6C98CE29-84B0-4612-8346-5CDF86F8A9C4}" presName="parentTextArrow" presStyleLbl="node1" presStyleIdx="8" presStyleCnt="9"/>
      <dgm:spPr/>
    </dgm:pt>
  </dgm:ptLst>
  <dgm:cxnLst>
    <dgm:cxn modelId="{42A5C507-3D49-49C2-925A-EBD1559059F9}" srcId="{9AF56DA9-508F-4453-819B-442983520035}" destId="{6C029ED9-6B5D-486F-94E4-706A4442CF96}" srcOrd="4" destOrd="0" parTransId="{9A592A69-6EC0-46CE-BC7B-2AC1A311F7A9}" sibTransId="{3FD01FD6-45F4-4BA2-9FC1-074F18C1AFA2}"/>
    <dgm:cxn modelId="{B5D3EE10-46C2-4CF0-A9C8-633426D540BF}" type="presOf" srcId="{EEA45916-400D-478E-84D9-D5D29E62A105}" destId="{B07B1275-71A1-47EA-966A-0FD53104CF36}" srcOrd="0" destOrd="0" presId="urn:microsoft.com/office/officeart/2005/8/layout/process4"/>
    <dgm:cxn modelId="{C1EC501A-8247-4F94-868F-EF0505796903}" srcId="{9AF56DA9-508F-4453-819B-442983520035}" destId="{7F47E0DE-E766-412A-B042-EB4E6A072EA6}" srcOrd="2" destOrd="0" parTransId="{C1D77A0C-4F7E-4A68-96DF-A026F53490C8}" sibTransId="{0F7F68C4-33C6-4106-A2E5-39584250AEB8}"/>
    <dgm:cxn modelId="{0D22FA1E-D9E0-41D9-A228-6340B5A6F584}" srcId="{9AF56DA9-508F-4453-819B-442983520035}" destId="{9FD81FFE-F91E-48CB-B38F-720701C30F92}" srcOrd="7" destOrd="0" parTransId="{3A021175-412A-40BB-972B-8F9E4075A90E}" sibTransId="{19E47F95-36FB-4929-BFAD-5AADF6A0D728}"/>
    <dgm:cxn modelId="{6B7A7720-930D-459C-9045-195588E76DB2}" srcId="{9AF56DA9-508F-4453-819B-442983520035}" destId="{7896B231-CE1E-4E7B-AEA6-02D517C84EE4}" srcOrd="6" destOrd="0" parTransId="{CF8C2892-683A-41D0-BE45-95D1AD5BA145}" sibTransId="{7EE449DB-6CA8-4B05-AD15-CBFEDD0120AB}"/>
    <dgm:cxn modelId="{9D144A2F-D5B2-42A6-A784-70D45FE161D0}" type="presOf" srcId="{6AF0CDFC-0268-4B1D-A8DA-B23AA5878438}" destId="{2A136EFD-4E0E-425D-BA2B-5324C890F8C2}" srcOrd="0" destOrd="0" presId="urn:microsoft.com/office/officeart/2005/8/layout/process4"/>
    <dgm:cxn modelId="{52D1A034-BAEC-4249-A611-A74250AE4A47}" srcId="{9AF56DA9-508F-4453-819B-442983520035}" destId="{EEA45916-400D-478E-84D9-D5D29E62A105}" srcOrd="3" destOrd="0" parTransId="{7456F65F-58DA-4ABB-A377-6404ED938B73}" sibTransId="{CCCC28D0-9E74-4009-B621-61B3CD0BABA2}"/>
    <dgm:cxn modelId="{A7C54846-D9CB-4694-96CB-818038850DEA}" type="presOf" srcId="{9FD81FFE-F91E-48CB-B38F-720701C30F92}" destId="{33C957AE-E9E1-4A8B-B63E-379A68542595}" srcOrd="0" destOrd="0" presId="urn:microsoft.com/office/officeart/2005/8/layout/process4"/>
    <dgm:cxn modelId="{43951E7B-01CD-49B6-AE4F-84CDE08A258D}" type="presOf" srcId="{6C029ED9-6B5D-486F-94E4-706A4442CF96}" destId="{C8F8E02F-BBCA-48EF-95D8-D39A03FF0181}" srcOrd="0" destOrd="0" presId="urn:microsoft.com/office/officeart/2005/8/layout/process4"/>
    <dgm:cxn modelId="{70F7CF7E-9BFC-4DD3-B542-C1C60C1EC28C}" srcId="{9AF56DA9-508F-4453-819B-442983520035}" destId="{2034BC0F-41E7-4F18-AD4C-747CF6DE04DD}" srcOrd="8" destOrd="0" parTransId="{31734E0E-04F2-4562-AAE8-F67A69AC31CF}" sibTransId="{2EBC8A8E-B9EA-44F0-A748-FD24251D1CA8}"/>
    <dgm:cxn modelId="{6143F4B7-8EA6-4D97-800B-FE3DB978A1D2}" type="presOf" srcId="{7896B231-CE1E-4E7B-AEA6-02D517C84EE4}" destId="{4978791F-FD65-4FC7-8F1A-26C79676D2B3}" srcOrd="0" destOrd="0" presId="urn:microsoft.com/office/officeart/2005/8/layout/process4"/>
    <dgm:cxn modelId="{DF21E1B9-0017-49F3-BB11-06538AA8E807}" type="presOf" srcId="{A9960E6E-7B73-4793-90DD-43D456657592}" destId="{AB51804F-6DD7-4601-BCED-D4CD4B293854}" srcOrd="0" destOrd="0" presId="urn:microsoft.com/office/officeart/2005/8/layout/process4"/>
    <dgm:cxn modelId="{07C5C9BD-9868-475B-9570-C961B38DB3A0}" srcId="{9AF56DA9-508F-4453-819B-442983520035}" destId="{6C98CE29-84B0-4612-8346-5CDF86F8A9C4}" srcOrd="0" destOrd="0" parTransId="{872EDA85-BE66-4E01-BACB-375E4D65531F}" sibTransId="{09386677-D89F-45DC-812C-A803B8E00724}"/>
    <dgm:cxn modelId="{8DA64DC1-09B8-44C2-9F33-FD3FE3E57FF4}" type="presOf" srcId="{7F47E0DE-E766-412A-B042-EB4E6A072EA6}" destId="{518852FA-7C11-47BA-B7E3-9860B236525D}" srcOrd="0" destOrd="0" presId="urn:microsoft.com/office/officeart/2005/8/layout/process4"/>
    <dgm:cxn modelId="{3EFC35C2-621F-41B8-83F5-861238F75A95}" type="presOf" srcId="{2034BC0F-41E7-4F18-AD4C-747CF6DE04DD}" destId="{32EA0A8F-17BC-41B0-A0D8-8697D869F3C8}" srcOrd="0" destOrd="0" presId="urn:microsoft.com/office/officeart/2005/8/layout/process4"/>
    <dgm:cxn modelId="{495AE8CC-57F4-4EAF-ADB5-7CAD4ADC078A}" srcId="{9AF56DA9-508F-4453-819B-442983520035}" destId="{6AF0CDFC-0268-4B1D-A8DA-B23AA5878438}" srcOrd="5" destOrd="0" parTransId="{18919164-1729-43B1-BCBD-B273EC44B9BA}" sibTransId="{AA3AFF37-567D-4137-B060-03C0E7608D72}"/>
    <dgm:cxn modelId="{DB63F8E0-56B0-4B1D-8500-33C1DF924630}" type="presOf" srcId="{9AF56DA9-508F-4453-819B-442983520035}" destId="{F97AA647-E38A-46D8-A836-8C48EE3C4BE2}" srcOrd="0" destOrd="0" presId="urn:microsoft.com/office/officeart/2005/8/layout/process4"/>
    <dgm:cxn modelId="{C7DCC3E3-068E-4DAB-A18B-59E299B8161C}" type="presOf" srcId="{6C98CE29-84B0-4612-8346-5CDF86F8A9C4}" destId="{367441CA-116F-4C01-A680-74FABF88B787}" srcOrd="0" destOrd="0" presId="urn:microsoft.com/office/officeart/2005/8/layout/process4"/>
    <dgm:cxn modelId="{883F80E7-9289-4F57-B17B-A6FBA357EA3E}" srcId="{9AF56DA9-508F-4453-819B-442983520035}" destId="{A9960E6E-7B73-4793-90DD-43D456657592}" srcOrd="1" destOrd="0" parTransId="{DC419614-E064-43A0-8E21-2F7556CD9F65}" sibTransId="{3DEAA3CD-F3B0-48CE-B641-989E178CBCBF}"/>
    <dgm:cxn modelId="{D7AFC739-59F1-4D2B-B314-E0CA649C3A1E}" type="presParOf" srcId="{F97AA647-E38A-46D8-A836-8C48EE3C4BE2}" destId="{B672121E-A245-4B93-BE1D-F1517372E53A}" srcOrd="0" destOrd="0" presId="urn:microsoft.com/office/officeart/2005/8/layout/process4"/>
    <dgm:cxn modelId="{3F9326FE-2961-43CB-B921-8999EC5CDF9D}" type="presParOf" srcId="{B672121E-A245-4B93-BE1D-F1517372E53A}" destId="{32EA0A8F-17BC-41B0-A0D8-8697D869F3C8}" srcOrd="0" destOrd="0" presId="urn:microsoft.com/office/officeart/2005/8/layout/process4"/>
    <dgm:cxn modelId="{B89BC39D-519B-41BD-BEDC-0FE0C759113F}" type="presParOf" srcId="{F97AA647-E38A-46D8-A836-8C48EE3C4BE2}" destId="{0661E83B-CF48-4519-B387-9792A5319469}" srcOrd="1" destOrd="0" presId="urn:microsoft.com/office/officeart/2005/8/layout/process4"/>
    <dgm:cxn modelId="{E06F1119-0435-48FD-AC34-857ABE4B2068}" type="presParOf" srcId="{F97AA647-E38A-46D8-A836-8C48EE3C4BE2}" destId="{939CB79F-AF99-4C4A-9701-75988FD4921F}" srcOrd="2" destOrd="0" presId="urn:microsoft.com/office/officeart/2005/8/layout/process4"/>
    <dgm:cxn modelId="{146C5F80-1F9F-4132-B96B-0E94F5CC6649}" type="presParOf" srcId="{939CB79F-AF99-4C4A-9701-75988FD4921F}" destId="{33C957AE-E9E1-4A8B-B63E-379A68542595}" srcOrd="0" destOrd="0" presId="urn:microsoft.com/office/officeart/2005/8/layout/process4"/>
    <dgm:cxn modelId="{7BE9A0FB-6F34-46D1-9CF5-9B7C5AE80F4A}" type="presParOf" srcId="{F97AA647-E38A-46D8-A836-8C48EE3C4BE2}" destId="{16D1804E-89F7-4BAD-A1AF-2A2E5A824E6B}" srcOrd="3" destOrd="0" presId="urn:microsoft.com/office/officeart/2005/8/layout/process4"/>
    <dgm:cxn modelId="{D115277B-234D-450C-A58F-9C5C75941CA8}" type="presParOf" srcId="{F97AA647-E38A-46D8-A836-8C48EE3C4BE2}" destId="{60505A23-D302-4670-BE9C-F307AE1F1A3C}" srcOrd="4" destOrd="0" presId="urn:microsoft.com/office/officeart/2005/8/layout/process4"/>
    <dgm:cxn modelId="{FBCC78F8-AF65-4BC6-A402-72B8B4815059}" type="presParOf" srcId="{60505A23-D302-4670-BE9C-F307AE1F1A3C}" destId="{4978791F-FD65-4FC7-8F1A-26C79676D2B3}" srcOrd="0" destOrd="0" presId="urn:microsoft.com/office/officeart/2005/8/layout/process4"/>
    <dgm:cxn modelId="{4EC40BA0-B61D-47FC-BCEB-976E85FECDB3}" type="presParOf" srcId="{F97AA647-E38A-46D8-A836-8C48EE3C4BE2}" destId="{D94FD7B9-4C5E-416F-9DCA-65ABB45D24CA}" srcOrd="5" destOrd="0" presId="urn:microsoft.com/office/officeart/2005/8/layout/process4"/>
    <dgm:cxn modelId="{8A7E43B0-00D0-414C-BC0E-4385A9A6349F}" type="presParOf" srcId="{F97AA647-E38A-46D8-A836-8C48EE3C4BE2}" destId="{9678DF36-A263-4E06-82FF-C26F47805A01}" srcOrd="6" destOrd="0" presId="urn:microsoft.com/office/officeart/2005/8/layout/process4"/>
    <dgm:cxn modelId="{D9721042-65AD-4D2C-84C2-1DBC27A07DB5}" type="presParOf" srcId="{9678DF36-A263-4E06-82FF-C26F47805A01}" destId="{2A136EFD-4E0E-425D-BA2B-5324C890F8C2}" srcOrd="0" destOrd="0" presId="urn:microsoft.com/office/officeart/2005/8/layout/process4"/>
    <dgm:cxn modelId="{09CA7479-2EA8-4F1C-A9B5-494A7C84E0B8}" type="presParOf" srcId="{F97AA647-E38A-46D8-A836-8C48EE3C4BE2}" destId="{C6ED6347-D115-48F0-A3F4-938CFB1D6DC8}" srcOrd="7" destOrd="0" presId="urn:microsoft.com/office/officeart/2005/8/layout/process4"/>
    <dgm:cxn modelId="{BD1C2C61-06F2-48F2-9660-983B71E8984A}" type="presParOf" srcId="{F97AA647-E38A-46D8-A836-8C48EE3C4BE2}" destId="{2FD80C1E-F896-4038-96A2-22F432A30E84}" srcOrd="8" destOrd="0" presId="urn:microsoft.com/office/officeart/2005/8/layout/process4"/>
    <dgm:cxn modelId="{163BC4E3-BF79-4F3C-BF5F-649C8169D46E}" type="presParOf" srcId="{2FD80C1E-F896-4038-96A2-22F432A30E84}" destId="{C8F8E02F-BBCA-48EF-95D8-D39A03FF0181}" srcOrd="0" destOrd="0" presId="urn:microsoft.com/office/officeart/2005/8/layout/process4"/>
    <dgm:cxn modelId="{ED50D301-5433-4635-9F8B-FC442478FE61}" type="presParOf" srcId="{F97AA647-E38A-46D8-A836-8C48EE3C4BE2}" destId="{F38C6459-16A0-4B7F-8009-22EB0FD84E96}" srcOrd="9" destOrd="0" presId="urn:microsoft.com/office/officeart/2005/8/layout/process4"/>
    <dgm:cxn modelId="{C914FBC4-0D21-4E79-9310-DDDBD06C6BB8}" type="presParOf" srcId="{F97AA647-E38A-46D8-A836-8C48EE3C4BE2}" destId="{0716822F-3C02-4CA7-AB75-434EFDAFA5C3}" srcOrd="10" destOrd="0" presId="urn:microsoft.com/office/officeart/2005/8/layout/process4"/>
    <dgm:cxn modelId="{3D7E3711-4681-4042-B926-1DFEFBBFBA9B}" type="presParOf" srcId="{0716822F-3C02-4CA7-AB75-434EFDAFA5C3}" destId="{B07B1275-71A1-47EA-966A-0FD53104CF36}" srcOrd="0" destOrd="0" presId="urn:microsoft.com/office/officeart/2005/8/layout/process4"/>
    <dgm:cxn modelId="{151DA3B2-E2B2-486E-82A4-46399DA3BA26}" type="presParOf" srcId="{F97AA647-E38A-46D8-A836-8C48EE3C4BE2}" destId="{C20CF2EF-E6C9-4070-8706-35D6C454A743}" srcOrd="11" destOrd="0" presId="urn:microsoft.com/office/officeart/2005/8/layout/process4"/>
    <dgm:cxn modelId="{DC99FACC-740B-4C7D-9F0D-BFA3DC3AA495}" type="presParOf" srcId="{F97AA647-E38A-46D8-A836-8C48EE3C4BE2}" destId="{BA590EE2-692F-4AF6-B936-562B994283BB}" srcOrd="12" destOrd="0" presId="urn:microsoft.com/office/officeart/2005/8/layout/process4"/>
    <dgm:cxn modelId="{E774DFD0-8905-4327-910F-B6D151684EF9}" type="presParOf" srcId="{BA590EE2-692F-4AF6-B936-562B994283BB}" destId="{518852FA-7C11-47BA-B7E3-9860B236525D}" srcOrd="0" destOrd="0" presId="urn:microsoft.com/office/officeart/2005/8/layout/process4"/>
    <dgm:cxn modelId="{34A206E9-192A-409E-AE0C-91C316103054}" type="presParOf" srcId="{F97AA647-E38A-46D8-A836-8C48EE3C4BE2}" destId="{F33E5860-88CC-4F68-A686-04402D3FFE61}" srcOrd="13" destOrd="0" presId="urn:microsoft.com/office/officeart/2005/8/layout/process4"/>
    <dgm:cxn modelId="{487BA822-C96E-4EA4-A8C0-6DD8A9380D70}" type="presParOf" srcId="{F97AA647-E38A-46D8-A836-8C48EE3C4BE2}" destId="{7B11EB82-24CD-46C7-9272-5541BCAFFBF8}" srcOrd="14" destOrd="0" presId="urn:microsoft.com/office/officeart/2005/8/layout/process4"/>
    <dgm:cxn modelId="{8AED4620-385D-457A-937F-5AEE89000E9E}" type="presParOf" srcId="{7B11EB82-24CD-46C7-9272-5541BCAFFBF8}" destId="{AB51804F-6DD7-4601-BCED-D4CD4B293854}" srcOrd="0" destOrd="0" presId="urn:microsoft.com/office/officeart/2005/8/layout/process4"/>
    <dgm:cxn modelId="{334D4D66-5523-424C-B197-BDE39001E6CE}" type="presParOf" srcId="{F97AA647-E38A-46D8-A836-8C48EE3C4BE2}" destId="{498343F0-D0BD-415C-9239-2856891F29A7}" srcOrd="15" destOrd="0" presId="urn:microsoft.com/office/officeart/2005/8/layout/process4"/>
    <dgm:cxn modelId="{C3578040-22C8-48D5-9CCE-86FAA771DB26}" type="presParOf" srcId="{F97AA647-E38A-46D8-A836-8C48EE3C4BE2}" destId="{C91526E3-9E20-4463-951A-AB2761B6454F}" srcOrd="16" destOrd="0" presId="urn:microsoft.com/office/officeart/2005/8/layout/process4"/>
    <dgm:cxn modelId="{3834D43F-0408-4E54-A895-A791BDCFD31B}" type="presParOf" srcId="{C91526E3-9E20-4463-951A-AB2761B6454F}" destId="{367441CA-116F-4C01-A680-74FABF88B787}" srcOrd="0" destOrd="0" presId="urn:microsoft.com/office/officeart/2005/8/layout/process4"/>
  </dgm:cxnLst>
  <dgm:bg/>
  <dgm:whole/>
  <dgm:extLst>
    <a:ext uri="http://schemas.microsoft.com/office/drawing/2008/diagram">
      <dsp:dataModelExt xmlns:dsp="http://schemas.microsoft.com/office/drawing/2008/diagram" relId="rId14"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2EA0A8F-17BC-41B0-A0D8-8697D869F3C8}">
      <dsp:nvSpPr>
        <dsp:cNvPr id="0" name=""/>
        <dsp:cNvSpPr/>
      </dsp:nvSpPr>
      <dsp:spPr>
        <a:xfrm>
          <a:off x="0" y="7219682"/>
          <a:ext cx="6544310" cy="592368"/>
        </a:xfrm>
        <a:prstGeom prst="rect">
          <a:avLst/>
        </a:prstGeom>
        <a:solidFill>
          <a:schemeClr val="accent3">
            <a:lumMod val="20000"/>
            <a:lumOff val="80000"/>
          </a:schemeClr>
        </a:solidFill>
        <a:ln w="25400" cap="flat" cmpd="sng" algn="ctr">
          <a:solidFill>
            <a:schemeClr val="accent3">
              <a:lumMod val="40000"/>
              <a:lumOff val="6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66725">
            <a:lnSpc>
              <a:spcPct val="90000"/>
            </a:lnSpc>
            <a:spcBef>
              <a:spcPct val="0"/>
            </a:spcBef>
            <a:spcAft>
              <a:spcPct val="35000"/>
            </a:spcAft>
            <a:buNone/>
          </a:pPr>
          <a:r>
            <a:rPr lang="en-GB" sz="1050" b="1" kern="1200">
              <a:solidFill>
                <a:schemeClr val="tx1"/>
              </a:solidFill>
              <a:latin typeface="Titillium" panose="00000500000000000000" pitchFamily="50" charset="0"/>
            </a:rPr>
            <a:t>Additional Payment Claimed: </a:t>
          </a:r>
          <a:r>
            <a:rPr lang="en-GB" sz="1050" b="0" kern="1200">
              <a:solidFill>
                <a:schemeClr val="tx1"/>
              </a:solidFill>
              <a:latin typeface="Titillium" panose="00000500000000000000" pitchFamily="50" charset="0"/>
            </a:rPr>
            <a:t>Once final invoice issued, if relevant, staff member must request additional payment via HR connect within two months of project completion. Payment is approved by Line Manager and paid via PAYE, subject to relevant deductions. Speak with External Project Officers for confirmation of amount you can claim. </a:t>
          </a:r>
          <a:endParaRPr lang="en-GB" sz="1050" b="1" kern="1200">
            <a:solidFill>
              <a:schemeClr val="tx1"/>
            </a:solidFill>
            <a:latin typeface="Titillium" panose="00000500000000000000" pitchFamily="50" charset="0"/>
          </a:endParaRPr>
        </a:p>
      </dsp:txBody>
      <dsp:txXfrm>
        <a:off x="0" y="7219682"/>
        <a:ext cx="6544310" cy="592368"/>
      </dsp:txXfrm>
    </dsp:sp>
    <dsp:sp modelId="{33C957AE-E9E1-4A8B-B63E-379A68542595}">
      <dsp:nvSpPr>
        <dsp:cNvPr id="0" name=""/>
        <dsp:cNvSpPr/>
      </dsp:nvSpPr>
      <dsp:spPr>
        <a:xfrm rot="10800000">
          <a:off x="0" y="6317504"/>
          <a:ext cx="6544310" cy="911063"/>
        </a:xfrm>
        <a:prstGeom prst="upArrowCallout">
          <a:avLst/>
        </a:prstGeom>
        <a:solidFill>
          <a:srgbClr val="DDF2FF"/>
        </a:solidFill>
        <a:ln w="25400" cap="flat" cmpd="sng" algn="ctr">
          <a:solidFill>
            <a:srgbClr val="C1E7FF"/>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66725">
            <a:lnSpc>
              <a:spcPct val="90000"/>
            </a:lnSpc>
            <a:spcBef>
              <a:spcPct val="0"/>
            </a:spcBef>
            <a:spcAft>
              <a:spcPct val="35000"/>
            </a:spcAft>
            <a:buNone/>
          </a:pPr>
          <a:r>
            <a:rPr lang="en-GB" sz="1050" b="1" kern="1200">
              <a:solidFill>
                <a:schemeClr val="tx1"/>
              </a:solidFill>
              <a:latin typeface="Titillium" panose="00000500000000000000" pitchFamily="50" charset="0"/>
            </a:rPr>
            <a:t>Project Completion: </a:t>
          </a:r>
          <a:r>
            <a:rPr lang="en-GB" sz="1050" b="0" kern="1200">
              <a:solidFill>
                <a:schemeClr val="tx1"/>
              </a:solidFill>
              <a:latin typeface="Titillium" panose="00000500000000000000" pitchFamily="50" charset="0"/>
            </a:rPr>
            <a:t>Staff member will complete all final deliverables and inform RIE of successful completion. RIE will issue final invoice to client. </a:t>
          </a:r>
          <a:endParaRPr lang="en-GB" sz="1050" b="1" kern="1200">
            <a:solidFill>
              <a:schemeClr val="tx1"/>
            </a:solidFill>
            <a:latin typeface="Titillium" panose="00000500000000000000" pitchFamily="50" charset="0"/>
          </a:endParaRPr>
        </a:p>
      </dsp:txBody>
      <dsp:txXfrm rot="10800000">
        <a:off x="0" y="6317504"/>
        <a:ext cx="6544310" cy="591981"/>
      </dsp:txXfrm>
    </dsp:sp>
    <dsp:sp modelId="{4978791F-FD65-4FC7-8F1A-26C79676D2B3}">
      <dsp:nvSpPr>
        <dsp:cNvPr id="0" name=""/>
        <dsp:cNvSpPr/>
      </dsp:nvSpPr>
      <dsp:spPr>
        <a:xfrm rot="10800000">
          <a:off x="0" y="5415326"/>
          <a:ext cx="6544310" cy="911063"/>
        </a:xfrm>
        <a:prstGeom prst="upArrowCallout">
          <a:avLst/>
        </a:prstGeom>
        <a:solidFill>
          <a:schemeClr val="accent3">
            <a:lumMod val="20000"/>
            <a:lumOff val="80000"/>
          </a:schemeClr>
        </a:solidFill>
        <a:ln w="25400" cap="flat" cmpd="sng" algn="ctr">
          <a:solidFill>
            <a:schemeClr val="accent3">
              <a:lumMod val="40000"/>
              <a:lumOff val="6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66725">
            <a:lnSpc>
              <a:spcPct val="90000"/>
            </a:lnSpc>
            <a:spcBef>
              <a:spcPct val="0"/>
            </a:spcBef>
            <a:spcAft>
              <a:spcPct val="35000"/>
            </a:spcAft>
            <a:buNone/>
          </a:pPr>
          <a:r>
            <a:rPr lang="en-GB" sz="1050" b="1" kern="1200">
              <a:solidFill>
                <a:schemeClr val="tx1"/>
              </a:solidFill>
              <a:latin typeface="Titillium" panose="00000500000000000000" pitchFamily="50" charset="0"/>
            </a:rPr>
            <a:t>Project Delivery: </a:t>
          </a:r>
          <a:r>
            <a:rPr lang="en-GB" sz="1050" b="0" kern="1200">
              <a:solidFill>
                <a:schemeClr val="tx1"/>
              </a:solidFill>
              <a:latin typeface="Titillium" panose="00000500000000000000" pitchFamily="50" charset="0"/>
            </a:rPr>
            <a:t>Staff member delivers project according to project scope, keeping RIE informed of activity and uploading reports to Worktribe (via documents tab). RIE will invoice client in accordance with payment schedule.</a:t>
          </a:r>
          <a:endParaRPr lang="en-GB" sz="1050" b="1" kern="1200">
            <a:solidFill>
              <a:schemeClr val="tx1"/>
            </a:solidFill>
            <a:latin typeface="Titillium" panose="00000500000000000000" pitchFamily="50" charset="0"/>
          </a:endParaRPr>
        </a:p>
      </dsp:txBody>
      <dsp:txXfrm rot="10800000">
        <a:off x="0" y="5415326"/>
        <a:ext cx="6544310" cy="591981"/>
      </dsp:txXfrm>
    </dsp:sp>
    <dsp:sp modelId="{2A136EFD-4E0E-425D-BA2B-5324C890F8C2}">
      <dsp:nvSpPr>
        <dsp:cNvPr id="0" name=""/>
        <dsp:cNvSpPr/>
      </dsp:nvSpPr>
      <dsp:spPr>
        <a:xfrm rot="10800000">
          <a:off x="0" y="4513148"/>
          <a:ext cx="6544310" cy="911063"/>
        </a:xfrm>
        <a:prstGeom prst="upArrowCallout">
          <a:avLst/>
        </a:prstGeom>
        <a:solidFill>
          <a:srgbClr val="DDF2FF"/>
        </a:solidFill>
        <a:ln w="25400" cap="flat" cmpd="sng" algn="ctr">
          <a:solidFill>
            <a:srgbClr val="C1E7FF"/>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66725">
            <a:lnSpc>
              <a:spcPct val="90000"/>
            </a:lnSpc>
            <a:spcBef>
              <a:spcPct val="0"/>
            </a:spcBef>
            <a:spcAft>
              <a:spcPct val="35000"/>
            </a:spcAft>
            <a:buNone/>
          </a:pPr>
          <a:r>
            <a:rPr lang="en-GB" sz="1050" b="1" kern="1200">
              <a:solidFill>
                <a:schemeClr val="tx1"/>
              </a:solidFill>
              <a:latin typeface="Titillium" panose="00000500000000000000" pitchFamily="50" charset="0"/>
            </a:rPr>
            <a:t>Project Set Up: </a:t>
          </a:r>
          <a:r>
            <a:rPr lang="en-GB" sz="1050" b="0" kern="1200">
              <a:solidFill>
                <a:schemeClr val="tx1"/>
              </a:solidFill>
              <a:latin typeface="Titillium" panose="00000500000000000000" pitchFamily="50" charset="0"/>
            </a:rPr>
            <a:t>RIE will issue project finance code (R-Code) and set up reporting and invoicing (milestones). Staff member will be signposted to key contact points for project delivery. </a:t>
          </a:r>
        </a:p>
      </dsp:txBody>
      <dsp:txXfrm rot="10800000">
        <a:off x="0" y="4513148"/>
        <a:ext cx="6544310" cy="591981"/>
      </dsp:txXfrm>
    </dsp:sp>
    <dsp:sp modelId="{C8F8E02F-BBCA-48EF-95D8-D39A03FF0181}">
      <dsp:nvSpPr>
        <dsp:cNvPr id="0" name=""/>
        <dsp:cNvSpPr/>
      </dsp:nvSpPr>
      <dsp:spPr>
        <a:xfrm rot="10800000">
          <a:off x="0" y="3610970"/>
          <a:ext cx="6544310" cy="911063"/>
        </a:xfrm>
        <a:prstGeom prst="upArrowCallout">
          <a:avLst/>
        </a:prstGeom>
        <a:solidFill>
          <a:schemeClr val="accent3">
            <a:lumMod val="20000"/>
            <a:lumOff val="80000"/>
          </a:schemeClr>
        </a:solidFill>
        <a:ln w="25400" cap="flat" cmpd="sng" algn="ctr">
          <a:solidFill>
            <a:schemeClr val="accent3">
              <a:lumMod val="40000"/>
              <a:lumOff val="6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66725">
            <a:lnSpc>
              <a:spcPct val="90000"/>
            </a:lnSpc>
            <a:spcBef>
              <a:spcPct val="0"/>
            </a:spcBef>
            <a:spcAft>
              <a:spcPct val="35000"/>
            </a:spcAft>
            <a:buNone/>
          </a:pPr>
          <a:r>
            <a:rPr lang="en-GB" sz="1050" b="1" kern="1200">
              <a:solidFill>
                <a:schemeClr val="tx1"/>
              </a:solidFill>
              <a:latin typeface="Titillium" panose="00000500000000000000" pitchFamily="50" charset="0"/>
            </a:rPr>
            <a:t>Client Accepts Quote: </a:t>
          </a:r>
          <a:r>
            <a:rPr lang="en-GB" sz="1050" kern="1200">
              <a:solidFill>
                <a:schemeClr val="tx1"/>
              </a:solidFill>
              <a:latin typeface="Titillium" panose="00000500000000000000" pitchFamily="50" charset="0"/>
            </a:rPr>
            <a:t>RIE will issue an ENU contract to client and support negotiation, if required.  </a:t>
          </a:r>
        </a:p>
      </dsp:txBody>
      <dsp:txXfrm rot="10800000">
        <a:off x="0" y="3610970"/>
        <a:ext cx="6544310" cy="591981"/>
      </dsp:txXfrm>
    </dsp:sp>
    <dsp:sp modelId="{B07B1275-71A1-47EA-966A-0FD53104CF36}">
      <dsp:nvSpPr>
        <dsp:cNvPr id="0" name=""/>
        <dsp:cNvSpPr/>
      </dsp:nvSpPr>
      <dsp:spPr>
        <a:xfrm rot="10800000">
          <a:off x="0" y="2708792"/>
          <a:ext cx="6544310" cy="911063"/>
        </a:xfrm>
        <a:prstGeom prst="upArrowCallout">
          <a:avLst/>
        </a:prstGeom>
        <a:solidFill>
          <a:srgbClr val="DDF2FF"/>
        </a:solidFill>
        <a:ln w="25400" cap="flat" cmpd="sng" algn="ctr">
          <a:solidFill>
            <a:srgbClr val="C1E7FF"/>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66725">
            <a:lnSpc>
              <a:spcPct val="90000"/>
            </a:lnSpc>
            <a:spcBef>
              <a:spcPct val="0"/>
            </a:spcBef>
            <a:spcAft>
              <a:spcPct val="35000"/>
            </a:spcAft>
            <a:buNone/>
          </a:pPr>
          <a:r>
            <a:rPr lang="en-GB" sz="1050" b="1" kern="1200">
              <a:solidFill>
                <a:schemeClr val="tx1"/>
              </a:solidFill>
              <a:latin typeface="Titillium" panose="00000500000000000000" pitchFamily="50" charset="0"/>
            </a:rPr>
            <a:t>Worktribe Approvals</a:t>
          </a:r>
          <a:r>
            <a:rPr lang="en-GB" sz="1050" kern="1200">
              <a:solidFill>
                <a:schemeClr val="tx1"/>
              </a:solidFill>
              <a:latin typeface="Titillium" panose="00000500000000000000" pitchFamily="50" charset="0"/>
            </a:rPr>
            <a:t>: Prior to issuing final quote to client, staff member must submit project for approval by the School via WT. Once approved, final quote submitted to client - incl. T&amp;Cs.</a:t>
          </a:r>
        </a:p>
      </dsp:txBody>
      <dsp:txXfrm rot="10800000">
        <a:off x="0" y="2708792"/>
        <a:ext cx="6544310" cy="591981"/>
      </dsp:txXfrm>
    </dsp:sp>
    <dsp:sp modelId="{518852FA-7C11-47BA-B7E3-9860B236525D}">
      <dsp:nvSpPr>
        <dsp:cNvPr id="0" name=""/>
        <dsp:cNvSpPr/>
      </dsp:nvSpPr>
      <dsp:spPr>
        <a:xfrm rot="10800000">
          <a:off x="0" y="1806614"/>
          <a:ext cx="6544310" cy="911063"/>
        </a:xfrm>
        <a:prstGeom prst="upArrowCallout">
          <a:avLst/>
        </a:prstGeom>
        <a:solidFill>
          <a:schemeClr val="accent3">
            <a:lumMod val="20000"/>
            <a:lumOff val="80000"/>
          </a:schemeClr>
        </a:solidFill>
        <a:ln w="25400" cap="flat" cmpd="sng" algn="ctr">
          <a:solidFill>
            <a:schemeClr val="accent3">
              <a:lumMod val="40000"/>
              <a:lumOff val="6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66725">
            <a:lnSpc>
              <a:spcPct val="90000"/>
            </a:lnSpc>
            <a:spcBef>
              <a:spcPct val="0"/>
            </a:spcBef>
            <a:spcAft>
              <a:spcPct val="35000"/>
            </a:spcAft>
            <a:buNone/>
          </a:pPr>
          <a:r>
            <a:rPr lang="en-GB" sz="1050" b="1" kern="1200">
              <a:solidFill>
                <a:schemeClr val="tx1"/>
              </a:solidFill>
              <a:latin typeface="Titillium" panose="00000500000000000000" pitchFamily="50" charset="0"/>
            </a:rPr>
            <a:t>Project Development</a:t>
          </a:r>
          <a:r>
            <a:rPr lang="en-GB" sz="1050" kern="1200">
              <a:solidFill>
                <a:schemeClr val="tx1"/>
              </a:solidFill>
              <a:latin typeface="Titillium" panose="00000500000000000000" pitchFamily="50" charset="0"/>
            </a:rPr>
            <a:t>: Based on project scope, RIE will advise on due diligence, costs, market analysis, price and final quote. If required, RIE will generate indicative client quick quotes and signpost to other support departments.  </a:t>
          </a:r>
        </a:p>
      </dsp:txBody>
      <dsp:txXfrm rot="10800000">
        <a:off x="0" y="1806614"/>
        <a:ext cx="6544310" cy="591981"/>
      </dsp:txXfrm>
    </dsp:sp>
    <dsp:sp modelId="{AB51804F-6DD7-4601-BCED-D4CD4B293854}">
      <dsp:nvSpPr>
        <dsp:cNvPr id="0" name=""/>
        <dsp:cNvSpPr/>
      </dsp:nvSpPr>
      <dsp:spPr>
        <a:xfrm rot="10800000">
          <a:off x="0" y="904436"/>
          <a:ext cx="6544310" cy="911063"/>
        </a:xfrm>
        <a:prstGeom prst="upArrowCallout">
          <a:avLst/>
        </a:prstGeom>
        <a:solidFill>
          <a:srgbClr val="DDF2FF"/>
        </a:solidFill>
        <a:ln w="25400" cap="flat" cmpd="sng" algn="ctr">
          <a:solidFill>
            <a:srgbClr val="C1E7FF"/>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66725">
            <a:lnSpc>
              <a:spcPct val="90000"/>
            </a:lnSpc>
            <a:spcBef>
              <a:spcPct val="0"/>
            </a:spcBef>
            <a:spcAft>
              <a:spcPct val="35000"/>
            </a:spcAft>
            <a:buNone/>
          </a:pPr>
          <a:r>
            <a:rPr lang="en-GB" sz="1050" b="1" kern="1200">
              <a:solidFill>
                <a:schemeClr val="tx1"/>
              </a:solidFill>
              <a:latin typeface="Titillium" panose="00000500000000000000" pitchFamily="50" charset="0"/>
            </a:rPr>
            <a:t>Line Manager Discussion / Approval</a:t>
          </a:r>
          <a:r>
            <a:rPr lang="en-GB" sz="1050" kern="1200">
              <a:solidFill>
                <a:schemeClr val="tx1"/>
              </a:solidFill>
              <a:latin typeface="Titillium" panose="00000500000000000000" pitchFamily="50" charset="0"/>
            </a:rPr>
            <a:t>: Staff member to discuss activity with Line Manager to determine if project is feasible within, or is out with, WAM. Line Manager approves via Consultancy and Commercial Activity email. Raise awarness to key service leads of potential project and impact. </a:t>
          </a:r>
        </a:p>
      </dsp:txBody>
      <dsp:txXfrm rot="10800000">
        <a:off x="0" y="904436"/>
        <a:ext cx="6544310" cy="591981"/>
      </dsp:txXfrm>
    </dsp:sp>
    <dsp:sp modelId="{367441CA-116F-4C01-A680-74FABF88B787}">
      <dsp:nvSpPr>
        <dsp:cNvPr id="0" name=""/>
        <dsp:cNvSpPr/>
      </dsp:nvSpPr>
      <dsp:spPr>
        <a:xfrm rot="10800000">
          <a:off x="0" y="2258"/>
          <a:ext cx="6544310" cy="911063"/>
        </a:xfrm>
        <a:prstGeom prst="upArrowCallout">
          <a:avLst/>
        </a:prstGeom>
        <a:solidFill>
          <a:schemeClr val="accent3">
            <a:lumMod val="20000"/>
            <a:lumOff val="80000"/>
          </a:schemeClr>
        </a:solidFill>
        <a:ln w="25400" cap="flat" cmpd="sng" algn="ctr">
          <a:solidFill>
            <a:schemeClr val="accent3">
              <a:lumMod val="40000"/>
              <a:lumOff val="6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66725">
            <a:lnSpc>
              <a:spcPct val="90000"/>
            </a:lnSpc>
            <a:spcBef>
              <a:spcPct val="0"/>
            </a:spcBef>
            <a:spcAft>
              <a:spcPct val="35000"/>
            </a:spcAft>
            <a:buNone/>
          </a:pPr>
          <a:r>
            <a:rPr lang="en-GB" sz="1050" b="1" kern="1200">
              <a:solidFill>
                <a:schemeClr val="tx1"/>
              </a:solidFill>
              <a:latin typeface="Titillium" panose="00000500000000000000" pitchFamily="50" charset="0"/>
            </a:rPr>
            <a:t>Project Scoping:</a:t>
          </a:r>
          <a:r>
            <a:rPr lang="en-GB" sz="1050" kern="1200">
              <a:solidFill>
                <a:schemeClr val="tx1"/>
              </a:solidFill>
              <a:latin typeface="Titillium" panose="00000500000000000000" pitchFamily="50" charset="0"/>
            </a:rPr>
            <a:t> Initial conversation between ENU (staff member and / or RIE) and client. Staff member creates Worktribe (WT) project and informs RIE if client needs to be added as a new funder.</a:t>
          </a:r>
        </a:p>
      </dsp:txBody>
      <dsp:txXfrm rot="10800000">
        <a:off x="0" y="2258"/>
        <a:ext cx="6544310" cy="591981"/>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F2B03ACD5DCCB409DA6B025703A710A"/>
        <w:category>
          <w:name w:val="General"/>
          <w:gallery w:val="placeholder"/>
        </w:category>
        <w:types>
          <w:type w:val="bbPlcHdr"/>
        </w:types>
        <w:behaviors>
          <w:behavior w:val="content"/>
        </w:behaviors>
        <w:guid w:val="{B02F9164-30BC-B540-90A3-F8DD7E84B8E1}"/>
      </w:docPartPr>
      <w:docPartBody>
        <w:p w:rsidR="00E6420B" w:rsidRDefault="00E6420B" w:rsidP="00E6420B">
          <w:pPr>
            <w:pStyle w:val="3F2B03ACD5DCCB409DA6B025703A710A"/>
          </w:pPr>
          <w:r>
            <w:t>[Type text]</w:t>
          </w:r>
        </w:p>
      </w:docPartBody>
    </w:docPart>
    <w:docPart>
      <w:docPartPr>
        <w:name w:val="CFACCB42C3B3404CAA11B9BB648C050E"/>
        <w:category>
          <w:name w:val="General"/>
          <w:gallery w:val="placeholder"/>
        </w:category>
        <w:types>
          <w:type w:val="bbPlcHdr"/>
        </w:types>
        <w:behaviors>
          <w:behavior w:val="content"/>
        </w:behaviors>
        <w:guid w:val="{86080DC1-FE02-494D-A754-5E1B203D1AD0}"/>
      </w:docPartPr>
      <w:docPartBody>
        <w:p w:rsidR="00E6420B" w:rsidRDefault="00E6420B" w:rsidP="00E6420B">
          <w:pPr>
            <w:pStyle w:val="CFACCB42C3B3404CAA11B9BB648C050E"/>
          </w:pPr>
          <w:r>
            <w:t>[Type text]</w:t>
          </w:r>
        </w:p>
      </w:docPartBody>
    </w:docPart>
    <w:docPart>
      <w:docPartPr>
        <w:name w:val="EAB493A49408F545AC98EEFF5D8D7889"/>
        <w:category>
          <w:name w:val="General"/>
          <w:gallery w:val="placeholder"/>
        </w:category>
        <w:types>
          <w:type w:val="bbPlcHdr"/>
        </w:types>
        <w:behaviors>
          <w:behavior w:val="content"/>
        </w:behaviors>
        <w:guid w:val="{61D0F2D1-535B-2A4F-96DE-6F0640DA8E13}"/>
      </w:docPartPr>
      <w:docPartBody>
        <w:p w:rsidR="00E6420B" w:rsidRDefault="00E6420B" w:rsidP="00E6420B">
          <w:pPr>
            <w:pStyle w:val="EAB493A49408F545AC98EEFF5D8D788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tillium">
    <w:panose1 w:val="00000500000000000000"/>
    <w:charset w:val="00"/>
    <w:family w:val="modern"/>
    <w:notTrueType/>
    <w:pitch w:val="variable"/>
    <w:sig w:usb0="00000007"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Helvetica 45 Light">
    <w:altName w:val="Arial"/>
    <w:charset w:val="00"/>
    <w:family w:val="swiss"/>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Titillium-Semibold">
    <w:altName w:val="Calibri"/>
    <w:panose1 w:val="00000000000000000000"/>
    <w:charset w:val="4D"/>
    <w:family w:val="auto"/>
    <w:notTrueType/>
    <w:pitch w:val="variable"/>
    <w:sig w:usb0="00000007" w:usb1="00000001" w:usb2="00000000" w:usb3="00000000" w:csb0="00000093"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420B"/>
    <w:rsid w:val="000751DB"/>
    <w:rsid w:val="0021010E"/>
    <w:rsid w:val="0023638B"/>
    <w:rsid w:val="00250B62"/>
    <w:rsid w:val="00320E10"/>
    <w:rsid w:val="003934C9"/>
    <w:rsid w:val="004A2683"/>
    <w:rsid w:val="004D094E"/>
    <w:rsid w:val="005058D9"/>
    <w:rsid w:val="00511B11"/>
    <w:rsid w:val="005C1EB8"/>
    <w:rsid w:val="005D4209"/>
    <w:rsid w:val="005F6B6A"/>
    <w:rsid w:val="006703CF"/>
    <w:rsid w:val="00733210"/>
    <w:rsid w:val="007A1670"/>
    <w:rsid w:val="007D2B2E"/>
    <w:rsid w:val="00881C3E"/>
    <w:rsid w:val="00A42EAC"/>
    <w:rsid w:val="00A964BE"/>
    <w:rsid w:val="00B7710E"/>
    <w:rsid w:val="00B85DDA"/>
    <w:rsid w:val="00BC4077"/>
    <w:rsid w:val="00C62D5D"/>
    <w:rsid w:val="00CA3CCD"/>
    <w:rsid w:val="00E26EDD"/>
    <w:rsid w:val="00E6420B"/>
    <w:rsid w:val="00EA3213"/>
    <w:rsid w:val="00EA4F15"/>
    <w:rsid w:val="00EE14CD"/>
    <w:rsid w:val="00EE532B"/>
    <w:rsid w:val="00EF0267"/>
    <w:rsid w:val="00F302A6"/>
    <w:rsid w:val="00F77EA7"/>
    <w:rsid w:val="00F8482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F2B03ACD5DCCB409DA6B025703A710A">
    <w:name w:val="3F2B03ACD5DCCB409DA6B025703A710A"/>
    <w:rsid w:val="00E6420B"/>
  </w:style>
  <w:style w:type="paragraph" w:customStyle="1" w:styleId="CFACCB42C3B3404CAA11B9BB648C050E">
    <w:name w:val="CFACCB42C3B3404CAA11B9BB648C050E"/>
    <w:rsid w:val="00E6420B"/>
  </w:style>
  <w:style w:type="paragraph" w:customStyle="1" w:styleId="EAB493A49408F545AC98EEFF5D8D7889">
    <w:name w:val="EAB493A49408F545AC98EEFF5D8D7889"/>
    <w:rsid w:val="00E642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Gre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DBCBE7D6F37914BA74C371B10B8831E" ma:contentTypeVersion="20" ma:contentTypeDescription="Create a new document." ma:contentTypeScope="" ma:versionID="a034168c9449e582630edee2767607f1">
  <xsd:schema xmlns:xsd="http://www.w3.org/2001/XMLSchema" xmlns:xs="http://www.w3.org/2001/XMLSchema" xmlns:p="http://schemas.microsoft.com/office/2006/metadata/properties" xmlns:ns1="http://schemas.microsoft.com/sharepoint/v3" xmlns:ns2="9651ca09-5c4e-4fb0-930d-2dbd16439672" targetNamespace="http://schemas.microsoft.com/office/2006/metadata/properties" ma:root="true" ma:fieldsID="3fb8347d4e63da925dcdab1af2e30b79" ns1:_="" ns2:_="">
    <xsd:import namespace="http://schemas.microsoft.com/sharepoint/v3"/>
    <xsd:import namespace="9651ca09-5c4e-4fb0-930d-2dbd16439672"/>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51ca09-5c4e-4fb0-930d-2dbd1643967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BDB06AE-53F7-4917-8947-9947BAF93C02}"/>
</file>

<file path=customXml/itemProps2.xml><?xml version="1.0" encoding="utf-8"?>
<ds:datastoreItem xmlns:ds="http://schemas.openxmlformats.org/officeDocument/2006/customXml" ds:itemID="{44FAC0B0-A3F8-4958-A735-F45B3849DACB}"/>
</file>

<file path=customXml/itemProps3.xml><?xml version="1.0" encoding="utf-8"?>
<ds:datastoreItem xmlns:ds="http://schemas.openxmlformats.org/officeDocument/2006/customXml" ds:itemID="{60617374-1002-4026-8D49-1E80797D7128}"/>
</file>

<file path=customXml/itemProps4.xml><?xml version="1.0" encoding="utf-8"?>
<ds:datastoreItem xmlns:ds="http://schemas.openxmlformats.org/officeDocument/2006/customXml" ds:itemID="{9F1AA86E-04A0-4DE0-92DA-A63873B1E5F2}"/>
</file>

<file path=docProps/app.xml><?xml version="1.0" encoding="utf-8"?>
<Properties xmlns="http://schemas.openxmlformats.org/officeDocument/2006/extended-properties" xmlns:vt="http://schemas.openxmlformats.org/officeDocument/2006/docPropsVTypes">
  <Template>Normal.dotm</Template>
  <TotalTime>21</TotalTime>
  <Pages>8</Pages>
  <Words>1955</Words>
  <Characters>11146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Edinburgh Napier University</Company>
  <LinksUpToDate>false</LinksUpToDate>
  <CharactersWithSpaces>13075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Jamieson, Georgina</dc:creator>
  <cp:keywords/>
  <dc:description/>
  <cp:lastModifiedBy>Burdge, Matthew</cp:lastModifiedBy>
  <cp:revision>9</cp:revision>
  <cp:lastPrinted>2018-07-18T11:19:00Z</cp:lastPrinted>
  <dcterms:created xsi:type="dcterms:W3CDTF">2022-05-11T07:45:00Z</dcterms:created>
  <dcterms:modified xsi:type="dcterms:W3CDTF">2022-05-11T08:26:00Z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0x0101005DBCBE7D6F37914BA74C371B10B8831E</vt:lpwstr>
  </property>
</Properties>
</file>