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597F" w14:textId="18AED7EA" w:rsidR="00A540DC" w:rsidRPr="00F3435B" w:rsidRDefault="001A25DF" w:rsidP="00E70D49">
      <w:pPr>
        <w:jc w:val="right"/>
      </w:pPr>
      <w:r>
        <w:rPr>
          <w:noProof/>
          <w:highlight w:val="yellow"/>
          <w:lang w:eastAsia="en-GB"/>
        </w:rPr>
        <w:drawing>
          <wp:inline distT="0" distB="0" distL="0" distR="0" wp14:anchorId="4CCD8B3E" wp14:editId="54BDCCDD">
            <wp:extent cx="2800350" cy="511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2"/>
                    <a:stretch/>
                  </pic:blipFill>
                  <pic:spPr bwMode="auto">
                    <a:xfrm>
                      <a:off x="0" y="0"/>
                      <a:ext cx="2904437" cy="530175"/>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vertAnchor="page" w:horzAnchor="margin" w:tblpXSpec="center" w:tblpY="5762"/>
        <w:tblW w:w="3689" w:type="pct"/>
        <w:tblBorders>
          <w:left w:val="single" w:sz="12" w:space="0" w:color="859EA4"/>
        </w:tblBorders>
        <w:tblCellMar>
          <w:left w:w="144" w:type="dxa"/>
          <w:right w:w="115" w:type="dxa"/>
        </w:tblCellMar>
        <w:tblLook w:val="04A0" w:firstRow="1" w:lastRow="0" w:firstColumn="1" w:lastColumn="0" w:noHBand="0" w:noVBand="1"/>
      </w:tblPr>
      <w:tblGrid>
        <w:gridCol w:w="6648"/>
      </w:tblGrid>
      <w:tr w:rsidR="00A540DC" w14:paraId="6388B785" w14:textId="77777777" w:rsidTr="00D2298D">
        <w:tc>
          <w:tcPr>
            <w:tcW w:w="6648" w:type="dxa"/>
          </w:tcPr>
          <w:sdt>
            <w:sdtPr>
              <w:rPr>
                <w:rFonts w:asciiTheme="majorHAnsi" w:eastAsiaTheme="majorEastAsia" w:hAnsiTheme="majorHAnsi" w:cstheme="majorBidi"/>
                <w:color w:val="E5233F"/>
                <w:sz w:val="72"/>
                <w:szCs w:val="80"/>
              </w:rPr>
              <w:alias w:val="Title"/>
              <w:id w:val="13406919"/>
              <w:placeholder>
                <w:docPart w:val="CD2CFA2C1CCA48BEA849E207DEF19208"/>
              </w:placeholder>
              <w:dataBinding w:prefixMappings="xmlns:ns0='http://schemas.openxmlformats.org/package/2006/metadata/core-properties' xmlns:ns1='http://purl.org/dc/elements/1.1/'" w:xpath="/ns0:coreProperties[1]/ns1:title[1]" w:storeItemID="{6C3C8BC8-F283-45AE-878A-BAB7291924A1}"/>
              <w:text/>
            </w:sdtPr>
            <w:sdtEndPr/>
            <w:sdtContent>
              <w:p w14:paraId="69510063" w14:textId="58B538C7" w:rsidR="00A540DC" w:rsidRPr="00A85681" w:rsidRDefault="00972980" w:rsidP="003A4562">
                <w:pPr>
                  <w:pStyle w:val="NoSpacing"/>
                  <w:spacing w:line="216" w:lineRule="auto"/>
                  <w:rPr>
                    <w:rFonts w:asciiTheme="majorHAnsi" w:eastAsiaTheme="majorEastAsia" w:hAnsiTheme="majorHAnsi" w:cstheme="majorBidi"/>
                    <w:color w:val="5B9BD5" w:themeColor="accent1"/>
                    <w:sz w:val="84"/>
                    <w:szCs w:val="84"/>
                  </w:rPr>
                </w:pPr>
                <w:r w:rsidRPr="00541741">
                  <w:rPr>
                    <w:rFonts w:asciiTheme="majorHAnsi" w:eastAsiaTheme="majorEastAsia" w:hAnsiTheme="majorHAnsi" w:cstheme="majorBidi"/>
                    <w:color w:val="E5233F"/>
                    <w:sz w:val="72"/>
                    <w:szCs w:val="80"/>
                  </w:rPr>
                  <w:t>Consultancy and Commercial Activity Framework</w:t>
                </w:r>
                <w:r w:rsidR="00036F60" w:rsidRPr="00541741">
                  <w:rPr>
                    <w:rFonts w:asciiTheme="majorHAnsi" w:eastAsiaTheme="majorEastAsia" w:hAnsiTheme="majorHAnsi" w:cstheme="majorBidi"/>
                    <w:color w:val="E5233F"/>
                    <w:sz w:val="72"/>
                    <w:szCs w:val="80"/>
                  </w:rPr>
                  <w:t xml:space="preserve"> Guidance</w:t>
                </w:r>
              </w:p>
            </w:sdtContent>
          </w:sdt>
        </w:tc>
      </w:tr>
      <w:tr w:rsidR="00A540DC" w14:paraId="74F8465A" w14:textId="77777777" w:rsidTr="00D2298D">
        <w:trPr>
          <w:trHeight w:val="411"/>
        </w:trPr>
        <w:sdt>
          <w:sdtPr>
            <w:rPr>
              <w:rFonts w:asciiTheme="majorHAnsi" w:eastAsiaTheme="majorEastAsia" w:hAnsiTheme="majorHAnsi" w:cstheme="majorBidi"/>
              <w:color w:val="859EA4"/>
              <w:sz w:val="28"/>
              <w:szCs w:val="28"/>
            </w:rPr>
            <w:alias w:val="Subtitle"/>
            <w:id w:val="13406923"/>
            <w:placeholder>
              <w:docPart w:val="10A22AE9A21948A9A7DE5A67191A6439"/>
            </w:placeholder>
            <w:dataBinding w:prefixMappings="xmlns:ns0='http://schemas.openxmlformats.org/package/2006/metadata/core-properties' xmlns:ns1='http://purl.org/dc/elements/1.1/'" w:xpath="/ns0:coreProperties[1]/ns1:subject[1]" w:storeItemID="{6C3C8BC8-F283-45AE-878A-BAB7291924A1}"/>
            <w:text/>
          </w:sdtPr>
          <w:sdtEndPr/>
          <w:sdtContent>
            <w:tc>
              <w:tcPr>
                <w:tcW w:w="6648" w:type="dxa"/>
                <w:tcMar>
                  <w:top w:w="216" w:type="dxa"/>
                  <w:left w:w="115" w:type="dxa"/>
                  <w:bottom w:w="216" w:type="dxa"/>
                  <w:right w:w="115" w:type="dxa"/>
                </w:tcMar>
              </w:tcPr>
              <w:p w14:paraId="0EF55631" w14:textId="0B8CC022" w:rsidR="00A540DC" w:rsidRDefault="00036F60" w:rsidP="00036F60">
                <w:pPr>
                  <w:pStyle w:val="NoSpacing"/>
                  <w:jc w:val="both"/>
                  <w:rPr>
                    <w:color w:val="2E74B5" w:themeColor="accent1" w:themeShade="BF"/>
                    <w:sz w:val="24"/>
                  </w:rPr>
                </w:pPr>
                <w:r w:rsidRPr="005C302E">
                  <w:rPr>
                    <w:rFonts w:asciiTheme="majorHAnsi" w:eastAsiaTheme="majorEastAsia" w:hAnsiTheme="majorHAnsi" w:cstheme="majorBidi"/>
                    <w:color w:val="859EA4"/>
                    <w:sz w:val="28"/>
                    <w:szCs w:val="28"/>
                  </w:rPr>
                  <w:t>Full guidance for the development of consultancy and commercial activity and requesting associated incentives</w:t>
                </w:r>
              </w:p>
            </w:tc>
          </w:sdtContent>
        </w:sdt>
      </w:tr>
    </w:tbl>
    <w:p w14:paraId="433D46E8" w14:textId="3EAA86A3" w:rsidR="00D2298D" w:rsidRDefault="00D2298D" w:rsidP="00D2298D">
      <w:pPr>
        <w:tabs>
          <w:tab w:val="left" w:pos="7011"/>
        </w:tabs>
        <w:rPr>
          <w:b/>
          <w:u w:val="single"/>
        </w:rPr>
      </w:pPr>
    </w:p>
    <w:p w14:paraId="50DD98F0" w14:textId="77777777" w:rsidR="00D2298D" w:rsidRDefault="00D2298D">
      <w:pPr>
        <w:rPr>
          <w:b/>
          <w:u w:val="single"/>
        </w:rPr>
      </w:pPr>
      <w:r>
        <w:rPr>
          <w:b/>
          <w:u w:val="single"/>
        </w:rPr>
        <w:br w:type="page"/>
      </w:r>
    </w:p>
    <w:sdt>
      <w:sdtPr>
        <w:rPr>
          <w:rFonts w:asciiTheme="minorHAnsi" w:eastAsiaTheme="minorHAnsi" w:hAnsiTheme="minorHAnsi" w:cstheme="minorBidi"/>
          <w:b/>
          <w:color w:val="E5233F"/>
          <w:sz w:val="22"/>
          <w:szCs w:val="22"/>
          <w:lang w:val="en-GB"/>
        </w:rPr>
        <w:id w:val="-890489835"/>
        <w:docPartObj>
          <w:docPartGallery w:val="Table of Contents"/>
          <w:docPartUnique/>
        </w:docPartObj>
      </w:sdtPr>
      <w:sdtEndPr>
        <w:rPr>
          <w:bCs/>
          <w:noProof/>
          <w:color w:val="auto"/>
        </w:rPr>
      </w:sdtEndPr>
      <w:sdtContent>
        <w:p w14:paraId="06757C07" w14:textId="47FBFBA6" w:rsidR="00A558EE" w:rsidRPr="0089738C" w:rsidRDefault="00A558EE">
          <w:pPr>
            <w:pStyle w:val="TOCHeading"/>
            <w:rPr>
              <w:b/>
              <w:color w:val="E5233F"/>
            </w:rPr>
          </w:pPr>
          <w:r w:rsidRPr="0089738C">
            <w:rPr>
              <w:b/>
              <w:color w:val="E5233F"/>
            </w:rPr>
            <w:t>Contents</w:t>
          </w:r>
        </w:p>
        <w:p w14:paraId="28F1ED7E" w14:textId="77777777" w:rsidR="00C419B1" w:rsidRPr="00C419B1" w:rsidRDefault="00C419B1" w:rsidP="00C419B1">
          <w:pPr>
            <w:rPr>
              <w:lang w:val="en-US"/>
            </w:rPr>
          </w:pPr>
        </w:p>
        <w:p w14:paraId="26667926" w14:textId="1E05C10B" w:rsidR="002A0EEC" w:rsidRDefault="00A558EE">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5132839" w:history="1">
            <w:r w:rsidR="002A0EEC" w:rsidRPr="00EE5BA4">
              <w:rPr>
                <w:rStyle w:val="Hyperlink"/>
                <w:noProof/>
              </w:rPr>
              <w:t>1.</w:t>
            </w:r>
            <w:r w:rsidR="002A0EEC">
              <w:rPr>
                <w:rFonts w:eastAsiaTheme="minorEastAsia"/>
                <w:noProof/>
                <w:lang w:eastAsia="en-GB"/>
              </w:rPr>
              <w:tab/>
            </w:r>
            <w:r w:rsidR="002A0EEC" w:rsidRPr="00EE5BA4">
              <w:rPr>
                <w:rStyle w:val="Hyperlink"/>
                <w:noProof/>
              </w:rPr>
              <w:t>Introduction</w:t>
            </w:r>
            <w:r w:rsidR="002A0EEC">
              <w:rPr>
                <w:noProof/>
                <w:webHidden/>
              </w:rPr>
              <w:tab/>
            </w:r>
            <w:r w:rsidR="002A0EEC">
              <w:rPr>
                <w:noProof/>
                <w:webHidden/>
              </w:rPr>
              <w:fldChar w:fldCharType="begin"/>
            </w:r>
            <w:r w:rsidR="002A0EEC">
              <w:rPr>
                <w:noProof/>
                <w:webHidden/>
              </w:rPr>
              <w:instrText xml:space="preserve"> PAGEREF _Toc95132839 \h </w:instrText>
            </w:r>
            <w:r w:rsidR="002A0EEC">
              <w:rPr>
                <w:noProof/>
                <w:webHidden/>
              </w:rPr>
            </w:r>
            <w:r w:rsidR="002A0EEC">
              <w:rPr>
                <w:noProof/>
                <w:webHidden/>
              </w:rPr>
              <w:fldChar w:fldCharType="separate"/>
            </w:r>
            <w:r w:rsidR="002A0EEC">
              <w:rPr>
                <w:noProof/>
                <w:webHidden/>
              </w:rPr>
              <w:t>3</w:t>
            </w:r>
            <w:r w:rsidR="002A0EEC">
              <w:rPr>
                <w:noProof/>
                <w:webHidden/>
              </w:rPr>
              <w:fldChar w:fldCharType="end"/>
            </w:r>
          </w:hyperlink>
        </w:p>
        <w:p w14:paraId="44425EB4" w14:textId="574B4A09" w:rsidR="002A0EEC" w:rsidRDefault="00B75B73">
          <w:pPr>
            <w:pStyle w:val="TOC1"/>
            <w:tabs>
              <w:tab w:val="left" w:pos="440"/>
              <w:tab w:val="right" w:leader="dot" w:pos="9016"/>
            </w:tabs>
            <w:rPr>
              <w:rFonts w:eastAsiaTheme="minorEastAsia"/>
              <w:noProof/>
              <w:lang w:eastAsia="en-GB"/>
            </w:rPr>
          </w:pPr>
          <w:hyperlink w:anchor="_Toc95132840" w:history="1">
            <w:r w:rsidR="002A0EEC" w:rsidRPr="00EE5BA4">
              <w:rPr>
                <w:rStyle w:val="Hyperlink"/>
                <w:noProof/>
              </w:rPr>
              <w:t>2.</w:t>
            </w:r>
            <w:r w:rsidR="002A0EEC">
              <w:rPr>
                <w:rFonts w:eastAsiaTheme="minorEastAsia"/>
                <w:noProof/>
                <w:lang w:eastAsia="en-GB"/>
              </w:rPr>
              <w:tab/>
            </w:r>
            <w:r w:rsidR="002A0EEC" w:rsidRPr="00EE5BA4">
              <w:rPr>
                <w:rStyle w:val="Hyperlink"/>
                <w:noProof/>
              </w:rPr>
              <w:t>Eligibility</w:t>
            </w:r>
            <w:r w:rsidR="002A0EEC">
              <w:rPr>
                <w:noProof/>
                <w:webHidden/>
              </w:rPr>
              <w:tab/>
            </w:r>
            <w:r w:rsidR="002A0EEC">
              <w:rPr>
                <w:noProof/>
                <w:webHidden/>
              </w:rPr>
              <w:fldChar w:fldCharType="begin"/>
            </w:r>
            <w:r w:rsidR="002A0EEC">
              <w:rPr>
                <w:noProof/>
                <w:webHidden/>
              </w:rPr>
              <w:instrText xml:space="preserve"> PAGEREF _Toc95132840 \h </w:instrText>
            </w:r>
            <w:r w:rsidR="002A0EEC">
              <w:rPr>
                <w:noProof/>
                <w:webHidden/>
              </w:rPr>
            </w:r>
            <w:r w:rsidR="002A0EEC">
              <w:rPr>
                <w:noProof/>
                <w:webHidden/>
              </w:rPr>
              <w:fldChar w:fldCharType="separate"/>
            </w:r>
            <w:r w:rsidR="002A0EEC">
              <w:rPr>
                <w:noProof/>
                <w:webHidden/>
              </w:rPr>
              <w:t>4</w:t>
            </w:r>
            <w:r w:rsidR="002A0EEC">
              <w:rPr>
                <w:noProof/>
                <w:webHidden/>
              </w:rPr>
              <w:fldChar w:fldCharType="end"/>
            </w:r>
          </w:hyperlink>
        </w:p>
        <w:p w14:paraId="4137E633" w14:textId="7C3739AE" w:rsidR="002A0EEC" w:rsidRDefault="00B75B73">
          <w:pPr>
            <w:pStyle w:val="TOC1"/>
            <w:tabs>
              <w:tab w:val="left" w:pos="440"/>
              <w:tab w:val="right" w:leader="dot" w:pos="9016"/>
            </w:tabs>
            <w:rPr>
              <w:rFonts w:eastAsiaTheme="minorEastAsia"/>
              <w:noProof/>
              <w:lang w:eastAsia="en-GB"/>
            </w:rPr>
          </w:pPr>
          <w:hyperlink w:anchor="_Toc95132841" w:history="1">
            <w:r w:rsidR="002A0EEC" w:rsidRPr="00EE5BA4">
              <w:rPr>
                <w:rStyle w:val="Hyperlink"/>
                <w:noProof/>
              </w:rPr>
              <w:t>3.</w:t>
            </w:r>
            <w:r w:rsidR="002A0EEC">
              <w:rPr>
                <w:rFonts w:eastAsiaTheme="minorEastAsia"/>
                <w:noProof/>
                <w:lang w:eastAsia="en-GB"/>
              </w:rPr>
              <w:tab/>
            </w:r>
            <w:r w:rsidR="002A0EEC" w:rsidRPr="00EE5BA4">
              <w:rPr>
                <w:rStyle w:val="Hyperlink"/>
                <w:noProof/>
              </w:rPr>
              <w:t>Activities Within Scope of Framework</w:t>
            </w:r>
            <w:r w:rsidR="002A0EEC">
              <w:rPr>
                <w:noProof/>
                <w:webHidden/>
              </w:rPr>
              <w:tab/>
            </w:r>
            <w:r w:rsidR="002A0EEC">
              <w:rPr>
                <w:noProof/>
                <w:webHidden/>
              </w:rPr>
              <w:fldChar w:fldCharType="begin"/>
            </w:r>
            <w:r w:rsidR="002A0EEC">
              <w:rPr>
                <w:noProof/>
                <w:webHidden/>
              </w:rPr>
              <w:instrText xml:space="preserve"> PAGEREF _Toc95132841 \h </w:instrText>
            </w:r>
            <w:r w:rsidR="002A0EEC">
              <w:rPr>
                <w:noProof/>
                <w:webHidden/>
              </w:rPr>
            </w:r>
            <w:r w:rsidR="002A0EEC">
              <w:rPr>
                <w:noProof/>
                <w:webHidden/>
              </w:rPr>
              <w:fldChar w:fldCharType="separate"/>
            </w:r>
            <w:r w:rsidR="002A0EEC">
              <w:rPr>
                <w:noProof/>
                <w:webHidden/>
              </w:rPr>
              <w:t>4</w:t>
            </w:r>
            <w:r w:rsidR="002A0EEC">
              <w:rPr>
                <w:noProof/>
                <w:webHidden/>
              </w:rPr>
              <w:fldChar w:fldCharType="end"/>
            </w:r>
          </w:hyperlink>
        </w:p>
        <w:p w14:paraId="1886FEF5" w14:textId="2A1C9453" w:rsidR="002A0EEC" w:rsidRDefault="00B75B73">
          <w:pPr>
            <w:pStyle w:val="TOC1"/>
            <w:tabs>
              <w:tab w:val="left" w:pos="440"/>
              <w:tab w:val="right" w:leader="dot" w:pos="9016"/>
            </w:tabs>
            <w:rPr>
              <w:rFonts w:eastAsiaTheme="minorEastAsia"/>
              <w:noProof/>
              <w:lang w:eastAsia="en-GB"/>
            </w:rPr>
          </w:pPr>
          <w:hyperlink w:anchor="_Toc95132842" w:history="1">
            <w:r w:rsidR="002A0EEC" w:rsidRPr="00EE5BA4">
              <w:rPr>
                <w:rStyle w:val="Hyperlink"/>
                <w:noProof/>
              </w:rPr>
              <w:t>4.</w:t>
            </w:r>
            <w:r w:rsidR="002A0EEC">
              <w:rPr>
                <w:rFonts w:eastAsiaTheme="minorEastAsia"/>
                <w:noProof/>
                <w:lang w:eastAsia="en-GB"/>
              </w:rPr>
              <w:tab/>
            </w:r>
            <w:r w:rsidR="002A0EEC" w:rsidRPr="00EE5BA4">
              <w:rPr>
                <w:rStyle w:val="Hyperlink"/>
                <w:noProof/>
              </w:rPr>
              <w:t>Costing and Pricing of Activities</w:t>
            </w:r>
            <w:r w:rsidR="002A0EEC">
              <w:rPr>
                <w:noProof/>
                <w:webHidden/>
              </w:rPr>
              <w:tab/>
            </w:r>
            <w:r w:rsidR="002A0EEC">
              <w:rPr>
                <w:noProof/>
                <w:webHidden/>
              </w:rPr>
              <w:fldChar w:fldCharType="begin"/>
            </w:r>
            <w:r w:rsidR="002A0EEC">
              <w:rPr>
                <w:noProof/>
                <w:webHidden/>
              </w:rPr>
              <w:instrText xml:space="preserve"> PAGEREF _Toc95132842 \h </w:instrText>
            </w:r>
            <w:r w:rsidR="002A0EEC">
              <w:rPr>
                <w:noProof/>
                <w:webHidden/>
              </w:rPr>
            </w:r>
            <w:r w:rsidR="002A0EEC">
              <w:rPr>
                <w:noProof/>
                <w:webHidden/>
              </w:rPr>
              <w:fldChar w:fldCharType="separate"/>
            </w:r>
            <w:r w:rsidR="002A0EEC">
              <w:rPr>
                <w:noProof/>
                <w:webHidden/>
              </w:rPr>
              <w:t>5</w:t>
            </w:r>
            <w:r w:rsidR="002A0EEC">
              <w:rPr>
                <w:noProof/>
                <w:webHidden/>
              </w:rPr>
              <w:fldChar w:fldCharType="end"/>
            </w:r>
          </w:hyperlink>
        </w:p>
        <w:p w14:paraId="0DEFBAF9" w14:textId="077E5944" w:rsidR="002A0EEC" w:rsidRDefault="00B75B73">
          <w:pPr>
            <w:pStyle w:val="TOC1"/>
            <w:tabs>
              <w:tab w:val="left" w:pos="440"/>
              <w:tab w:val="right" w:leader="dot" w:pos="9016"/>
            </w:tabs>
            <w:rPr>
              <w:rFonts w:eastAsiaTheme="minorEastAsia"/>
              <w:noProof/>
              <w:lang w:eastAsia="en-GB"/>
            </w:rPr>
          </w:pPr>
          <w:hyperlink w:anchor="_Toc95132843" w:history="1">
            <w:r w:rsidR="002A0EEC" w:rsidRPr="00EE5BA4">
              <w:rPr>
                <w:rStyle w:val="Hyperlink"/>
                <w:noProof/>
              </w:rPr>
              <w:t>5.</w:t>
            </w:r>
            <w:r w:rsidR="002A0EEC">
              <w:rPr>
                <w:rFonts w:eastAsiaTheme="minorEastAsia"/>
                <w:noProof/>
                <w:lang w:eastAsia="en-GB"/>
              </w:rPr>
              <w:tab/>
            </w:r>
            <w:r w:rsidR="002A0EEC" w:rsidRPr="00EE5BA4">
              <w:rPr>
                <w:rStyle w:val="Hyperlink"/>
                <w:noProof/>
              </w:rPr>
              <w:t>Division of Fees</w:t>
            </w:r>
            <w:r w:rsidR="002A0EEC">
              <w:rPr>
                <w:noProof/>
                <w:webHidden/>
              </w:rPr>
              <w:tab/>
            </w:r>
            <w:r w:rsidR="002A0EEC">
              <w:rPr>
                <w:noProof/>
                <w:webHidden/>
              </w:rPr>
              <w:fldChar w:fldCharType="begin"/>
            </w:r>
            <w:r w:rsidR="002A0EEC">
              <w:rPr>
                <w:noProof/>
                <w:webHidden/>
              </w:rPr>
              <w:instrText xml:space="preserve"> PAGEREF _Toc95132843 \h </w:instrText>
            </w:r>
            <w:r w:rsidR="002A0EEC">
              <w:rPr>
                <w:noProof/>
                <w:webHidden/>
              </w:rPr>
            </w:r>
            <w:r w:rsidR="002A0EEC">
              <w:rPr>
                <w:noProof/>
                <w:webHidden/>
              </w:rPr>
              <w:fldChar w:fldCharType="separate"/>
            </w:r>
            <w:r w:rsidR="002A0EEC">
              <w:rPr>
                <w:noProof/>
                <w:webHidden/>
              </w:rPr>
              <w:t>6</w:t>
            </w:r>
            <w:r w:rsidR="002A0EEC">
              <w:rPr>
                <w:noProof/>
                <w:webHidden/>
              </w:rPr>
              <w:fldChar w:fldCharType="end"/>
            </w:r>
          </w:hyperlink>
        </w:p>
        <w:p w14:paraId="40E49E40" w14:textId="38C1BD96" w:rsidR="002A0EEC" w:rsidRDefault="00B75B73">
          <w:pPr>
            <w:pStyle w:val="TOC1"/>
            <w:tabs>
              <w:tab w:val="left" w:pos="440"/>
              <w:tab w:val="right" w:leader="dot" w:pos="9016"/>
            </w:tabs>
            <w:rPr>
              <w:rFonts w:eastAsiaTheme="minorEastAsia"/>
              <w:noProof/>
              <w:lang w:eastAsia="en-GB"/>
            </w:rPr>
          </w:pPr>
          <w:hyperlink w:anchor="_Toc95132844" w:history="1">
            <w:r w:rsidR="002A0EEC" w:rsidRPr="00EE5BA4">
              <w:rPr>
                <w:rStyle w:val="Hyperlink"/>
                <w:noProof/>
              </w:rPr>
              <w:t>7.</w:t>
            </w:r>
            <w:r w:rsidR="002A0EEC">
              <w:rPr>
                <w:rFonts w:eastAsiaTheme="minorEastAsia"/>
                <w:noProof/>
                <w:lang w:eastAsia="en-GB"/>
              </w:rPr>
              <w:tab/>
            </w:r>
            <w:r w:rsidR="002A0EEC" w:rsidRPr="00EE5BA4">
              <w:rPr>
                <w:rStyle w:val="Hyperlink"/>
                <w:noProof/>
              </w:rPr>
              <w:t>Balancing Activities Out With WAM and University Role</w:t>
            </w:r>
            <w:r w:rsidR="002A0EEC">
              <w:rPr>
                <w:noProof/>
                <w:webHidden/>
              </w:rPr>
              <w:tab/>
            </w:r>
            <w:r w:rsidR="002A0EEC">
              <w:rPr>
                <w:noProof/>
                <w:webHidden/>
              </w:rPr>
              <w:fldChar w:fldCharType="begin"/>
            </w:r>
            <w:r w:rsidR="002A0EEC">
              <w:rPr>
                <w:noProof/>
                <w:webHidden/>
              </w:rPr>
              <w:instrText xml:space="preserve"> PAGEREF _Toc95132844 \h </w:instrText>
            </w:r>
            <w:r w:rsidR="002A0EEC">
              <w:rPr>
                <w:noProof/>
                <w:webHidden/>
              </w:rPr>
            </w:r>
            <w:r w:rsidR="002A0EEC">
              <w:rPr>
                <w:noProof/>
                <w:webHidden/>
              </w:rPr>
              <w:fldChar w:fldCharType="separate"/>
            </w:r>
            <w:r w:rsidR="002A0EEC">
              <w:rPr>
                <w:noProof/>
                <w:webHidden/>
              </w:rPr>
              <w:t>7</w:t>
            </w:r>
            <w:r w:rsidR="002A0EEC">
              <w:rPr>
                <w:noProof/>
                <w:webHidden/>
              </w:rPr>
              <w:fldChar w:fldCharType="end"/>
            </w:r>
          </w:hyperlink>
        </w:p>
        <w:p w14:paraId="1D97D525" w14:textId="3AFC9DEE" w:rsidR="002A0EEC" w:rsidRDefault="00B75B73">
          <w:pPr>
            <w:pStyle w:val="TOC1"/>
            <w:tabs>
              <w:tab w:val="left" w:pos="440"/>
              <w:tab w:val="right" w:leader="dot" w:pos="9016"/>
            </w:tabs>
            <w:rPr>
              <w:rFonts w:eastAsiaTheme="minorEastAsia"/>
              <w:noProof/>
              <w:lang w:eastAsia="en-GB"/>
            </w:rPr>
          </w:pPr>
          <w:hyperlink w:anchor="_Toc95132845" w:history="1">
            <w:r w:rsidR="002A0EEC" w:rsidRPr="00EE5BA4">
              <w:rPr>
                <w:rStyle w:val="Hyperlink"/>
                <w:noProof/>
                <w:lang w:eastAsia="en-GB"/>
              </w:rPr>
              <w:t>9.</w:t>
            </w:r>
            <w:r w:rsidR="002A0EEC">
              <w:rPr>
                <w:rFonts w:eastAsiaTheme="minorEastAsia"/>
                <w:noProof/>
                <w:lang w:eastAsia="en-GB"/>
              </w:rPr>
              <w:tab/>
            </w:r>
            <w:r w:rsidR="002A0EEC" w:rsidRPr="00EE5BA4">
              <w:rPr>
                <w:rStyle w:val="Hyperlink"/>
                <w:noProof/>
                <w:lang w:eastAsia="en-GB"/>
              </w:rPr>
              <w:t>Related Policies</w:t>
            </w:r>
            <w:r w:rsidR="002A0EEC">
              <w:rPr>
                <w:noProof/>
                <w:webHidden/>
              </w:rPr>
              <w:tab/>
            </w:r>
            <w:r w:rsidR="002A0EEC">
              <w:rPr>
                <w:noProof/>
                <w:webHidden/>
              </w:rPr>
              <w:fldChar w:fldCharType="begin"/>
            </w:r>
            <w:r w:rsidR="002A0EEC">
              <w:rPr>
                <w:noProof/>
                <w:webHidden/>
              </w:rPr>
              <w:instrText xml:space="preserve"> PAGEREF _Toc95132845 \h </w:instrText>
            </w:r>
            <w:r w:rsidR="002A0EEC">
              <w:rPr>
                <w:noProof/>
                <w:webHidden/>
              </w:rPr>
            </w:r>
            <w:r w:rsidR="002A0EEC">
              <w:rPr>
                <w:noProof/>
                <w:webHidden/>
              </w:rPr>
              <w:fldChar w:fldCharType="separate"/>
            </w:r>
            <w:r w:rsidR="002A0EEC">
              <w:rPr>
                <w:noProof/>
                <w:webHidden/>
              </w:rPr>
              <w:t>7</w:t>
            </w:r>
            <w:r w:rsidR="002A0EEC">
              <w:rPr>
                <w:noProof/>
                <w:webHidden/>
              </w:rPr>
              <w:fldChar w:fldCharType="end"/>
            </w:r>
          </w:hyperlink>
        </w:p>
        <w:p w14:paraId="64D8A263" w14:textId="7F5E2671" w:rsidR="002A0EEC" w:rsidRDefault="00B75B73">
          <w:pPr>
            <w:pStyle w:val="TOC1"/>
            <w:tabs>
              <w:tab w:val="right" w:leader="dot" w:pos="9016"/>
            </w:tabs>
            <w:rPr>
              <w:rFonts w:eastAsiaTheme="minorEastAsia"/>
              <w:noProof/>
              <w:lang w:eastAsia="en-GB"/>
            </w:rPr>
          </w:pPr>
          <w:hyperlink w:anchor="_Toc95132846" w:history="1">
            <w:r w:rsidR="002A0EEC" w:rsidRPr="00EE5BA4">
              <w:rPr>
                <w:rStyle w:val="Hyperlink"/>
                <w:noProof/>
                <w:lang w:eastAsia="en-GB"/>
              </w:rPr>
              <w:t>Appendix 1a – Process for Academic Staff</w:t>
            </w:r>
            <w:r w:rsidR="002A0EEC">
              <w:rPr>
                <w:noProof/>
                <w:webHidden/>
              </w:rPr>
              <w:tab/>
            </w:r>
            <w:r w:rsidR="002A0EEC">
              <w:rPr>
                <w:noProof/>
                <w:webHidden/>
              </w:rPr>
              <w:fldChar w:fldCharType="begin"/>
            </w:r>
            <w:r w:rsidR="002A0EEC">
              <w:rPr>
                <w:noProof/>
                <w:webHidden/>
              </w:rPr>
              <w:instrText xml:space="preserve"> PAGEREF _Toc95132846 \h </w:instrText>
            </w:r>
            <w:r w:rsidR="002A0EEC">
              <w:rPr>
                <w:noProof/>
                <w:webHidden/>
              </w:rPr>
            </w:r>
            <w:r w:rsidR="002A0EEC">
              <w:rPr>
                <w:noProof/>
                <w:webHidden/>
              </w:rPr>
              <w:fldChar w:fldCharType="separate"/>
            </w:r>
            <w:r w:rsidR="002A0EEC">
              <w:rPr>
                <w:noProof/>
                <w:webHidden/>
              </w:rPr>
              <w:t>8</w:t>
            </w:r>
            <w:r w:rsidR="002A0EEC">
              <w:rPr>
                <w:noProof/>
                <w:webHidden/>
              </w:rPr>
              <w:fldChar w:fldCharType="end"/>
            </w:r>
          </w:hyperlink>
        </w:p>
        <w:p w14:paraId="65DAA7C6" w14:textId="7CCA5441" w:rsidR="002A0EEC" w:rsidRDefault="00B75B73">
          <w:pPr>
            <w:pStyle w:val="TOC2"/>
            <w:tabs>
              <w:tab w:val="right" w:leader="dot" w:pos="9016"/>
            </w:tabs>
            <w:rPr>
              <w:rFonts w:eastAsiaTheme="minorEastAsia"/>
              <w:noProof/>
              <w:lang w:eastAsia="en-GB"/>
            </w:rPr>
          </w:pPr>
          <w:hyperlink w:anchor="_Toc95132847" w:history="1">
            <w:r w:rsidR="002A0EEC" w:rsidRPr="00EE5BA4">
              <w:rPr>
                <w:rStyle w:val="Hyperlink"/>
                <w:noProof/>
                <w:lang w:eastAsia="en-GB"/>
              </w:rPr>
              <w:t>Project Scoping</w:t>
            </w:r>
            <w:r w:rsidR="002A0EEC">
              <w:rPr>
                <w:noProof/>
                <w:webHidden/>
              </w:rPr>
              <w:tab/>
            </w:r>
            <w:r w:rsidR="002A0EEC">
              <w:rPr>
                <w:noProof/>
                <w:webHidden/>
              </w:rPr>
              <w:fldChar w:fldCharType="begin"/>
            </w:r>
            <w:r w:rsidR="002A0EEC">
              <w:rPr>
                <w:noProof/>
                <w:webHidden/>
              </w:rPr>
              <w:instrText xml:space="preserve"> PAGEREF _Toc95132847 \h </w:instrText>
            </w:r>
            <w:r w:rsidR="002A0EEC">
              <w:rPr>
                <w:noProof/>
                <w:webHidden/>
              </w:rPr>
            </w:r>
            <w:r w:rsidR="002A0EEC">
              <w:rPr>
                <w:noProof/>
                <w:webHidden/>
              </w:rPr>
              <w:fldChar w:fldCharType="separate"/>
            </w:r>
            <w:r w:rsidR="002A0EEC">
              <w:rPr>
                <w:noProof/>
                <w:webHidden/>
              </w:rPr>
              <w:t>9</w:t>
            </w:r>
            <w:r w:rsidR="002A0EEC">
              <w:rPr>
                <w:noProof/>
                <w:webHidden/>
              </w:rPr>
              <w:fldChar w:fldCharType="end"/>
            </w:r>
          </w:hyperlink>
        </w:p>
        <w:p w14:paraId="106341C8" w14:textId="3BCE5345" w:rsidR="002A0EEC" w:rsidRDefault="00B75B73">
          <w:pPr>
            <w:pStyle w:val="TOC2"/>
            <w:tabs>
              <w:tab w:val="right" w:leader="dot" w:pos="9016"/>
            </w:tabs>
            <w:rPr>
              <w:rFonts w:eastAsiaTheme="minorEastAsia"/>
              <w:noProof/>
              <w:lang w:eastAsia="en-GB"/>
            </w:rPr>
          </w:pPr>
          <w:hyperlink w:anchor="_Toc95132848" w:history="1">
            <w:r w:rsidR="002A0EEC" w:rsidRPr="00EE5BA4">
              <w:rPr>
                <w:rStyle w:val="Hyperlink"/>
                <w:noProof/>
              </w:rPr>
              <w:t>L</w:t>
            </w:r>
            <w:r w:rsidR="002A0EEC" w:rsidRPr="00EE5BA4">
              <w:rPr>
                <w:rStyle w:val="Hyperlink"/>
                <w:noProof/>
                <w:lang w:eastAsia="en-GB"/>
              </w:rPr>
              <w:t>ine Manager Discussion and Approval</w:t>
            </w:r>
            <w:r w:rsidR="002A0EEC">
              <w:rPr>
                <w:noProof/>
                <w:webHidden/>
              </w:rPr>
              <w:tab/>
            </w:r>
            <w:r w:rsidR="002A0EEC">
              <w:rPr>
                <w:noProof/>
                <w:webHidden/>
              </w:rPr>
              <w:fldChar w:fldCharType="begin"/>
            </w:r>
            <w:r w:rsidR="002A0EEC">
              <w:rPr>
                <w:noProof/>
                <w:webHidden/>
              </w:rPr>
              <w:instrText xml:space="preserve"> PAGEREF _Toc95132848 \h </w:instrText>
            </w:r>
            <w:r w:rsidR="002A0EEC">
              <w:rPr>
                <w:noProof/>
                <w:webHidden/>
              </w:rPr>
            </w:r>
            <w:r w:rsidR="002A0EEC">
              <w:rPr>
                <w:noProof/>
                <w:webHidden/>
              </w:rPr>
              <w:fldChar w:fldCharType="separate"/>
            </w:r>
            <w:r w:rsidR="002A0EEC">
              <w:rPr>
                <w:noProof/>
                <w:webHidden/>
              </w:rPr>
              <w:t>9</w:t>
            </w:r>
            <w:r w:rsidR="002A0EEC">
              <w:rPr>
                <w:noProof/>
                <w:webHidden/>
              </w:rPr>
              <w:fldChar w:fldCharType="end"/>
            </w:r>
          </w:hyperlink>
        </w:p>
        <w:p w14:paraId="4ADF49E2" w14:textId="0D375E03" w:rsidR="002A0EEC" w:rsidRDefault="00B75B73">
          <w:pPr>
            <w:pStyle w:val="TOC2"/>
            <w:tabs>
              <w:tab w:val="right" w:leader="dot" w:pos="9016"/>
            </w:tabs>
            <w:rPr>
              <w:rFonts w:eastAsiaTheme="minorEastAsia"/>
              <w:noProof/>
              <w:lang w:eastAsia="en-GB"/>
            </w:rPr>
          </w:pPr>
          <w:hyperlink w:anchor="_Toc95132849" w:history="1">
            <w:r w:rsidR="002A0EEC" w:rsidRPr="00EE5BA4">
              <w:rPr>
                <w:rStyle w:val="Hyperlink"/>
                <w:noProof/>
              </w:rPr>
              <w:t>Project Development</w:t>
            </w:r>
            <w:r w:rsidR="002A0EEC">
              <w:rPr>
                <w:noProof/>
                <w:webHidden/>
              </w:rPr>
              <w:tab/>
            </w:r>
            <w:r w:rsidR="002A0EEC">
              <w:rPr>
                <w:noProof/>
                <w:webHidden/>
              </w:rPr>
              <w:fldChar w:fldCharType="begin"/>
            </w:r>
            <w:r w:rsidR="002A0EEC">
              <w:rPr>
                <w:noProof/>
                <w:webHidden/>
              </w:rPr>
              <w:instrText xml:space="preserve"> PAGEREF _Toc95132849 \h </w:instrText>
            </w:r>
            <w:r w:rsidR="002A0EEC">
              <w:rPr>
                <w:noProof/>
                <w:webHidden/>
              </w:rPr>
            </w:r>
            <w:r w:rsidR="002A0EEC">
              <w:rPr>
                <w:noProof/>
                <w:webHidden/>
              </w:rPr>
              <w:fldChar w:fldCharType="separate"/>
            </w:r>
            <w:r w:rsidR="002A0EEC">
              <w:rPr>
                <w:noProof/>
                <w:webHidden/>
              </w:rPr>
              <w:t>9</w:t>
            </w:r>
            <w:r w:rsidR="002A0EEC">
              <w:rPr>
                <w:noProof/>
                <w:webHidden/>
              </w:rPr>
              <w:fldChar w:fldCharType="end"/>
            </w:r>
          </w:hyperlink>
        </w:p>
        <w:p w14:paraId="73222DBA" w14:textId="4486D255" w:rsidR="002A0EEC" w:rsidRDefault="00B75B73">
          <w:pPr>
            <w:pStyle w:val="TOC2"/>
            <w:tabs>
              <w:tab w:val="right" w:leader="dot" w:pos="9016"/>
            </w:tabs>
            <w:rPr>
              <w:rFonts w:eastAsiaTheme="minorEastAsia"/>
              <w:noProof/>
              <w:lang w:eastAsia="en-GB"/>
            </w:rPr>
          </w:pPr>
          <w:hyperlink w:anchor="_Toc95132850" w:history="1">
            <w:r w:rsidR="002A0EEC" w:rsidRPr="00EE5BA4">
              <w:rPr>
                <w:rStyle w:val="Hyperlink"/>
                <w:noProof/>
                <w:lang w:eastAsia="en-GB"/>
              </w:rPr>
              <w:t>Worktribe Approvals</w:t>
            </w:r>
            <w:r w:rsidR="002A0EEC">
              <w:rPr>
                <w:noProof/>
                <w:webHidden/>
              </w:rPr>
              <w:tab/>
            </w:r>
            <w:r w:rsidR="002A0EEC">
              <w:rPr>
                <w:noProof/>
                <w:webHidden/>
              </w:rPr>
              <w:fldChar w:fldCharType="begin"/>
            </w:r>
            <w:r w:rsidR="002A0EEC">
              <w:rPr>
                <w:noProof/>
                <w:webHidden/>
              </w:rPr>
              <w:instrText xml:space="preserve"> PAGEREF _Toc95132850 \h </w:instrText>
            </w:r>
            <w:r w:rsidR="002A0EEC">
              <w:rPr>
                <w:noProof/>
                <w:webHidden/>
              </w:rPr>
            </w:r>
            <w:r w:rsidR="002A0EEC">
              <w:rPr>
                <w:noProof/>
                <w:webHidden/>
              </w:rPr>
              <w:fldChar w:fldCharType="separate"/>
            </w:r>
            <w:r w:rsidR="002A0EEC">
              <w:rPr>
                <w:noProof/>
                <w:webHidden/>
              </w:rPr>
              <w:t>9</w:t>
            </w:r>
            <w:r w:rsidR="002A0EEC">
              <w:rPr>
                <w:noProof/>
                <w:webHidden/>
              </w:rPr>
              <w:fldChar w:fldCharType="end"/>
            </w:r>
          </w:hyperlink>
        </w:p>
        <w:p w14:paraId="0141357B" w14:textId="28A669DB" w:rsidR="002A0EEC" w:rsidRDefault="00B75B73">
          <w:pPr>
            <w:pStyle w:val="TOC2"/>
            <w:tabs>
              <w:tab w:val="right" w:leader="dot" w:pos="9016"/>
            </w:tabs>
            <w:rPr>
              <w:rFonts w:eastAsiaTheme="minorEastAsia"/>
              <w:noProof/>
              <w:lang w:eastAsia="en-GB"/>
            </w:rPr>
          </w:pPr>
          <w:hyperlink w:anchor="_Toc95132851" w:history="1">
            <w:r w:rsidR="002A0EEC" w:rsidRPr="00EE5BA4">
              <w:rPr>
                <w:rStyle w:val="Hyperlink"/>
                <w:noProof/>
                <w:lang w:eastAsia="en-GB"/>
              </w:rPr>
              <w:t>Client Accepts Quote</w:t>
            </w:r>
            <w:r w:rsidR="002A0EEC">
              <w:rPr>
                <w:noProof/>
                <w:webHidden/>
              </w:rPr>
              <w:tab/>
            </w:r>
            <w:r w:rsidR="002A0EEC">
              <w:rPr>
                <w:noProof/>
                <w:webHidden/>
              </w:rPr>
              <w:fldChar w:fldCharType="begin"/>
            </w:r>
            <w:r w:rsidR="002A0EEC">
              <w:rPr>
                <w:noProof/>
                <w:webHidden/>
              </w:rPr>
              <w:instrText xml:space="preserve"> PAGEREF _Toc95132851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3DAD5B5E" w14:textId="7AFB1E7E" w:rsidR="002A0EEC" w:rsidRDefault="00B75B73">
          <w:pPr>
            <w:pStyle w:val="TOC2"/>
            <w:tabs>
              <w:tab w:val="right" w:leader="dot" w:pos="9016"/>
            </w:tabs>
            <w:rPr>
              <w:rFonts w:eastAsiaTheme="minorEastAsia"/>
              <w:noProof/>
              <w:lang w:eastAsia="en-GB"/>
            </w:rPr>
          </w:pPr>
          <w:hyperlink w:anchor="_Toc95132852" w:history="1">
            <w:r w:rsidR="002A0EEC" w:rsidRPr="00EE5BA4">
              <w:rPr>
                <w:rStyle w:val="Hyperlink"/>
                <w:noProof/>
                <w:lang w:eastAsia="en-GB"/>
              </w:rPr>
              <w:t>Project Set-Up</w:t>
            </w:r>
            <w:r w:rsidR="002A0EEC">
              <w:rPr>
                <w:noProof/>
                <w:webHidden/>
              </w:rPr>
              <w:tab/>
            </w:r>
            <w:r w:rsidR="002A0EEC">
              <w:rPr>
                <w:noProof/>
                <w:webHidden/>
              </w:rPr>
              <w:fldChar w:fldCharType="begin"/>
            </w:r>
            <w:r w:rsidR="002A0EEC">
              <w:rPr>
                <w:noProof/>
                <w:webHidden/>
              </w:rPr>
              <w:instrText xml:space="preserve"> PAGEREF _Toc95132852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3E96FB05" w14:textId="222714FD" w:rsidR="002A0EEC" w:rsidRDefault="00B75B73">
          <w:pPr>
            <w:pStyle w:val="TOC2"/>
            <w:tabs>
              <w:tab w:val="right" w:leader="dot" w:pos="9016"/>
            </w:tabs>
            <w:rPr>
              <w:rFonts w:eastAsiaTheme="minorEastAsia"/>
              <w:noProof/>
              <w:lang w:eastAsia="en-GB"/>
            </w:rPr>
          </w:pPr>
          <w:hyperlink w:anchor="_Toc95132853" w:history="1">
            <w:r w:rsidR="002A0EEC" w:rsidRPr="00EE5BA4">
              <w:rPr>
                <w:rStyle w:val="Hyperlink"/>
                <w:noProof/>
                <w:lang w:eastAsia="en-GB"/>
              </w:rPr>
              <w:t>Project Delivery</w:t>
            </w:r>
            <w:r w:rsidR="002A0EEC">
              <w:rPr>
                <w:noProof/>
                <w:webHidden/>
              </w:rPr>
              <w:tab/>
            </w:r>
            <w:r w:rsidR="002A0EEC">
              <w:rPr>
                <w:noProof/>
                <w:webHidden/>
              </w:rPr>
              <w:fldChar w:fldCharType="begin"/>
            </w:r>
            <w:r w:rsidR="002A0EEC">
              <w:rPr>
                <w:noProof/>
                <w:webHidden/>
              </w:rPr>
              <w:instrText xml:space="preserve"> PAGEREF _Toc95132853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4128B3E7" w14:textId="40B72586" w:rsidR="002A0EEC" w:rsidRDefault="00B75B73">
          <w:pPr>
            <w:pStyle w:val="TOC2"/>
            <w:tabs>
              <w:tab w:val="right" w:leader="dot" w:pos="9016"/>
            </w:tabs>
            <w:rPr>
              <w:rFonts w:eastAsiaTheme="minorEastAsia"/>
              <w:noProof/>
              <w:lang w:eastAsia="en-GB"/>
            </w:rPr>
          </w:pPr>
          <w:hyperlink w:anchor="_Toc95132854" w:history="1">
            <w:r w:rsidR="002A0EEC" w:rsidRPr="00EE5BA4">
              <w:rPr>
                <w:rStyle w:val="Hyperlink"/>
                <w:noProof/>
                <w:lang w:eastAsia="en-GB"/>
              </w:rPr>
              <w:t>Project Completion</w:t>
            </w:r>
            <w:r w:rsidR="002A0EEC">
              <w:rPr>
                <w:noProof/>
                <w:webHidden/>
              </w:rPr>
              <w:tab/>
            </w:r>
            <w:r w:rsidR="002A0EEC">
              <w:rPr>
                <w:noProof/>
                <w:webHidden/>
              </w:rPr>
              <w:fldChar w:fldCharType="begin"/>
            </w:r>
            <w:r w:rsidR="002A0EEC">
              <w:rPr>
                <w:noProof/>
                <w:webHidden/>
              </w:rPr>
              <w:instrText xml:space="preserve"> PAGEREF _Toc95132854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518A6A87" w14:textId="55CC2A04" w:rsidR="002A0EEC" w:rsidRDefault="00B75B73">
          <w:pPr>
            <w:pStyle w:val="TOC2"/>
            <w:tabs>
              <w:tab w:val="right" w:leader="dot" w:pos="9016"/>
            </w:tabs>
            <w:rPr>
              <w:rFonts w:eastAsiaTheme="minorEastAsia"/>
              <w:noProof/>
              <w:lang w:eastAsia="en-GB"/>
            </w:rPr>
          </w:pPr>
          <w:hyperlink w:anchor="_Toc95132855" w:history="1">
            <w:r w:rsidR="002A0EEC" w:rsidRPr="00EE5BA4">
              <w:rPr>
                <w:rStyle w:val="Hyperlink"/>
                <w:noProof/>
                <w:lang w:eastAsia="en-GB"/>
              </w:rPr>
              <w:t>Additional Payment Claim</w:t>
            </w:r>
            <w:r w:rsidR="002A0EEC">
              <w:rPr>
                <w:noProof/>
                <w:webHidden/>
              </w:rPr>
              <w:tab/>
            </w:r>
            <w:r w:rsidR="002A0EEC">
              <w:rPr>
                <w:noProof/>
                <w:webHidden/>
              </w:rPr>
              <w:fldChar w:fldCharType="begin"/>
            </w:r>
            <w:r w:rsidR="002A0EEC">
              <w:rPr>
                <w:noProof/>
                <w:webHidden/>
              </w:rPr>
              <w:instrText xml:space="preserve"> PAGEREF _Toc95132855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46258D11" w14:textId="2CAF2CAB" w:rsidR="002A0EEC" w:rsidRDefault="00B75B73">
          <w:pPr>
            <w:pStyle w:val="TOC1"/>
            <w:tabs>
              <w:tab w:val="right" w:leader="dot" w:pos="9016"/>
            </w:tabs>
            <w:rPr>
              <w:rFonts w:eastAsiaTheme="minorEastAsia"/>
              <w:noProof/>
              <w:lang w:eastAsia="en-GB"/>
            </w:rPr>
          </w:pPr>
          <w:hyperlink w:anchor="_Toc95132856" w:history="1">
            <w:r w:rsidR="002A0EEC" w:rsidRPr="00EE5BA4">
              <w:rPr>
                <w:rStyle w:val="Hyperlink"/>
                <w:noProof/>
              </w:rPr>
              <w:t>Appendix 1b – Process for Professional Services</w:t>
            </w:r>
            <w:r w:rsidR="002A0EEC">
              <w:rPr>
                <w:noProof/>
                <w:webHidden/>
              </w:rPr>
              <w:tab/>
            </w:r>
            <w:r w:rsidR="002A0EEC">
              <w:rPr>
                <w:noProof/>
                <w:webHidden/>
              </w:rPr>
              <w:fldChar w:fldCharType="begin"/>
            </w:r>
            <w:r w:rsidR="002A0EEC">
              <w:rPr>
                <w:noProof/>
                <w:webHidden/>
              </w:rPr>
              <w:instrText xml:space="preserve"> PAGEREF _Toc95132856 \h </w:instrText>
            </w:r>
            <w:r w:rsidR="002A0EEC">
              <w:rPr>
                <w:noProof/>
                <w:webHidden/>
              </w:rPr>
            </w:r>
            <w:r w:rsidR="002A0EEC">
              <w:rPr>
                <w:noProof/>
                <w:webHidden/>
              </w:rPr>
              <w:fldChar w:fldCharType="separate"/>
            </w:r>
            <w:r w:rsidR="002A0EEC">
              <w:rPr>
                <w:noProof/>
                <w:webHidden/>
              </w:rPr>
              <w:t>10</w:t>
            </w:r>
            <w:r w:rsidR="002A0EEC">
              <w:rPr>
                <w:noProof/>
                <w:webHidden/>
              </w:rPr>
              <w:fldChar w:fldCharType="end"/>
            </w:r>
          </w:hyperlink>
        </w:p>
        <w:p w14:paraId="29A19EB7" w14:textId="33EFFB40" w:rsidR="002A0EEC" w:rsidRDefault="00B75B73">
          <w:pPr>
            <w:pStyle w:val="TOC1"/>
            <w:tabs>
              <w:tab w:val="right" w:leader="dot" w:pos="9016"/>
            </w:tabs>
            <w:rPr>
              <w:rFonts w:eastAsiaTheme="minorEastAsia"/>
              <w:noProof/>
              <w:lang w:eastAsia="en-GB"/>
            </w:rPr>
          </w:pPr>
          <w:hyperlink w:anchor="_Toc95132857" w:history="1">
            <w:r w:rsidR="002A0EEC" w:rsidRPr="00EE5BA4">
              <w:rPr>
                <w:rStyle w:val="Hyperlink"/>
                <w:noProof/>
                <w:lang w:eastAsia="en-GB"/>
              </w:rPr>
              <w:t>Appendix 2 – Activities Out With Scope of Framework</w:t>
            </w:r>
            <w:r w:rsidR="002A0EEC">
              <w:rPr>
                <w:noProof/>
                <w:webHidden/>
              </w:rPr>
              <w:tab/>
            </w:r>
            <w:r w:rsidR="002A0EEC">
              <w:rPr>
                <w:noProof/>
                <w:webHidden/>
              </w:rPr>
              <w:fldChar w:fldCharType="begin"/>
            </w:r>
            <w:r w:rsidR="002A0EEC">
              <w:rPr>
                <w:noProof/>
                <w:webHidden/>
              </w:rPr>
              <w:instrText xml:space="preserve"> PAGEREF _Toc95132857 \h </w:instrText>
            </w:r>
            <w:r w:rsidR="002A0EEC">
              <w:rPr>
                <w:noProof/>
                <w:webHidden/>
              </w:rPr>
            </w:r>
            <w:r w:rsidR="002A0EEC">
              <w:rPr>
                <w:noProof/>
                <w:webHidden/>
              </w:rPr>
              <w:fldChar w:fldCharType="separate"/>
            </w:r>
            <w:r w:rsidR="002A0EEC">
              <w:rPr>
                <w:noProof/>
                <w:webHidden/>
              </w:rPr>
              <w:t>11</w:t>
            </w:r>
            <w:r w:rsidR="002A0EEC">
              <w:rPr>
                <w:noProof/>
                <w:webHidden/>
              </w:rPr>
              <w:fldChar w:fldCharType="end"/>
            </w:r>
          </w:hyperlink>
        </w:p>
        <w:p w14:paraId="3852AEA5" w14:textId="428CBFA6" w:rsidR="002A0EEC" w:rsidRDefault="00B75B73">
          <w:pPr>
            <w:pStyle w:val="TOC1"/>
            <w:tabs>
              <w:tab w:val="right" w:leader="dot" w:pos="9016"/>
            </w:tabs>
            <w:rPr>
              <w:rFonts w:eastAsiaTheme="minorEastAsia"/>
              <w:noProof/>
              <w:lang w:eastAsia="en-GB"/>
            </w:rPr>
          </w:pPr>
          <w:hyperlink w:anchor="_Toc95132858" w:history="1">
            <w:r w:rsidR="002A0EEC" w:rsidRPr="00EE5BA4">
              <w:rPr>
                <w:rStyle w:val="Hyperlink"/>
                <w:noProof/>
                <w:lang w:eastAsia="en-GB"/>
              </w:rPr>
              <w:t>Appendix 3 – Indicative Day Rates</w:t>
            </w:r>
            <w:r w:rsidR="002A0EEC">
              <w:rPr>
                <w:noProof/>
                <w:webHidden/>
              </w:rPr>
              <w:tab/>
            </w:r>
            <w:r w:rsidR="002A0EEC">
              <w:rPr>
                <w:noProof/>
                <w:webHidden/>
              </w:rPr>
              <w:fldChar w:fldCharType="begin"/>
            </w:r>
            <w:r w:rsidR="002A0EEC">
              <w:rPr>
                <w:noProof/>
                <w:webHidden/>
              </w:rPr>
              <w:instrText xml:space="preserve"> PAGEREF _Toc95132858 \h </w:instrText>
            </w:r>
            <w:r w:rsidR="002A0EEC">
              <w:rPr>
                <w:noProof/>
                <w:webHidden/>
              </w:rPr>
            </w:r>
            <w:r w:rsidR="002A0EEC">
              <w:rPr>
                <w:noProof/>
                <w:webHidden/>
              </w:rPr>
              <w:fldChar w:fldCharType="separate"/>
            </w:r>
            <w:r w:rsidR="002A0EEC">
              <w:rPr>
                <w:noProof/>
                <w:webHidden/>
              </w:rPr>
              <w:t>12</w:t>
            </w:r>
            <w:r w:rsidR="002A0EEC">
              <w:rPr>
                <w:noProof/>
                <w:webHidden/>
              </w:rPr>
              <w:fldChar w:fldCharType="end"/>
            </w:r>
          </w:hyperlink>
        </w:p>
        <w:p w14:paraId="5702B373" w14:textId="4CE902DE" w:rsidR="002A0EEC" w:rsidRDefault="00B75B73">
          <w:pPr>
            <w:pStyle w:val="TOC1"/>
            <w:tabs>
              <w:tab w:val="right" w:leader="dot" w:pos="9016"/>
            </w:tabs>
            <w:rPr>
              <w:rFonts w:eastAsiaTheme="minorEastAsia"/>
              <w:noProof/>
              <w:lang w:eastAsia="en-GB"/>
            </w:rPr>
          </w:pPr>
          <w:hyperlink w:anchor="_Toc95132859" w:history="1">
            <w:r w:rsidR="002A0EEC" w:rsidRPr="00EE5BA4">
              <w:rPr>
                <w:rStyle w:val="Hyperlink"/>
                <w:noProof/>
              </w:rPr>
              <w:t>Appendix 4 – Consultancy and Commercial Activity Email Approval from Line Manager</w:t>
            </w:r>
            <w:r w:rsidR="002A0EEC">
              <w:rPr>
                <w:noProof/>
                <w:webHidden/>
              </w:rPr>
              <w:tab/>
            </w:r>
            <w:r w:rsidR="002A0EEC">
              <w:rPr>
                <w:noProof/>
                <w:webHidden/>
              </w:rPr>
              <w:fldChar w:fldCharType="begin"/>
            </w:r>
            <w:r w:rsidR="002A0EEC">
              <w:rPr>
                <w:noProof/>
                <w:webHidden/>
              </w:rPr>
              <w:instrText xml:space="preserve"> PAGEREF _Toc95132859 \h </w:instrText>
            </w:r>
            <w:r w:rsidR="002A0EEC">
              <w:rPr>
                <w:noProof/>
                <w:webHidden/>
              </w:rPr>
            </w:r>
            <w:r w:rsidR="002A0EEC">
              <w:rPr>
                <w:noProof/>
                <w:webHidden/>
              </w:rPr>
              <w:fldChar w:fldCharType="separate"/>
            </w:r>
            <w:r w:rsidR="002A0EEC">
              <w:rPr>
                <w:noProof/>
                <w:webHidden/>
              </w:rPr>
              <w:t>1</w:t>
            </w:r>
            <w:r w:rsidR="004C45D9">
              <w:rPr>
                <w:noProof/>
                <w:webHidden/>
              </w:rPr>
              <w:t>2</w:t>
            </w:r>
            <w:r w:rsidR="002A0EEC">
              <w:rPr>
                <w:noProof/>
                <w:webHidden/>
              </w:rPr>
              <w:fldChar w:fldCharType="end"/>
            </w:r>
          </w:hyperlink>
        </w:p>
        <w:p w14:paraId="6423CC64" w14:textId="7CD89884" w:rsidR="00A558EE" w:rsidRDefault="00A558EE">
          <w:r>
            <w:rPr>
              <w:b/>
              <w:bCs/>
              <w:noProof/>
            </w:rPr>
            <w:fldChar w:fldCharType="end"/>
          </w:r>
        </w:p>
      </w:sdtContent>
    </w:sdt>
    <w:p w14:paraId="3CD66152" w14:textId="77777777" w:rsidR="002E0076" w:rsidRDefault="002E0076">
      <w:pPr>
        <w:rPr>
          <w:rFonts w:ascii="Interstate Regular" w:eastAsiaTheme="majorEastAsia" w:hAnsi="Interstate Regular" w:cstheme="majorBidi"/>
          <w:color w:val="E5233F"/>
          <w:sz w:val="32"/>
          <w:szCs w:val="32"/>
        </w:rPr>
      </w:pPr>
      <w:r>
        <w:br w:type="page"/>
      </w:r>
    </w:p>
    <w:p w14:paraId="1B132996" w14:textId="62AA5D9E" w:rsidR="00DE7972" w:rsidRDefault="00F54E58" w:rsidP="00E11EBC">
      <w:pPr>
        <w:pStyle w:val="NapierHeaders"/>
        <w:numPr>
          <w:ilvl w:val="0"/>
          <w:numId w:val="19"/>
        </w:numPr>
        <w:spacing w:before="0" w:line="240" w:lineRule="auto"/>
      </w:pPr>
      <w:bookmarkStart w:id="0" w:name="_Toc95132839"/>
      <w:r>
        <w:lastRenderedPageBreak/>
        <w:t>Introduction</w:t>
      </w:r>
      <w:bookmarkEnd w:id="0"/>
    </w:p>
    <w:p w14:paraId="7F86038D" w14:textId="7801DD86" w:rsidR="00801669" w:rsidRPr="00801669" w:rsidRDefault="00801669" w:rsidP="00E11EBC">
      <w:pPr>
        <w:spacing w:after="0" w:line="240" w:lineRule="auto"/>
        <w:rPr>
          <w:b/>
          <w:sz w:val="24"/>
          <w:szCs w:val="24"/>
          <w:u w:val="single"/>
        </w:rPr>
      </w:pPr>
    </w:p>
    <w:p w14:paraId="0E5E72DB" w14:textId="7FA154DA" w:rsidR="00875C93" w:rsidRDefault="00B30F64" w:rsidP="00E11EBC">
      <w:pPr>
        <w:spacing w:after="0" w:line="240" w:lineRule="auto"/>
        <w:jc w:val="both"/>
        <w:rPr>
          <w:rFonts w:ascii="Titillium" w:hAnsi="Titillium"/>
        </w:rPr>
      </w:pPr>
      <w:r w:rsidRPr="00D1182A">
        <w:rPr>
          <w:rFonts w:ascii="Interstate Light" w:hAnsi="Interstate Light" w:cstheme="minorHAnsi"/>
          <w:noProof/>
          <w:sz w:val="24"/>
          <w:szCs w:val="24"/>
          <w:lang w:eastAsia="en-GB"/>
        </w:rPr>
        <w:drawing>
          <wp:anchor distT="0" distB="0" distL="114300" distR="114300" simplePos="0" relativeHeight="251667456" behindDoc="1" locked="0" layoutInCell="1" allowOverlap="1" wp14:anchorId="4533458C" wp14:editId="3D225A28">
            <wp:simplePos x="0" y="0"/>
            <wp:positionH relativeFrom="margin">
              <wp:align>left</wp:align>
            </wp:positionH>
            <wp:positionV relativeFrom="paragraph">
              <wp:posOffset>35072</wp:posOffset>
            </wp:positionV>
            <wp:extent cx="594995" cy="594995"/>
            <wp:effectExtent l="0" t="0" r="0" b="0"/>
            <wp:wrapTight wrapText="bothSides">
              <wp:wrapPolygon edited="0">
                <wp:start x="0" y="0"/>
                <wp:lineTo x="0" y="20747"/>
                <wp:lineTo x="17981" y="20747"/>
                <wp:lineTo x="20747" y="17289"/>
                <wp:lineTo x="20747" y="0"/>
                <wp:lineTo x="0" y="0"/>
              </wp:wrapPolygon>
            </wp:wrapTight>
            <wp:docPr id="3" name="Picture 3" descr="C:\Users\40013672\AppData\Local\Temp\Temp1_ENU Icons PNG.zip\PNG\General ICONS\ENU Icons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3672\AppData\Local\Temp\Temp1_ENU Icons PNG.zip\PNG\General ICONS\ENU Icons_02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E58">
        <w:rPr>
          <w:rFonts w:ascii="Titillium" w:hAnsi="Titillium"/>
        </w:rPr>
        <w:t>Th</w:t>
      </w:r>
      <w:r w:rsidR="00E11EBC">
        <w:rPr>
          <w:rFonts w:ascii="Titillium" w:hAnsi="Titillium"/>
        </w:rPr>
        <w:t>e new Consultancy and Commercial Activity</w:t>
      </w:r>
      <w:r w:rsidR="00F54E58">
        <w:rPr>
          <w:rFonts w:ascii="Titillium" w:hAnsi="Titillium"/>
        </w:rPr>
        <w:t xml:space="preserve"> Framework has been developed to encourage and incentivise staff to undertake consultancy</w:t>
      </w:r>
      <w:r w:rsidR="003F7023">
        <w:rPr>
          <w:rFonts w:ascii="Titillium" w:hAnsi="Titillium"/>
        </w:rPr>
        <w:t xml:space="preserve"> and</w:t>
      </w:r>
      <w:r w:rsidR="00F54E58" w:rsidRPr="00B4208A">
        <w:rPr>
          <w:rFonts w:ascii="Titillium" w:hAnsi="Titillium"/>
        </w:rPr>
        <w:t xml:space="preserve"> </w:t>
      </w:r>
      <w:r w:rsidR="00F54E58">
        <w:rPr>
          <w:rFonts w:ascii="Titillium" w:hAnsi="Titillium"/>
        </w:rPr>
        <w:t xml:space="preserve">non-credit bearing </w:t>
      </w:r>
      <w:r w:rsidR="00E11EBC">
        <w:rPr>
          <w:rFonts w:ascii="Titillium" w:hAnsi="Titillium"/>
        </w:rPr>
        <w:t xml:space="preserve">bespoke </w:t>
      </w:r>
      <w:r w:rsidR="00F54E58">
        <w:rPr>
          <w:rFonts w:ascii="Titillium" w:hAnsi="Titillium"/>
        </w:rPr>
        <w:t xml:space="preserve">CPD activities in support of knowledge exchange and external collaboration. </w:t>
      </w:r>
      <w:r w:rsidR="0099572D">
        <w:rPr>
          <w:rFonts w:ascii="Titillium" w:hAnsi="Titillium"/>
        </w:rPr>
        <w:t xml:space="preserve">Undertaking projects with all organisations is encouraged including those from the private, public and third (voluntary, charity, social enterprise) sectors. </w:t>
      </w:r>
      <w:r w:rsidR="00F54E58">
        <w:rPr>
          <w:rFonts w:ascii="Titillium" w:hAnsi="Titillium"/>
        </w:rPr>
        <w:t>These activities have career and reputation</w:t>
      </w:r>
      <w:r w:rsidR="002E0076">
        <w:rPr>
          <w:rFonts w:ascii="Titillium" w:hAnsi="Titillium"/>
        </w:rPr>
        <w:t>al benefits for the staff member</w:t>
      </w:r>
      <w:r w:rsidR="00AA6746">
        <w:rPr>
          <w:rFonts w:ascii="Titillium" w:hAnsi="Titillium"/>
        </w:rPr>
        <w:t xml:space="preserve"> as well as </w:t>
      </w:r>
      <w:r w:rsidR="00F54E58">
        <w:rPr>
          <w:rFonts w:ascii="Titillium" w:hAnsi="Titillium"/>
        </w:rPr>
        <w:t>support the delivery of the University’s strategic objectives</w:t>
      </w:r>
      <w:r w:rsidR="0099572D">
        <w:rPr>
          <w:rFonts w:ascii="Titillium" w:hAnsi="Titillium"/>
        </w:rPr>
        <w:t>, including:</w:t>
      </w:r>
      <w:r w:rsidR="00875C93">
        <w:rPr>
          <w:rFonts w:ascii="Titillium" w:hAnsi="Titillium"/>
        </w:rPr>
        <w:t xml:space="preserve"> </w:t>
      </w:r>
    </w:p>
    <w:p w14:paraId="501C561C" w14:textId="2EF2065A" w:rsidR="00875C93" w:rsidRDefault="00875C93" w:rsidP="00E11EBC">
      <w:pPr>
        <w:spacing w:after="0" w:line="240" w:lineRule="auto"/>
        <w:jc w:val="both"/>
        <w:rPr>
          <w:rFonts w:ascii="Titillium" w:hAnsi="Titillium"/>
        </w:rPr>
      </w:pPr>
      <w:r>
        <w:rPr>
          <w:noProof/>
          <w:lang w:eastAsia="en-GB"/>
        </w:rPr>
        <w:drawing>
          <wp:anchor distT="0" distB="0" distL="114300" distR="114300" simplePos="0" relativeHeight="251687936" behindDoc="1" locked="0" layoutInCell="1" allowOverlap="1" wp14:anchorId="15EA7B06" wp14:editId="20948EB5">
            <wp:simplePos x="0" y="0"/>
            <wp:positionH relativeFrom="margin">
              <wp:posOffset>0</wp:posOffset>
            </wp:positionH>
            <wp:positionV relativeFrom="paragraph">
              <wp:posOffset>190500</wp:posOffset>
            </wp:positionV>
            <wp:extent cx="5731510" cy="1821815"/>
            <wp:effectExtent l="0" t="0" r="2540" b="6985"/>
            <wp:wrapTight wrapText="bothSides">
              <wp:wrapPolygon edited="0">
                <wp:start x="0" y="0"/>
                <wp:lineTo x="0" y="21457"/>
                <wp:lineTo x="21538" y="21457"/>
                <wp:lineTo x="21538"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1821815"/>
                    </a:xfrm>
                    <a:prstGeom prst="rect">
                      <a:avLst/>
                    </a:prstGeom>
                  </pic:spPr>
                </pic:pic>
              </a:graphicData>
            </a:graphic>
            <wp14:sizeRelH relativeFrom="page">
              <wp14:pctWidth>0</wp14:pctWidth>
            </wp14:sizeRelH>
            <wp14:sizeRelV relativeFrom="page">
              <wp14:pctHeight>0</wp14:pctHeight>
            </wp14:sizeRelV>
          </wp:anchor>
        </w:drawing>
      </w:r>
    </w:p>
    <w:p w14:paraId="79BF8CAB" w14:textId="6EF8FC79" w:rsidR="00F54E58" w:rsidRDefault="00F54E58" w:rsidP="00E11EBC">
      <w:pPr>
        <w:spacing w:after="0" w:line="240" w:lineRule="auto"/>
        <w:jc w:val="both"/>
        <w:rPr>
          <w:rFonts w:ascii="Titillium" w:hAnsi="Titillium"/>
        </w:rPr>
      </w:pPr>
      <w:r>
        <w:rPr>
          <w:rFonts w:ascii="Titillium" w:hAnsi="Titillium"/>
        </w:rPr>
        <w:t>This</w:t>
      </w:r>
      <w:r w:rsidR="00E11EBC">
        <w:rPr>
          <w:rFonts w:ascii="Titillium" w:hAnsi="Titillium"/>
        </w:rPr>
        <w:t xml:space="preserve"> guidance </w:t>
      </w:r>
      <w:r>
        <w:rPr>
          <w:rFonts w:ascii="Titillium" w:hAnsi="Titillium"/>
        </w:rPr>
        <w:t>document</w:t>
      </w:r>
      <w:r w:rsidR="00E11EBC">
        <w:rPr>
          <w:rFonts w:ascii="Titillium" w:hAnsi="Titillium"/>
        </w:rPr>
        <w:t xml:space="preserve"> </w:t>
      </w:r>
      <w:r w:rsidR="00B601D9">
        <w:rPr>
          <w:rFonts w:ascii="Titillium" w:hAnsi="Titillium"/>
        </w:rPr>
        <w:t xml:space="preserve">must be </w:t>
      </w:r>
      <w:r w:rsidR="00E11EBC">
        <w:rPr>
          <w:rFonts w:ascii="Titillium" w:hAnsi="Titillium"/>
        </w:rPr>
        <w:t>read alongside the Framework and provides more</w:t>
      </w:r>
      <w:r>
        <w:rPr>
          <w:rFonts w:ascii="Titillium" w:hAnsi="Titillium"/>
        </w:rPr>
        <w:t xml:space="preserve"> </w:t>
      </w:r>
      <w:r w:rsidR="00E11EBC">
        <w:rPr>
          <w:rFonts w:ascii="Titillium" w:hAnsi="Titillium"/>
        </w:rPr>
        <w:t>details and information in relation to th</w:t>
      </w:r>
      <w:r w:rsidR="00831B2B">
        <w:rPr>
          <w:rFonts w:ascii="Titillium" w:hAnsi="Titillium"/>
        </w:rPr>
        <w:t>e</w:t>
      </w:r>
      <w:r>
        <w:rPr>
          <w:rFonts w:ascii="Titillium" w:hAnsi="Titillium"/>
        </w:rPr>
        <w:t xml:space="preserve"> governance and processes for the management of activities</w:t>
      </w:r>
      <w:r w:rsidR="00831B2B">
        <w:rPr>
          <w:rFonts w:ascii="Titillium" w:hAnsi="Titillium"/>
        </w:rPr>
        <w:t>.</w:t>
      </w:r>
      <w:r>
        <w:rPr>
          <w:rFonts w:ascii="Titillium" w:hAnsi="Titillium"/>
        </w:rPr>
        <w:t xml:space="preserve"> </w:t>
      </w:r>
      <w:r w:rsidR="00831B2B">
        <w:rPr>
          <w:rFonts w:ascii="Titillium" w:hAnsi="Titillium"/>
        </w:rPr>
        <w:t xml:space="preserve">It </w:t>
      </w:r>
      <w:r>
        <w:rPr>
          <w:rFonts w:ascii="Titillium" w:hAnsi="Titillium"/>
        </w:rPr>
        <w:t xml:space="preserve">seeks to </w:t>
      </w:r>
      <w:r w:rsidR="00831B2B">
        <w:rPr>
          <w:rFonts w:ascii="Titillium" w:hAnsi="Titillium"/>
        </w:rPr>
        <w:t>further outline</w:t>
      </w:r>
      <w:r>
        <w:rPr>
          <w:rFonts w:ascii="Titillium" w:hAnsi="Titillium"/>
        </w:rPr>
        <w:t xml:space="preserve"> the benefits, whilst minimising risks and protecting the interests of both the University and staff.  </w:t>
      </w:r>
      <w:r w:rsidR="00831B2B">
        <w:rPr>
          <w:rFonts w:ascii="Titillium" w:hAnsi="Titillium"/>
        </w:rPr>
        <w:t xml:space="preserve">A full </w:t>
      </w:r>
      <w:r>
        <w:rPr>
          <w:rFonts w:ascii="Titillium" w:hAnsi="Titillium"/>
        </w:rPr>
        <w:t xml:space="preserve">process </w:t>
      </w:r>
      <w:r w:rsidR="00831B2B">
        <w:rPr>
          <w:rFonts w:ascii="Titillium" w:hAnsi="Titillium"/>
        </w:rPr>
        <w:t xml:space="preserve">flow in relation to how </w:t>
      </w:r>
      <w:r w:rsidR="00541741">
        <w:rPr>
          <w:rFonts w:ascii="Titillium" w:hAnsi="Titillium"/>
        </w:rPr>
        <w:t>Research, Innovation and Enterprise (</w:t>
      </w:r>
      <w:r w:rsidR="00831B2B">
        <w:rPr>
          <w:rFonts w:ascii="Titillium" w:hAnsi="Titillium"/>
        </w:rPr>
        <w:t>RIE</w:t>
      </w:r>
      <w:r w:rsidR="00541741">
        <w:rPr>
          <w:rFonts w:ascii="Titillium" w:hAnsi="Titillium"/>
        </w:rPr>
        <w:t>)</w:t>
      </w:r>
      <w:r w:rsidR="00831B2B">
        <w:rPr>
          <w:rFonts w:ascii="Titillium" w:hAnsi="Titillium"/>
        </w:rPr>
        <w:t xml:space="preserve"> will </w:t>
      </w:r>
      <w:r w:rsidR="00541741">
        <w:rPr>
          <w:rFonts w:ascii="Titillium" w:hAnsi="Titillium"/>
        </w:rPr>
        <w:t xml:space="preserve">support </w:t>
      </w:r>
      <w:r w:rsidR="00831B2B">
        <w:rPr>
          <w:rFonts w:ascii="Titillium" w:hAnsi="Titillium"/>
        </w:rPr>
        <w:t xml:space="preserve">colleagues to </w:t>
      </w:r>
      <w:r w:rsidR="00541741">
        <w:rPr>
          <w:rFonts w:ascii="Titillium" w:hAnsi="Titillium"/>
        </w:rPr>
        <w:t xml:space="preserve">enable </w:t>
      </w:r>
      <w:r w:rsidR="00831B2B">
        <w:rPr>
          <w:rFonts w:ascii="Titillium" w:hAnsi="Titillium"/>
        </w:rPr>
        <w:t xml:space="preserve">these activities </w:t>
      </w:r>
      <w:r>
        <w:rPr>
          <w:rFonts w:ascii="Titillium" w:hAnsi="Titillium"/>
        </w:rPr>
        <w:t>can be found in Appendix 1</w:t>
      </w:r>
      <w:r w:rsidR="00831B2B">
        <w:rPr>
          <w:rFonts w:ascii="Titillium" w:hAnsi="Titillium"/>
        </w:rPr>
        <w:t xml:space="preserve">. </w:t>
      </w:r>
    </w:p>
    <w:p w14:paraId="083E3237" w14:textId="55192EF0" w:rsidR="002E0076" w:rsidRDefault="002E0076" w:rsidP="00E11EBC">
      <w:pPr>
        <w:spacing w:after="0" w:line="240" w:lineRule="auto"/>
        <w:jc w:val="both"/>
        <w:rPr>
          <w:rFonts w:ascii="Titillium" w:hAnsi="Titillium"/>
        </w:rPr>
      </w:pPr>
    </w:p>
    <w:p w14:paraId="422A878D" w14:textId="6B41261B" w:rsidR="002E0076" w:rsidRDefault="002E0076" w:rsidP="00E11EBC">
      <w:pPr>
        <w:spacing w:after="0" w:line="240" w:lineRule="auto"/>
        <w:jc w:val="both"/>
        <w:rPr>
          <w:rFonts w:ascii="Titillium" w:hAnsi="Titillium"/>
        </w:rPr>
      </w:pPr>
      <w:r>
        <w:rPr>
          <w:rFonts w:ascii="Titillium" w:hAnsi="Titillium"/>
        </w:rPr>
        <w:t>Application of this Framework offers substantial benefits to staff members who are supported with accurate costing, pricing, contractual negotiation and insurance. The University will also take on the risk of securing payment from clients</w:t>
      </w:r>
      <w:r w:rsidR="00844EC7">
        <w:rPr>
          <w:rFonts w:ascii="Titillium" w:hAnsi="Titillium"/>
        </w:rPr>
        <w:t>. Thus</w:t>
      </w:r>
      <w:r w:rsidR="003F7023">
        <w:rPr>
          <w:rFonts w:ascii="Titillium" w:hAnsi="Titillium"/>
        </w:rPr>
        <w:t>,</w:t>
      </w:r>
      <w:r w:rsidR="00844EC7">
        <w:rPr>
          <w:rFonts w:ascii="Titillium" w:hAnsi="Titillium"/>
        </w:rPr>
        <w:t xml:space="preserve"> </w:t>
      </w:r>
      <w:r w:rsidR="00D74DF9">
        <w:rPr>
          <w:rFonts w:ascii="Titillium" w:hAnsi="Titillium"/>
        </w:rPr>
        <w:t xml:space="preserve">if a client is </w:t>
      </w:r>
      <w:r w:rsidR="00844EC7">
        <w:rPr>
          <w:rFonts w:ascii="Titillium" w:hAnsi="Titillium"/>
        </w:rPr>
        <w:t xml:space="preserve">delayed </w:t>
      </w:r>
      <w:r w:rsidR="00832D8D">
        <w:rPr>
          <w:rFonts w:ascii="Titillium" w:hAnsi="Titillium"/>
        </w:rPr>
        <w:t xml:space="preserve">in making payment </w:t>
      </w:r>
      <w:r w:rsidR="00D74DF9">
        <w:rPr>
          <w:rFonts w:ascii="Titillium" w:hAnsi="Titillium"/>
        </w:rPr>
        <w:t>or does not</w:t>
      </w:r>
      <w:r w:rsidR="00832D8D">
        <w:rPr>
          <w:rFonts w:ascii="Titillium" w:hAnsi="Titillium"/>
        </w:rPr>
        <w:t xml:space="preserve"> pay at all, </w:t>
      </w:r>
      <w:r>
        <w:rPr>
          <w:rFonts w:ascii="Titillium" w:hAnsi="Titillium"/>
        </w:rPr>
        <w:t>the</w:t>
      </w:r>
      <w:r w:rsidR="00832D8D">
        <w:rPr>
          <w:rFonts w:ascii="Titillium" w:hAnsi="Titillium"/>
        </w:rPr>
        <w:t>n the</w:t>
      </w:r>
      <w:r>
        <w:rPr>
          <w:rFonts w:ascii="Titillium" w:hAnsi="Titillium"/>
        </w:rPr>
        <w:t xml:space="preserve"> staff member will still be eligible for the additional payment</w:t>
      </w:r>
      <w:r w:rsidR="00832D8D">
        <w:rPr>
          <w:rFonts w:ascii="Titillium" w:hAnsi="Titillium"/>
        </w:rPr>
        <w:t>, on condition that they</w:t>
      </w:r>
      <w:r>
        <w:rPr>
          <w:rFonts w:ascii="Titillium" w:hAnsi="Titillium"/>
        </w:rPr>
        <w:t xml:space="preserve"> have completed the work</w:t>
      </w:r>
      <w:r w:rsidR="00844EC7">
        <w:rPr>
          <w:rFonts w:ascii="Titillium" w:hAnsi="Titillium"/>
        </w:rPr>
        <w:t xml:space="preserve"> </w:t>
      </w:r>
      <w:r w:rsidR="00832D8D">
        <w:rPr>
          <w:rFonts w:ascii="Titillium" w:hAnsi="Titillium"/>
        </w:rPr>
        <w:t>as expected in accordance with the signed contract</w:t>
      </w:r>
      <w:r w:rsidR="00D74DF9">
        <w:rPr>
          <w:rFonts w:ascii="Titillium" w:hAnsi="Titillium"/>
        </w:rPr>
        <w:t>. T</w:t>
      </w:r>
      <w:r>
        <w:rPr>
          <w:rFonts w:ascii="Titillium" w:hAnsi="Titillium"/>
        </w:rPr>
        <w:t xml:space="preserve">he risk of </w:t>
      </w:r>
      <w:r w:rsidR="00D74DF9">
        <w:rPr>
          <w:rFonts w:ascii="Titillium" w:hAnsi="Titillium"/>
        </w:rPr>
        <w:t xml:space="preserve">non-payment will be </w:t>
      </w:r>
      <w:r>
        <w:rPr>
          <w:rFonts w:ascii="Titillium" w:hAnsi="Titillium"/>
        </w:rPr>
        <w:t xml:space="preserve">mitigated through undertaking of due diligence on all </w:t>
      </w:r>
      <w:r w:rsidR="00D74DF9">
        <w:rPr>
          <w:rFonts w:ascii="Titillium" w:hAnsi="Titillium"/>
        </w:rPr>
        <w:t xml:space="preserve">new </w:t>
      </w:r>
      <w:r>
        <w:rPr>
          <w:rFonts w:ascii="Titillium" w:hAnsi="Titillium"/>
        </w:rPr>
        <w:t>clients</w:t>
      </w:r>
      <w:r w:rsidR="00D74DF9">
        <w:rPr>
          <w:rFonts w:ascii="Titillium" w:hAnsi="Titillium"/>
        </w:rPr>
        <w:t xml:space="preserve"> and </w:t>
      </w:r>
      <w:r w:rsidR="00A95ADE">
        <w:rPr>
          <w:rFonts w:ascii="Titillium" w:hAnsi="Titillium"/>
        </w:rPr>
        <w:t>staff</w:t>
      </w:r>
      <w:r w:rsidR="00D74DF9">
        <w:rPr>
          <w:rFonts w:ascii="Titillium" w:hAnsi="Titillium"/>
        </w:rPr>
        <w:t xml:space="preserve"> will be advised where work should not proceed with a particular client due to failed due diligence</w:t>
      </w:r>
      <w:r>
        <w:rPr>
          <w:rFonts w:ascii="Titillium" w:hAnsi="Titillium"/>
        </w:rPr>
        <w:t>. All activities will be relevant for promotional purposes</w:t>
      </w:r>
      <w:r w:rsidR="00737B78">
        <w:rPr>
          <w:rFonts w:ascii="Titillium" w:hAnsi="Titillium"/>
        </w:rPr>
        <w:t>, in line with the Academic</w:t>
      </w:r>
      <w:r w:rsidR="00541741">
        <w:rPr>
          <w:rFonts w:ascii="Titillium" w:hAnsi="Titillium"/>
        </w:rPr>
        <w:t xml:space="preserve"> Framework.</w:t>
      </w:r>
    </w:p>
    <w:p w14:paraId="70B99DD8" w14:textId="77777777" w:rsidR="00972980" w:rsidRPr="00875C93" w:rsidRDefault="00972980" w:rsidP="00875C93">
      <w:pPr>
        <w:spacing w:after="0" w:line="240" w:lineRule="auto"/>
        <w:rPr>
          <w:rFonts w:ascii="Titillium" w:hAnsi="Titillium"/>
          <w:b/>
          <w:bCs/>
          <w:color w:val="FF0000"/>
          <w:sz w:val="28"/>
          <w:szCs w:val="28"/>
        </w:rPr>
      </w:pPr>
    </w:p>
    <w:p w14:paraId="312C4EE4" w14:textId="4F16DDB5" w:rsidR="00972980" w:rsidRPr="009965ED" w:rsidRDefault="00972980" w:rsidP="009965ED">
      <w:pPr>
        <w:spacing w:after="0" w:line="240" w:lineRule="auto"/>
        <w:rPr>
          <w:rFonts w:ascii="Interstate Light" w:hAnsi="Interstate Light"/>
          <w:b/>
          <w:color w:val="E5233F"/>
          <w:sz w:val="32"/>
        </w:rPr>
      </w:pPr>
      <w:r w:rsidRPr="009965ED">
        <w:rPr>
          <w:rFonts w:ascii="Interstate Light" w:hAnsi="Interstate Light"/>
          <w:b/>
          <w:color w:val="E5233F"/>
          <w:sz w:val="32"/>
        </w:rPr>
        <w:t>Who Can Help?</w:t>
      </w:r>
    </w:p>
    <w:p w14:paraId="3489AB36" w14:textId="77777777" w:rsidR="00875C93" w:rsidRPr="00875C93" w:rsidRDefault="00875C93" w:rsidP="00875C93">
      <w:pPr>
        <w:spacing w:after="0" w:line="240" w:lineRule="auto"/>
        <w:rPr>
          <w:rFonts w:ascii="Titillium" w:hAnsi="Titillium"/>
          <w:b/>
          <w:bCs/>
          <w:color w:val="FF0000"/>
          <w:sz w:val="28"/>
          <w:szCs w:val="28"/>
        </w:rPr>
      </w:pPr>
    </w:p>
    <w:p w14:paraId="5A8A0265" w14:textId="3730BDAD" w:rsidR="00875C93" w:rsidRDefault="00144898" w:rsidP="00144898">
      <w:pPr>
        <w:spacing w:after="0" w:line="240" w:lineRule="auto"/>
        <w:jc w:val="both"/>
        <w:rPr>
          <w:rFonts w:ascii="Titillium" w:hAnsi="Titillium"/>
        </w:rPr>
      </w:pPr>
      <w:r>
        <w:rPr>
          <w:rFonts w:ascii="Titillium" w:hAnsi="Titillium"/>
          <w:noProof/>
          <w:lang w:eastAsia="en-GB"/>
        </w:rPr>
        <w:drawing>
          <wp:anchor distT="0" distB="0" distL="114300" distR="114300" simplePos="0" relativeHeight="251700224" behindDoc="1" locked="0" layoutInCell="1" allowOverlap="1" wp14:anchorId="6B4503F3" wp14:editId="0DF74F70">
            <wp:simplePos x="0" y="0"/>
            <wp:positionH relativeFrom="margin">
              <wp:align>left</wp:align>
            </wp:positionH>
            <wp:positionV relativeFrom="paragraph">
              <wp:posOffset>64135</wp:posOffset>
            </wp:positionV>
            <wp:extent cx="594000" cy="594000"/>
            <wp:effectExtent l="0" t="0" r="0" b="0"/>
            <wp:wrapTight wrapText="bothSides">
              <wp:wrapPolygon edited="0">
                <wp:start x="0" y="0"/>
                <wp:lineTo x="0" y="20791"/>
                <wp:lineTo x="20791" y="20791"/>
                <wp:lineTo x="20791"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C93">
        <w:rPr>
          <w:rFonts w:ascii="Titillium" w:hAnsi="Titillium"/>
        </w:rPr>
        <w:t xml:space="preserve">The </w:t>
      </w:r>
      <w:r w:rsidR="00B64873">
        <w:rPr>
          <w:rFonts w:ascii="Titillium" w:hAnsi="Titillium"/>
        </w:rPr>
        <w:t>RIE</w:t>
      </w:r>
      <w:r w:rsidR="00875C93">
        <w:rPr>
          <w:rFonts w:ascii="Titillium" w:hAnsi="Titillium"/>
        </w:rPr>
        <w:t xml:space="preserve"> team</w:t>
      </w:r>
      <w:r w:rsidR="00972980" w:rsidRPr="00972980">
        <w:rPr>
          <w:rFonts w:ascii="Titillium" w:hAnsi="Titillium"/>
        </w:rPr>
        <w:t xml:space="preserve"> will provide support and advice with the application of the Framework and </w:t>
      </w:r>
      <w:r w:rsidR="00875C93">
        <w:rPr>
          <w:rFonts w:ascii="Titillium" w:hAnsi="Titillium"/>
        </w:rPr>
        <w:t xml:space="preserve">can </w:t>
      </w:r>
      <w:r w:rsidR="00972980" w:rsidRPr="00972980">
        <w:rPr>
          <w:rFonts w:ascii="Titillium" w:hAnsi="Titillium"/>
        </w:rPr>
        <w:t xml:space="preserve">answer any questions </w:t>
      </w:r>
      <w:r w:rsidR="00875C93">
        <w:rPr>
          <w:rFonts w:ascii="Titillium" w:hAnsi="Titillium"/>
        </w:rPr>
        <w:t xml:space="preserve">in relation to the Framework and associated guidance. </w:t>
      </w:r>
      <w:r w:rsidR="00972980" w:rsidRPr="00972980">
        <w:rPr>
          <w:rFonts w:ascii="Titillium" w:hAnsi="Titillium"/>
        </w:rPr>
        <w:t>Please speak to your School’s Business Development and Relationship Manager</w:t>
      </w:r>
      <w:r w:rsidR="00070C81">
        <w:rPr>
          <w:rFonts w:ascii="Titillium" w:hAnsi="Titillium"/>
        </w:rPr>
        <w:t xml:space="preserve"> (BDRM)</w:t>
      </w:r>
      <w:r w:rsidR="00972980" w:rsidRPr="00972980">
        <w:rPr>
          <w:rFonts w:ascii="Titillium" w:hAnsi="Titillium"/>
        </w:rPr>
        <w:t xml:space="preserve">, contact details can be found </w:t>
      </w:r>
      <w:hyperlink r:id="rId15" w:history="1">
        <w:r w:rsidR="00972980" w:rsidRPr="00FB052A">
          <w:rPr>
            <w:rStyle w:val="Hyperlink"/>
            <w:rFonts w:ascii="Titillium" w:hAnsi="Titillium"/>
          </w:rPr>
          <w:t>here</w:t>
        </w:r>
      </w:hyperlink>
      <w:r w:rsidR="00972980" w:rsidRPr="00972980">
        <w:rPr>
          <w:rFonts w:ascii="Titillium" w:hAnsi="Titillium"/>
        </w:rPr>
        <w:t>.</w:t>
      </w:r>
      <w:r w:rsidR="00875C93">
        <w:rPr>
          <w:rFonts w:ascii="Titillium" w:hAnsi="Titillium"/>
        </w:rPr>
        <w:t xml:space="preserve"> </w:t>
      </w:r>
      <w:r w:rsidR="00972980">
        <w:rPr>
          <w:rFonts w:ascii="Titillium" w:hAnsi="Titillium"/>
        </w:rPr>
        <w:t xml:space="preserve">For queries relating the </w:t>
      </w:r>
      <w:r w:rsidR="00972980" w:rsidRPr="00972980">
        <w:rPr>
          <w:rFonts w:ascii="Titillium" w:hAnsi="Titillium"/>
        </w:rPr>
        <w:t xml:space="preserve">payment of fees, please contact Payroll: </w:t>
      </w:r>
      <w:hyperlink r:id="rId16" w:history="1">
        <w:r w:rsidR="00FB052A" w:rsidRPr="00BC7D4F">
          <w:rPr>
            <w:rStyle w:val="Hyperlink"/>
            <w:rFonts w:ascii="Titillium" w:hAnsi="Titillium"/>
          </w:rPr>
          <w:t>payroll@napier.ac.uk</w:t>
        </w:r>
      </w:hyperlink>
      <w:r w:rsidR="00875C93">
        <w:rPr>
          <w:rFonts w:ascii="Titillium" w:hAnsi="Titillium"/>
        </w:rPr>
        <w:t>.</w:t>
      </w:r>
      <w:r w:rsidR="00FB052A">
        <w:rPr>
          <w:rFonts w:ascii="Titillium" w:hAnsi="Titillium"/>
        </w:rPr>
        <w:t xml:space="preserve"> </w:t>
      </w:r>
      <w:r w:rsidR="00B22E9E">
        <w:rPr>
          <w:rFonts w:ascii="Titillium" w:hAnsi="Titillium"/>
        </w:rPr>
        <w:t xml:space="preserve">For new business relationships and commercial opportunities, please contact your BDRM. For contract amendments or </w:t>
      </w:r>
      <w:r w:rsidR="00FD1FC3">
        <w:rPr>
          <w:rFonts w:ascii="Titillium" w:hAnsi="Titillium"/>
        </w:rPr>
        <w:t>small-scale</w:t>
      </w:r>
      <w:r w:rsidR="00B22E9E">
        <w:rPr>
          <w:rFonts w:ascii="Titillium" w:hAnsi="Titillium"/>
        </w:rPr>
        <w:t xml:space="preserve"> projects with current clients you can contact your E</w:t>
      </w:r>
      <w:r w:rsidR="00CC02E1">
        <w:rPr>
          <w:rFonts w:ascii="Titillium" w:hAnsi="Titillium"/>
        </w:rPr>
        <w:t xml:space="preserve">xternal </w:t>
      </w:r>
      <w:r w:rsidR="00B22E9E">
        <w:rPr>
          <w:rFonts w:ascii="Titillium" w:hAnsi="Titillium"/>
        </w:rPr>
        <w:t>P</w:t>
      </w:r>
      <w:r w:rsidR="00CC02E1">
        <w:rPr>
          <w:rFonts w:ascii="Titillium" w:hAnsi="Titillium"/>
        </w:rPr>
        <w:t xml:space="preserve">roject </w:t>
      </w:r>
      <w:r w:rsidR="00B22E9E">
        <w:rPr>
          <w:rFonts w:ascii="Titillium" w:hAnsi="Titillium"/>
        </w:rPr>
        <w:t>O</w:t>
      </w:r>
      <w:r w:rsidR="00CC02E1">
        <w:rPr>
          <w:rFonts w:ascii="Titillium" w:hAnsi="Titillium"/>
        </w:rPr>
        <w:t>fficer (EPO)</w:t>
      </w:r>
      <w:r w:rsidR="00B22E9E">
        <w:rPr>
          <w:rFonts w:ascii="Titillium" w:hAnsi="Titillium"/>
        </w:rPr>
        <w:t xml:space="preserve"> directly. </w:t>
      </w:r>
      <w:r w:rsidR="00FB052A">
        <w:rPr>
          <w:rFonts w:ascii="Titillium" w:hAnsi="Titillium"/>
        </w:rPr>
        <w:t xml:space="preserve">Should anything require </w:t>
      </w:r>
      <w:r w:rsidR="00FB052A">
        <w:rPr>
          <w:rFonts w:ascii="Titillium" w:hAnsi="Titillium"/>
        </w:rPr>
        <w:lastRenderedPageBreak/>
        <w:t xml:space="preserve">escalation, please contact your BDRM in the first instance who will escalate to RIE’s Senior Leadership Team accordingly. </w:t>
      </w:r>
    </w:p>
    <w:p w14:paraId="09EFB3B3" w14:textId="3817A84C" w:rsidR="00FB052A" w:rsidRDefault="00FB052A" w:rsidP="00144898">
      <w:pPr>
        <w:spacing w:after="0" w:line="240" w:lineRule="auto"/>
        <w:jc w:val="both"/>
        <w:rPr>
          <w:rFonts w:ascii="Titillium" w:hAnsi="Titillium"/>
        </w:rPr>
      </w:pPr>
    </w:p>
    <w:p w14:paraId="2487A545" w14:textId="1D2031BB" w:rsidR="00A03FBA" w:rsidRDefault="00A03FBA" w:rsidP="00875C93">
      <w:pPr>
        <w:pStyle w:val="NapierHeaders"/>
        <w:numPr>
          <w:ilvl w:val="0"/>
          <w:numId w:val="19"/>
        </w:numPr>
        <w:spacing w:before="0" w:line="240" w:lineRule="auto"/>
      </w:pPr>
      <w:bookmarkStart w:id="1" w:name="_Toc95132840"/>
      <w:r w:rsidRPr="00222FA3">
        <w:t>Eligibility</w:t>
      </w:r>
      <w:bookmarkEnd w:id="1"/>
    </w:p>
    <w:p w14:paraId="6C061B41" w14:textId="77777777" w:rsidR="00A03FBA" w:rsidRDefault="00A03FBA" w:rsidP="00E11EBC">
      <w:pPr>
        <w:spacing w:after="0" w:line="240" w:lineRule="auto"/>
        <w:jc w:val="both"/>
        <w:rPr>
          <w:rFonts w:ascii="Titillium" w:hAnsi="Titillium"/>
        </w:rPr>
      </w:pPr>
    </w:p>
    <w:p w14:paraId="007BFA62" w14:textId="6C618300" w:rsidR="00FB052A" w:rsidRDefault="00144625" w:rsidP="00FB052A">
      <w:pPr>
        <w:spacing w:after="0" w:line="240" w:lineRule="auto"/>
        <w:jc w:val="both"/>
        <w:rPr>
          <w:rFonts w:ascii="Titillium" w:hAnsi="Titillium"/>
        </w:rPr>
      </w:pPr>
      <w:r w:rsidRPr="00C83EE2">
        <w:rPr>
          <w:rFonts w:ascii="Interstate Light" w:hAnsi="Interstate Light"/>
          <w:noProof/>
          <w:sz w:val="24"/>
          <w:szCs w:val="24"/>
          <w:lang w:eastAsia="en-GB"/>
        </w:rPr>
        <w:drawing>
          <wp:anchor distT="0" distB="0" distL="114300" distR="114300" simplePos="0" relativeHeight="251689984" behindDoc="1" locked="0" layoutInCell="1" allowOverlap="1" wp14:anchorId="4B28EB1C" wp14:editId="7499A325">
            <wp:simplePos x="0" y="0"/>
            <wp:positionH relativeFrom="margin">
              <wp:align>left</wp:align>
            </wp:positionH>
            <wp:positionV relativeFrom="paragraph">
              <wp:posOffset>37647</wp:posOffset>
            </wp:positionV>
            <wp:extent cx="594000" cy="594000"/>
            <wp:effectExtent l="0" t="0" r="0" b="0"/>
            <wp:wrapTight wrapText="bothSides">
              <wp:wrapPolygon edited="0">
                <wp:start x="0" y="0"/>
                <wp:lineTo x="0" y="20791"/>
                <wp:lineTo x="18019" y="20791"/>
                <wp:lineTo x="20791" y="17326"/>
                <wp:lineTo x="20791" y="0"/>
                <wp:lineTo x="0" y="0"/>
              </wp:wrapPolygon>
            </wp:wrapTight>
            <wp:docPr id="10" name="Picture 10" descr="C:\Users\40013672\AppData\Local\Temp\Temp1_ENU Icons PNG (1).zip\PNG\General ICONS\ENU Icons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3672\AppData\Local\Temp\Temp1_ENU Icons PNG (1).zip\PNG\General ICONS\ENU Icons_00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FBA" w:rsidRPr="00A03FBA">
        <w:rPr>
          <w:rFonts w:ascii="Titillium" w:hAnsi="Titillium"/>
        </w:rPr>
        <w:t xml:space="preserve">All staff </w:t>
      </w:r>
      <w:r w:rsidR="00B601D9">
        <w:rPr>
          <w:rFonts w:ascii="Titillium" w:hAnsi="Titillium"/>
        </w:rPr>
        <w:t xml:space="preserve">across the institution </w:t>
      </w:r>
      <w:r w:rsidR="00FB052A">
        <w:rPr>
          <w:rFonts w:ascii="Titillium" w:hAnsi="Titillium"/>
        </w:rPr>
        <w:t xml:space="preserve">(academic and professional services) </w:t>
      </w:r>
      <w:r w:rsidR="00B601D9">
        <w:rPr>
          <w:rFonts w:ascii="Titillium" w:hAnsi="Titillium"/>
        </w:rPr>
        <w:t xml:space="preserve">are supported by this framework </w:t>
      </w:r>
      <w:r w:rsidR="00A03FBA" w:rsidRPr="00A03FBA">
        <w:rPr>
          <w:rFonts w:ascii="Titillium" w:hAnsi="Titillium"/>
          <w:b/>
          <w:bCs/>
          <w:i/>
          <w:iCs/>
          <w:u w:val="single"/>
        </w:rPr>
        <w:t>excluding</w:t>
      </w:r>
      <w:r w:rsidR="00A03FBA" w:rsidRPr="00A03FBA">
        <w:rPr>
          <w:rFonts w:ascii="Titillium" w:hAnsi="Titillium"/>
        </w:rPr>
        <w:t xml:space="preserve"> honorary staff, associate staff, research students and staff who perform </w:t>
      </w:r>
      <w:r w:rsidR="00875C93">
        <w:rPr>
          <w:rFonts w:ascii="Titillium" w:hAnsi="Titillium"/>
        </w:rPr>
        <w:t>any of these activities</w:t>
      </w:r>
      <w:r w:rsidR="00A03FBA" w:rsidRPr="00A03FBA">
        <w:rPr>
          <w:rFonts w:ascii="Titillium" w:hAnsi="Titillium"/>
        </w:rPr>
        <w:t xml:space="preserve"> as a major</w:t>
      </w:r>
      <w:r w:rsidR="00B601D9">
        <w:rPr>
          <w:rFonts w:ascii="Titillium" w:hAnsi="Titillium"/>
        </w:rPr>
        <w:t xml:space="preserve"> part of their role (e.g., RMP). When the activity is </w:t>
      </w:r>
      <w:r w:rsidR="00B64873">
        <w:rPr>
          <w:rFonts w:ascii="Titillium" w:hAnsi="Titillium"/>
        </w:rPr>
        <w:t xml:space="preserve">agreed and </w:t>
      </w:r>
      <w:r w:rsidR="00B601D9" w:rsidRPr="00A03FBA">
        <w:rPr>
          <w:rFonts w:ascii="Titillium" w:hAnsi="Titillium"/>
        </w:rPr>
        <w:t xml:space="preserve">undertaken out with </w:t>
      </w:r>
      <w:r w:rsidR="00B601D9">
        <w:rPr>
          <w:rFonts w:ascii="Titillium" w:hAnsi="Titillium"/>
        </w:rPr>
        <w:t xml:space="preserve">the workload allocation model (WAM), all eligible staff </w:t>
      </w:r>
      <w:r w:rsidR="00A03FBA" w:rsidRPr="00A03FBA">
        <w:rPr>
          <w:rFonts w:ascii="Titillium" w:hAnsi="Titillium"/>
        </w:rPr>
        <w:t>will be rewa</w:t>
      </w:r>
      <w:r w:rsidR="00B601D9">
        <w:rPr>
          <w:rFonts w:ascii="Titillium" w:hAnsi="Titillium"/>
        </w:rPr>
        <w:t xml:space="preserve">rded with an additional payment, on condition that relevant process has been </w:t>
      </w:r>
      <w:r w:rsidR="00B64873">
        <w:rPr>
          <w:rFonts w:ascii="Titillium" w:hAnsi="Titillium"/>
        </w:rPr>
        <w:t>followed appropriately</w:t>
      </w:r>
      <w:r w:rsidR="00B601D9">
        <w:rPr>
          <w:rFonts w:ascii="Titillium" w:hAnsi="Titillium"/>
        </w:rPr>
        <w:t xml:space="preserve">. </w:t>
      </w:r>
    </w:p>
    <w:p w14:paraId="00333B64" w14:textId="2F413395" w:rsidR="00875C93" w:rsidRPr="00FB052A" w:rsidRDefault="00875C93" w:rsidP="00FB052A">
      <w:pPr>
        <w:spacing w:after="0" w:line="240" w:lineRule="auto"/>
        <w:jc w:val="both"/>
        <w:rPr>
          <w:rFonts w:ascii="Titillium" w:hAnsi="Titillium"/>
        </w:rPr>
      </w:pPr>
    </w:p>
    <w:p w14:paraId="6FE0ED5D" w14:textId="12E395A7" w:rsidR="00144898" w:rsidRPr="00222FA3" w:rsidRDefault="00BE2C3A" w:rsidP="00222FA3">
      <w:pPr>
        <w:pStyle w:val="NapierHeaders"/>
        <w:numPr>
          <w:ilvl w:val="0"/>
          <w:numId w:val="19"/>
        </w:numPr>
      </w:pPr>
      <w:bookmarkStart w:id="2" w:name="_Toc95132841"/>
      <w:r w:rsidRPr="00222FA3">
        <w:t>Activities Within Scope of Framework</w:t>
      </w:r>
      <w:bookmarkEnd w:id="2"/>
      <w:r w:rsidRPr="00222FA3">
        <w:t xml:space="preserve"> </w:t>
      </w:r>
      <w:r w:rsidR="00144898" w:rsidRPr="00222FA3">
        <w:br/>
      </w:r>
    </w:p>
    <w:p w14:paraId="019F8D00" w14:textId="4EB52DE8" w:rsidR="00A03FBA" w:rsidRDefault="00144898" w:rsidP="00BE2C3A">
      <w:pPr>
        <w:pStyle w:val="ListParagraph"/>
        <w:spacing w:line="259" w:lineRule="auto"/>
        <w:ind w:left="567"/>
        <w:jc w:val="both"/>
        <w:rPr>
          <w:rFonts w:ascii="Titillium" w:hAnsi="Titillium"/>
        </w:rPr>
      </w:pPr>
      <w:r>
        <w:rPr>
          <w:rFonts w:ascii="Titillium" w:hAnsi="Titillium"/>
          <w:b/>
          <w:noProof/>
          <w:lang w:eastAsia="en-GB"/>
        </w:rPr>
        <w:drawing>
          <wp:anchor distT="0" distB="0" distL="114300" distR="114300" simplePos="0" relativeHeight="251701248" behindDoc="1" locked="0" layoutInCell="1" allowOverlap="1" wp14:anchorId="1753359F" wp14:editId="4A312AE2">
            <wp:simplePos x="0" y="0"/>
            <wp:positionH relativeFrom="column">
              <wp:posOffset>9525</wp:posOffset>
            </wp:positionH>
            <wp:positionV relativeFrom="paragraph">
              <wp:posOffset>38554</wp:posOffset>
            </wp:positionV>
            <wp:extent cx="593725" cy="593725"/>
            <wp:effectExtent l="0" t="0" r="0" b="0"/>
            <wp:wrapTight wrapText="bothSides">
              <wp:wrapPolygon edited="0">
                <wp:start x="0" y="0"/>
                <wp:lineTo x="0" y="20791"/>
                <wp:lineTo x="20791" y="20791"/>
                <wp:lineTo x="20791"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FBA" w:rsidRPr="00144625">
        <w:rPr>
          <w:rFonts w:ascii="Titillium" w:hAnsi="Titillium"/>
        </w:rPr>
        <w:t>The following</w:t>
      </w:r>
      <w:r w:rsidR="00ED1136">
        <w:rPr>
          <w:rFonts w:ascii="Titillium" w:hAnsi="Titillium"/>
        </w:rPr>
        <w:t xml:space="preserve"> </w:t>
      </w:r>
      <w:r w:rsidR="00ED1136" w:rsidRPr="00144625">
        <w:rPr>
          <w:rFonts w:ascii="Titillium" w:hAnsi="Titillium"/>
        </w:rPr>
        <w:t>activities</w:t>
      </w:r>
      <w:r w:rsidR="00ED1136">
        <w:rPr>
          <w:rFonts w:ascii="Titillium" w:hAnsi="Titillium"/>
        </w:rPr>
        <w:t xml:space="preserve">, as defined below, </w:t>
      </w:r>
      <w:r w:rsidR="00A03FBA" w:rsidRPr="00144625">
        <w:rPr>
          <w:rFonts w:ascii="Titillium" w:hAnsi="Titillium"/>
        </w:rPr>
        <w:t>are within scope of the Framework</w:t>
      </w:r>
      <w:r w:rsidR="00BE2C3A">
        <w:rPr>
          <w:rFonts w:ascii="Titillium" w:hAnsi="Titillium"/>
        </w:rPr>
        <w:t xml:space="preserve"> on condition that the work is </w:t>
      </w:r>
      <w:r w:rsidR="00BE2C3A" w:rsidRPr="00B1025D">
        <w:rPr>
          <w:rFonts w:ascii="Titillium" w:hAnsi="Titillium"/>
        </w:rPr>
        <w:t xml:space="preserve">undertaken out with </w:t>
      </w:r>
      <w:r w:rsidR="00BE2C3A">
        <w:rPr>
          <w:rFonts w:ascii="Titillium" w:hAnsi="Titillium"/>
        </w:rPr>
        <w:t>workload allocation model (</w:t>
      </w:r>
      <w:r w:rsidR="00BE2C3A" w:rsidRPr="00B1025D">
        <w:rPr>
          <w:rFonts w:ascii="Titillium" w:hAnsi="Titillium"/>
        </w:rPr>
        <w:t>WAM</w:t>
      </w:r>
      <w:r w:rsidR="00BE2C3A">
        <w:rPr>
          <w:rFonts w:ascii="Titillium" w:hAnsi="Titillium"/>
        </w:rPr>
        <w:t>) and the relevant process has been followed:</w:t>
      </w:r>
    </w:p>
    <w:p w14:paraId="37303174" w14:textId="77777777" w:rsidR="007C42B3" w:rsidRPr="00144625" w:rsidRDefault="007C42B3" w:rsidP="007C42B3">
      <w:pPr>
        <w:spacing w:after="0" w:line="240" w:lineRule="auto"/>
        <w:jc w:val="both"/>
        <w:rPr>
          <w:rFonts w:ascii="Titillium" w:hAnsi="Titillium"/>
        </w:rPr>
      </w:pPr>
    </w:p>
    <w:p w14:paraId="13C9EBB9" w14:textId="52833200" w:rsidR="00A03FBA" w:rsidRDefault="00A03FBA" w:rsidP="007C42B3">
      <w:pPr>
        <w:spacing w:after="0" w:line="240" w:lineRule="auto"/>
        <w:jc w:val="both"/>
        <w:rPr>
          <w:rFonts w:ascii="Titillium" w:hAnsi="Titillium"/>
        </w:rPr>
      </w:pPr>
      <w:r w:rsidRPr="00144625">
        <w:rPr>
          <w:rFonts w:ascii="Titillium" w:hAnsi="Titillium"/>
          <w:b/>
        </w:rPr>
        <w:t>Consultancy</w:t>
      </w:r>
      <w:r w:rsidRPr="00144625">
        <w:rPr>
          <w:rFonts w:ascii="Titillium" w:hAnsi="Titillium"/>
        </w:rPr>
        <w:t xml:space="preserve"> is defined as the undertaking of work within or related to the staff member’s professional field through which their expertise is exchanged with an external organisation for a fee, but which does not involve original research work or creation of new knowledge. This activity will normally be short-term in nature. </w:t>
      </w:r>
    </w:p>
    <w:p w14:paraId="0E21F89A" w14:textId="484AF42D" w:rsidR="00DB6F83" w:rsidRDefault="00DB6F83" w:rsidP="007C42B3">
      <w:pPr>
        <w:spacing w:after="0" w:line="240" w:lineRule="auto"/>
        <w:jc w:val="both"/>
        <w:rPr>
          <w:rFonts w:ascii="Titillium" w:hAnsi="Titillium"/>
        </w:rPr>
      </w:pPr>
    </w:p>
    <w:p w14:paraId="7E864014" w14:textId="7310B001" w:rsidR="00DB6F83" w:rsidRDefault="00D86EEF" w:rsidP="007C42B3">
      <w:pPr>
        <w:spacing w:after="0" w:line="240" w:lineRule="auto"/>
        <w:jc w:val="both"/>
        <w:rPr>
          <w:rFonts w:ascii="Titillium" w:hAnsi="Titillium"/>
        </w:rPr>
      </w:pPr>
      <w:r>
        <w:rPr>
          <w:rFonts w:ascii="Titillium" w:hAnsi="Titillium"/>
        </w:rPr>
        <w:t>Examples of C</w:t>
      </w:r>
      <w:r w:rsidR="00DB6F83">
        <w:rPr>
          <w:rFonts w:ascii="Titillium" w:hAnsi="Titillium"/>
        </w:rPr>
        <w:t xml:space="preserve">onsultancy </w:t>
      </w:r>
      <w:r>
        <w:rPr>
          <w:rFonts w:ascii="Titillium" w:hAnsi="Titillium"/>
        </w:rPr>
        <w:t>projects include, but are not limited to:</w:t>
      </w:r>
    </w:p>
    <w:p w14:paraId="12AE1601" w14:textId="3B8EE5C7" w:rsidR="00D86EEF" w:rsidRDefault="00D86EEF" w:rsidP="007C42B3">
      <w:pPr>
        <w:spacing w:after="0" w:line="240" w:lineRule="auto"/>
        <w:jc w:val="both"/>
        <w:rPr>
          <w:rFonts w:ascii="Titillium" w:hAnsi="Titillium"/>
        </w:rPr>
      </w:pPr>
    </w:p>
    <w:p w14:paraId="2EEE99D9" w14:textId="198DC94A" w:rsidR="00206703" w:rsidRPr="00890784" w:rsidRDefault="00206703" w:rsidP="00890784">
      <w:pPr>
        <w:pStyle w:val="ListParagraph"/>
        <w:numPr>
          <w:ilvl w:val="0"/>
          <w:numId w:val="24"/>
        </w:numPr>
        <w:spacing w:after="0" w:line="240" w:lineRule="auto"/>
        <w:jc w:val="both"/>
        <w:rPr>
          <w:rFonts w:ascii="Titillium" w:hAnsi="Titillium"/>
        </w:rPr>
      </w:pPr>
      <w:r>
        <w:rPr>
          <w:rFonts w:ascii="Titillium" w:hAnsi="Titillium"/>
        </w:rPr>
        <w:t xml:space="preserve">Offering expert analysis and opinion/advice </w:t>
      </w:r>
      <w:r w:rsidR="00890784">
        <w:rPr>
          <w:rFonts w:ascii="Titillium" w:hAnsi="Titillium"/>
        </w:rPr>
        <w:t xml:space="preserve">on a social science, </w:t>
      </w:r>
      <w:r w:rsidR="00890784" w:rsidRPr="00890784">
        <w:rPr>
          <w:rFonts w:ascii="Titillium" w:hAnsi="Titillium"/>
        </w:rPr>
        <w:t>scientific</w:t>
      </w:r>
      <w:r w:rsidR="00890784">
        <w:rPr>
          <w:rFonts w:ascii="Titillium" w:hAnsi="Titillium"/>
        </w:rPr>
        <w:t xml:space="preserve"> or </w:t>
      </w:r>
      <w:r w:rsidR="00890784" w:rsidRPr="00890784">
        <w:rPr>
          <w:rFonts w:ascii="Titillium" w:hAnsi="Titillium"/>
        </w:rPr>
        <w:t>medical</w:t>
      </w:r>
      <w:r w:rsidR="00890784">
        <w:rPr>
          <w:rFonts w:ascii="Titillium" w:hAnsi="Titillium"/>
        </w:rPr>
        <w:t xml:space="preserve"> question</w:t>
      </w:r>
    </w:p>
    <w:p w14:paraId="7411CCB8" w14:textId="19EEE28A" w:rsidR="00D86EEF" w:rsidRDefault="00D86EEF" w:rsidP="00D86EEF">
      <w:pPr>
        <w:pStyle w:val="ListParagraph"/>
        <w:numPr>
          <w:ilvl w:val="0"/>
          <w:numId w:val="24"/>
        </w:numPr>
        <w:spacing w:after="0" w:line="240" w:lineRule="auto"/>
        <w:jc w:val="both"/>
        <w:rPr>
          <w:rFonts w:ascii="Titillium" w:hAnsi="Titillium"/>
        </w:rPr>
      </w:pPr>
      <w:r>
        <w:rPr>
          <w:rFonts w:ascii="Titillium" w:hAnsi="Titillium"/>
        </w:rPr>
        <w:t>Expert analysis of corporate literature</w:t>
      </w:r>
    </w:p>
    <w:p w14:paraId="49E2A0E6" w14:textId="45553C6E" w:rsidR="00D86EEF" w:rsidRDefault="00D86EEF" w:rsidP="00D86EEF">
      <w:pPr>
        <w:pStyle w:val="ListParagraph"/>
        <w:numPr>
          <w:ilvl w:val="0"/>
          <w:numId w:val="24"/>
        </w:numPr>
        <w:spacing w:after="0" w:line="240" w:lineRule="auto"/>
        <w:jc w:val="both"/>
        <w:rPr>
          <w:rFonts w:ascii="Titillium" w:hAnsi="Titillium"/>
        </w:rPr>
      </w:pPr>
      <w:r>
        <w:rPr>
          <w:rFonts w:ascii="Titillium" w:hAnsi="Titillium"/>
        </w:rPr>
        <w:t>Stakeholder engagement (via interview or surveys) and analysis of findings</w:t>
      </w:r>
    </w:p>
    <w:p w14:paraId="71FC1822" w14:textId="57FB657C" w:rsidR="00D86EEF" w:rsidRDefault="00206703" w:rsidP="00D86EEF">
      <w:pPr>
        <w:pStyle w:val="ListParagraph"/>
        <w:numPr>
          <w:ilvl w:val="0"/>
          <w:numId w:val="24"/>
        </w:numPr>
        <w:spacing w:after="0" w:line="240" w:lineRule="auto"/>
        <w:jc w:val="both"/>
        <w:rPr>
          <w:rFonts w:ascii="Titillium" w:hAnsi="Titillium"/>
        </w:rPr>
      </w:pPr>
      <w:r>
        <w:rPr>
          <w:rFonts w:ascii="Titillium" w:hAnsi="Titillium"/>
        </w:rPr>
        <w:t>Carrying out t</w:t>
      </w:r>
      <w:r w:rsidR="00D86EEF">
        <w:rPr>
          <w:rFonts w:ascii="Titillium" w:hAnsi="Titillium"/>
        </w:rPr>
        <w:t xml:space="preserve">esting </w:t>
      </w:r>
      <w:r>
        <w:rPr>
          <w:rFonts w:ascii="Titillium" w:hAnsi="Titillium"/>
        </w:rPr>
        <w:t>or analysis on behalf of an organisation</w:t>
      </w:r>
      <w:r w:rsidR="0066287F">
        <w:rPr>
          <w:rFonts w:ascii="Titillium" w:hAnsi="Titillium"/>
        </w:rPr>
        <w:t xml:space="preserve"> for</w:t>
      </w:r>
      <w:r w:rsidR="00D86EEF">
        <w:rPr>
          <w:rFonts w:ascii="Titillium" w:hAnsi="Titillium"/>
        </w:rPr>
        <w:t xml:space="preserve"> a new</w:t>
      </w:r>
      <w:r w:rsidR="0066287F">
        <w:rPr>
          <w:rFonts w:ascii="Titillium" w:hAnsi="Titillium"/>
        </w:rPr>
        <w:t>/existing</w:t>
      </w:r>
      <w:r w:rsidR="00D86EEF">
        <w:rPr>
          <w:rFonts w:ascii="Titillium" w:hAnsi="Titillium"/>
        </w:rPr>
        <w:t xml:space="preserve"> product or service</w:t>
      </w:r>
    </w:p>
    <w:p w14:paraId="3DB0E0DD" w14:textId="0CA3B573" w:rsidR="00206703" w:rsidRPr="00890784" w:rsidRDefault="00DC4D1E" w:rsidP="00890784">
      <w:pPr>
        <w:pStyle w:val="ListParagraph"/>
        <w:numPr>
          <w:ilvl w:val="0"/>
          <w:numId w:val="24"/>
        </w:numPr>
        <w:spacing w:after="0" w:line="240" w:lineRule="auto"/>
        <w:jc w:val="both"/>
        <w:rPr>
          <w:rFonts w:ascii="Titillium" w:hAnsi="Titillium"/>
        </w:rPr>
      </w:pPr>
      <w:r>
        <w:rPr>
          <w:rFonts w:ascii="Titillium" w:hAnsi="Titillium"/>
        </w:rPr>
        <w:t>Advisory services</w:t>
      </w:r>
      <w:r w:rsidR="00206703">
        <w:rPr>
          <w:rFonts w:ascii="Titillium" w:hAnsi="Titillium"/>
        </w:rPr>
        <w:t xml:space="preserve"> on technical issues</w:t>
      </w:r>
    </w:p>
    <w:p w14:paraId="67AEB0FA" w14:textId="36893ABE" w:rsidR="007C42B3" w:rsidRPr="00144625" w:rsidRDefault="007C42B3" w:rsidP="007C42B3">
      <w:pPr>
        <w:spacing w:after="0" w:line="240" w:lineRule="auto"/>
        <w:jc w:val="both"/>
        <w:rPr>
          <w:rFonts w:ascii="Titillium" w:hAnsi="Titillium"/>
        </w:rPr>
      </w:pPr>
    </w:p>
    <w:p w14:paraId="6BD25421" w14:textId="6A6A145B" w:rsidR="00A03FBA" w:rsidRDefault="00A03FBA" w:rsidP="007C42B3">
      <w:pPr>
        <w:spacing w:after="0" w:line="240" w:lineRule="auto"/>
        <w:jc w:val="both"/>
        <w:rPr>
          <w:rFonts w:ascii="Titillium" w:hAnsi="Titillium"/>
        </w:rPr>
      </w:pPr>
      <w:r w:rsidRPr="00144625">
        <w:rPr>
          <w:rFonts w:ascii="Titillium" w:hAnsi="Titillium"/>
          <w:b/>
        </w:rPr>
        <w:t>Non-credit Bearing Bespoke CPD Courses</w:t>
      </w:r>
      <w:r w:rsidRPr="00144625">
        <w:rPr>
          <w:rFonts w:ascii="Titillium" w:hAnsi="Titillium"/>
        </w:rPr>
        <w:t xml:space="preserve"> is defined as training programmes for learners already in work, who are undertaking the course for purposes of professional development whereby the bespoke provision is tailored specifically to an organisation’s workforce and skills development needs or for a professional body’s membership. Normally, the employer pays the fees for employees to enrol as learners. </w:t>
      </w:r>
    </w:p>
    <w:p w14:paraId="7A458E71" w14:textId="59768EEB" w:rsidR="00672CE6" w:rsidRDefault="00672CE6" w:rsidP="00745AB1">
      <w:pPr>
        <w:spacing w:after="0" w:line="240" w:lineRule="auto"/>
        <w:jc w:val="both"/>
        <w:rPr>
          <w:rFonts w:ascii="Titillium" w:hAnsi="Titillium"/>
        </w:rPr>
      </w:pPr>
    </w:p>
    <w:p w14:paraId="3455AF9A" w14:textId="5DD1018C" w:rsidR="00672CE6" w:rsidRDefault="00672CE6" w:rsidP="007C42B3">
      <w:pPr>
        <w:spacing w:after="0" w:line="240" w:lineRule="auto"/>
        <w:jc w:val="both"/>
        <w:rPr>
          <w:rFonts w:ascii="Titillium" w:hAnsi="Titillium"/>
        </w:rPr>
      </w:pPr>
      <w:r>
        <w:rPr>
          <w:rFonts w:ascii="Titillium" w:hAnsi="Titillium"/>
        </w:rPr>
        <w:t xml:space="preserve">In accordance with the definitions above, all activity that arises naturally from, and is related to employment at the University, should be carried out through the Framework. Activity must be approved in accordance with the required approvals and governed by a contract signed off by RIE </w:t>
      </w:r>
      <w:r>
        <w:rPr>
          <w:rFonts w:ascii="Titillium" w:hAnsi="Titillium"/>
        </w:rPr>
        <w:lastRenderedPageBreak/>
        <w:t xml:space="preserve">with the external organisation, whereby due diligence has been undertaken and which ensures appropriate insurance covers applies. </w:t>
      </w:r>
    </w:p>
    <w:p w14:paraId="0BD3CE47" w14:textId="4599CBDD" w:rsidR="007C42B3" w:rsidRDefault="007C42B3" w:rsidP="007C42B3">
      <w:pPr>
        <w:spacing w:after="0" w:line="240" w:lineRule="auto"/>
        <w:jc w:val="both"/>
        <w:rPr>
          <w:rFonts w:ascii="Titillium" w:hAnsi="Titillium"/>
        </w:rPr>
      </w:pPr>
    </w:p>
    <w:p w14:paraId="382EBFF7" w14:textId="47D23723" w:rsidR="00DE3D27" w:rsidRPr="0066287F" w:rsidRDefault="00DE3D27" w:rsidP="0066287F">
      <w:pPr>
        <w:jc w:val="both"/>
      </w:pPr>
      <w:r w:rsidRPr="00DE3D27">
        <w:rPr>
          <w:rFonts w:ascii="Titillium" w:hAnsi="Titillium"/>
        </w:rPr>
        <w:t>Please see Appendix 2 for a list of activities that are out with scope of the Framework.</w:t>
      </w:r>
    </w:p>
    <w:p w14:paraId="74C457CF" w14:textId="4393D0EF" w:rsidR="00CA5B01" w:rsidRDefault="00CA5B01" w:rsidP="0067438B">
      <w:pPr>
        <w:pStyle w:val="NapierHeaders"/>
        <w:numPr>
          <w:ilvl w:val="0"/>
          <w:numId w:val="19"/>
        </w:numPr>
      </w:pPr>
      <w:bookmarkStart w:id="3" w:name="_Toc95132842"/>
      <w:r>
        <w:t>Costing and Pricing of Activities</w:t>
      </w:r>
      <w:bookmarkEnd w:id="3"/>
      <w:r>
        <w:t xml:space="preserve"> </w:t>
      </w:r>
    </w:p>
    <w:p w14:paraId="77F6881E" w14:textId="27F1652A" w:rsidR="00CA5B01" w:rsidRDefault="00CA5B01" w:rsidP="00672CE6">
      <w:pPr>
        <w:spacing w:after="0" w:line="240" w:lineRule="auto"/>
        <w:ind w:left="567"/>
        <w:jc w:val="both"/>
        <w:rPr>
          <w:rFonts w:ascii="Titillium" w:hAnsi="Titillium"/>
        </w:rPr>
      </w:pPr>
    </w:p>
    <w:p w14:paraId="2FD2D4BE" w14:textId="4B1F78CA" w:rsidR="00854E6C" w:rsidRDefault="00D37F82" w:rsidP="00854E6C">
      <w:pPr>
        <w:spacing w:after="0" w:line="240" w:lineRule="auto"/>
        <w:jc w:val="both"/>
        <w:rPr>
          <w:rFonts w:ascii="Titillium" w:hAnsi="Titillium"/>
        </w:rPr>
      </w:pPr>
      <w:r>
        <w:rPr>
          <w:rFonts w:ascii="Titillium" w:hAnsi="Titillium"/>
          <w:noProof/>
          <w:lang w:eastAsia="en-GB"/>
        </w:rPr>
        <w:drawing>
          <wp:anchor distT="0" distB="0" distL="114300" distR="114300" simplePos="0" relativeHeight="251699200" behindDoc="1" locked="0" layoutInCell="1" allowOverlap="1" wp14:anchorId="79104E0B" wp14:editId="74E0A809">
            <wp:simplePos x="0" y="0"/>
            <wp:positionH relativeFrom="margin">
              <wp:align>left</wp:align>
            </wp:positionH>
            <wp:positionV relativeFrom="paragraph">
              <wp:posOffset>53793</wp:posOffset>
            </wp:positionV>
            <wp:extent cx="593725" cy="593725"/>
            <wp:effectExtent l="0" t="0" r="0" b="0"/>
            <wp:wrapTight wrapText="bothSides">
              <wp:wrapPolygon edited="0">
                <wp:start x="0" y="0"/>
                <wp:lineTo x="0" y="20791"/>
                <wp:lineTo x="20791" y="20791"/>
                <wp:lineTo x="20791"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01">
        <w:rPr>
          <w:rFonts w:ascii="Titillium" w:hAnsi="Titillium"/>
        </w:rPr>
        <w:t>All activity must be costed and priced (at market rate) in conjunction with RIE and approved by either the Dean of School, Director of Service or Delegate Approver in advance of a final quote being submitted to the client. Indicative client quick quotes can be provided in advance of a final quote, however these are not legally binding.</w:t>
      </w:r>
      <w:r w:rsidR="00854E6C">
        <w:rPr>
          <w:rFonts w:ascii="Titillium" w:hAnsi="Titillium"/>
        </w:rPr>
        <w:t xml:space="preserve"> </w:t>
      </w:r>
      <w:r w:rsidR="00DE3D27">
        <w:rPr>
          <w:rFonts w:ascii="Titillium" w:hAnsi="Titillium"/>
        </w:rPr>
        <w:t xml:space="preserve">For indicative day rates, please see Appendix </w:t>
      </w:r>
      <w:r w:rsidR="00F52B59">
        <w:rPr>
          <w:rFonts w:ascii="Titillium" w:hAnsi="Titillium"/>
        </w:rPr>
        <w:t>3.</w:t>
      </w:r>
    </w:p>
    <w:p w14:paraId="44175F78" w14:textId="5363AE03" w:rsidR="00CA5B01" w:rsidRDefault="00DE3D27" w:rsidP="00DE3D27">
      <w:pPr>
        <w:spacing w:after="0" w:line="240" w:lineRule="auto"/>
        <w:jc w:val="both"/>
        <w:rPr>
          <w:rFonts w:ascii="Titillium" w:hAnsi="Titillium"/>
        </w:rPr>
      </w:pPr>
      <w:r>
        <w:rPr>
          <w:rFonts w:ascii="Titillium" w:hAnsi="Titillium"/>
        </w:rPr>
        <w:t xml:space="preserve"> </w:t>
      </w:r>
    </w:p>
    <w:p w14:paraId="4FB652AA" w14:textId="1A313AEE" w:rsidR="00CA5B01" w:rsidRDefault="00CA5B01" w:rsidP="00672CE6">
      <w:pPr>
        <w:spacing w:after="0" w:line="240" w:lineRule="auto"/>
        <w:jc w:val="both"/>
        <w:rPr>
          <w:rFonts w:ascii="Titillium" w:hAnsi="Titillium"/>
        </w:rPr>
      </w:pPr>
      <w:r>
        <w:rPr>
          <w:rFonts w:ascii="Titillium" w:hAnsi="Titillium"/>
        </w:rPr>
        <w:t>The full project cost quoted to the client will include:</w:t>
      </w:r>
    </w:p>
    <w:p w14:paraId="208E15F5" w14:textId="77777777" w:rsidR="00CA5B01" w:rsidRDefault="00CA5B01" w:rsidP="00672CE6">
      <w:pPr>
        <w:spacing w:after="0" w:line="240" w:lineRule="auto"/>
        <w:ind w:left="1134" w:hanging="567"/>
        <w:jc w:val="both"/>
        <w:rPr>
          <w:rFonts w:ascii="Titillium" w:hAnsi="Titillium"/>
        </w:rPr>
      </w:pPr>
    </w:p>
    <w:p w14:paraId="32EA406B" w14:textId="77777777" w:rsidR="00796905" w:rsidRDefault="00796905" w:rsidP="00796905">
      <w:pPr>
        <w:pStyle w:val="ListParagraph"/>
        <w:numPr>
          <w:ilvl w:val="0"/>
          <w:numId w:val="14"/>
        </w:numPr>
        <w:spacing w:after="0" w:line="240" w:lineRule="auto"/>
        <w:ind w:left="850" w:hanging="283"/>
        <w:jc w:val="both"/>
        <w:rPr>
          <w:rFonts w:ascii="Titillium" w:hAnsi="Titillium"/>
          <w:b/>
          <w:bCs/>
        </w:rPr>
      </w:pPr>
      <w:r>
        <w:rPr>
          <w:rFonts w:ascii="Titillium" w:hAnsi="Titillium"/>
          <w:b/>
          <w:bCs/>
        </w:rPr>
        <w:t>Directly Incurred Costs - C</w:t>
      </w:r>
      <w:r w:rsidRPr="00C646D1">
        <w:rPr>
          <w:rFonts w:ascii="Titillium" w:hAnsi="Titillium"/>
          <w:b/>
          <w:bCs/>
        </w:rPr>
        <w:t>osts which are explicitly identifiable as arising from the conduct of a project</w:t>
      </w:r>
      <w:r>
        <w:rPr>
          <w:rFonts w:ascii="Titillium" w:hAnsi="Titillium"/>
          <w:b/>
          <w:bCs/>
        </w:rPr>
        <w:t xml:space="preserve">. </w:t>
      </w:r>
    </w:p>
    <w:p w14:paraId="69159F55" w14:textId="77777777" w:rsidR="00796905" w:rsidRDefault="00796905" w:rsidP="00796905">
      <w:pPr>
        <w:spacing w:line="240" w:lineRule="auto"/>
        <w:ind w:left="283" w:firstLine="567"/>
        <w:jc w:val="both"/>
        <w:rPr>
          <w:rFonts w:ascii="Titillium" w:hAnsi="Titillium"/>
        </w:rPr>
      </w:pPr>
      <w:r>
        <w:rPr>
          <w:rFonts w:ascii="Titillium" w:hAnsi="Titillium"/>
        </w:rPr>
        <w:t>Consumables</w:t>
      </w:r>
    </w:p>
    <w:p w14:paraId="6522C28B" w14:textId="6F2B3ED0" w:rsidR="00796905" w:rsidRDefault="00796905" w:rsidP="00796905">
      <w:pPr>
        <w:spacing w:line="240" w:lineRule="auto"/>
        <w:ind w:left="283" w:firstLine="567"/>
        <w:jc w:val="both"/>
        <w:rPr>
          <w:rFonts w:ascii="Titillium" w:hAnsi="Titillium"/>
        </w:rPr>
      </w:pPr>
      <w:r>
        <w:rPr>
          <w:rFonts w:ascii="Titillium" w:hAnsi="Titillium"/>
        </w:rPr>
        <w:t>Travel and subsistence</w:t>
      </w:r>
    </w:p>
    <w:p w14:paraId="018E3AFF" w14:textId="77777777" w:rsidR="00796905" w:rsidRDefault="00796905" w:rsidP="00796905">
      <w:pPr>
        <w:spacing w:line="240" w:lineRule="auto"/>
        <w:ind w:left="850"/>
        <w:jc w:val="both"/>
        <w:rPr>
          <w:rFonts w:ascii="Titillium" w:hAnsi="Titillium"/>
        </w:rPr>
      </w:pPr>
      <w:r>
        <w:rPr>
          <w:rFonts w:ascii="Titillium" w:hAnsi="Titillium"/>
        </w:rPr>
        <w:t>Any equipment and software</w:t>
      </w:r>
    </w:p>
    <w:p w14:paraId="0AE0B52D" w14:textId="3F63EA25" w:rsidR="00796905" w:rsidRDefault="00796905" w:rsidP="00796905">
      <w:pPr>
        <w:spacing w:line="240" w:lineRule="auto"/>
        <w:ind w:left="850"/>
        <w:jc w:val="both"/>
        <w:rPr>
          <w:rFonts w:ascii="Titillium" w:hAnsi="Titillium"/>
        </w:rPr>
      </w:pPr>
      <w:r>
        <w:rPr>
          <w:rFonts w:ascii="Titillium" w:hAnsi="Titillium"/>
        </w:rPr>
        <w:t>Any other identifiable direct costs (</w:t>
      </w:r>
      <w:proofErr w:type="gramStart"/>
      <w:r>
        <w:rPr>
          <w:rFonts w:ascii="Titillium" w:hAnsi="Titillium"/>
        </w:rPr>
        <w:t>e.g.</w:t>
      </w:r>
      <w:proofErr w:type="gramEnd"/>
      <w:r>
        <w:rPr>
          <w:rFonts w:ascii="Titillium" w:hAnsi="Titillium"/>
        </w:rPr>
        <w:t xml:space="preserve"> administration costs, research and technical assistant costs (non-academic staff), professional services)</w:t>
      </w:r>
    </w:p>
    <w:p w14:paraId="6993433B" w14:textId="77777777" w:rsidR="00796905" w:rsidRDefault="00796905" w:rsidP="00796905">
      <w:pPr>
        <w:pStyle w:val="ListParagraph"/>
        <w:numPr>
          <w:ilvl w:val="0"/>
          <w:numId w:val="14"/>
        </w:numPr>
        <w:spacing w:after="0" w:line="240" w:lineRule="auto"/>
        <w:ind w:left="850" w:hanging="283"/>
        <w:jc w:val="both"/>
        <w:rPr>
          <w:rFonts w:ascii="Titillium" w:hAnsi="Titillium"/>
          <w:b/>
          <w:bCs/>
        </w:rPr>
      </w:pPr>
      <w:r>
        <w:rPr>
          <w:rFonts w:ascii="Titillium" w:hAnsi="Titillium"/>
          <w:b/>
          <w:bCs/>
        </w:rPr>
        <w:t xml:space="preserve">Directly allocated costs - </w:t>
      </w:r>
      <w:r w:rsidRPr="00457088">
        <w:rPr>
          <w:rFonts w:ascii="Titillium" w:hAnsi="Titillium"/>
          <w:b/>
          <w:bCs/>
        </w:rPr>
        <w:t>Costs of resources used by a project</w:t>
      </w:r>
      <w:r w:rsidRPr="00457088">
        <w:rPr>
          <w:rFonts w:ascii="Calibri" w:hAnsi="Calibri" w:cs="Calibri"/>
          <w:b/>
          <w:bCs/>
        </w:rPr>
        <w:t> </w:t>
      </w:r>
      <w:r w:rsidRPr="00457088">
        <w:rPr>
          <w:rFonts w:ascii="Titillium" w:hAnsi="Titillium"/>
          <w:b/>
          <w:bCs/>
        </w:rPr>
        <w:t>that are shared by other activities.</w:t>
      </w:r>
    </w:p>
    <w:p w14:paraId="4796D199" w14:textId="771A5452" w:rsidR="00796905" w:rsidRDefault="00796905" w:rsidP="00796905">
      <w:pPr>
        <w:ind w:left="850"/>
        <w:jc w:val="both"/>
        <w:rPr>
          <w:rFonts w:ascii="Titillium" w:hAnsi="Titillium"/>
        </w:rPr>
      </w:pPr>
      <w:r>
        <w:rPr>
          <w:rFonts w:ascii="Titillium" w:hAnsi="Titillium"/>
        </w:rPr>
        <w:t xml:space="preserve">Staff time, including on-costs (Employer’s national insurance and pension contributions) </w:t>
      </w:r>
    </w:p>
    <w:p w14:paraId="426BEFC5" w14:textId="0AE23BC0" w:rsidR="00796905" w:rsidRDefault="00796905" w:rsidP="00796905">
      <w:pPr>
        <w:pStyle w:val="ListParagraph"/>
        <w:numPr>
          <w:ilvl w:val="0"/>
          <w:numId w:val="14"/>
        </w:numPr>
        <w:spacing w:after="0" w:line="240" w:lineRule="auto"/>
        <w:ind w:left="927"/>
        <w:jc w:val="both"/>
        <w:rPr>
          <w:rFonts w:ascii="Titillium" w:hAnsi="Titillium"/>
          <w:b/>
          <w:bCs/>
        </w:rPr>
      </w:pPr>
      <w:r w:rsidRPr="003100E9">
        <w:rPr>
          <w:rFonts w:ascii="Titillium" w:hAnsi="Titillium"/>
          <w:b/>
          <w:bCs/>
        </w:rPr>
        <w:t xml:space="preserve">Estate and Indirect Costs – </w:t>
      </w:r>
      <w:proofErr w:type="spellStart"/>
      <w:proofErr w:type="gramStart"/>
      <w:r w:rsidRPr="003100E9">
        <w:rPr>
          <w:rFonts w:ascii="Titillium" w:hAnsi="Titillium"/>
          <w:b/>
          <w:bCs/>
        </w:rPr>
        <w:t>Non specific</w:t>
      </w:r>
      <w:proofErr w:type="spellEnd"/>
      <w:proofErr w:type="gramEnd"/>
      <w:r w:rsidRPr="003100E9">
        <w:rPr>
          <w:rFonts w:ascii="Titillium" w:hAnsi="Titillium"/>
          <w:b/>
          <w:bCs/>
        </w:rPr>
        <w:t xml:space="preserve"> costs charged across all projects</w:t>
      </w:r>
      <w:r>
        <w:rPr>
          <w:rFonts w:ascii="Titillium" w:hAnsi="Titillium"/>
          <w:b/>
          <w:bCs/>
        </w:rPr>
        <w:t xml:space="preserve"> (</w:t>
      </w:r>
      <w:proofErr w:type="spellStart"/>
      <w:r>
        <w:rPr>
          <w:rFonts w:ascii="Titillium" w:hAnsi="Titillium"/>
          <w:b/>
          <w:bCs/>
        </w:rPr>
        <w:t>E.g</w:t>
      </w:r>
      <w:proofErr w:type="spellEnd"/>
      <w:r>
        <w:rPr>
          <w:rFonts w:ascii="Titillium" w:hAnsi="Titillium"/>
          <w:b/>
          <w:bCs/>
        </w:rPr>
        <w:t xml:space="preserve"> admin, finance, Business Development)</w:t>
      </w:r>
      <w:r w:rsidRPr="003100E9">
        <w:rPr>
          <w:rFonts w:ascii="Titillium" w:hAnsi="Titillium"/>
          <w:b/>
          <w:bCs/>
        </w:rPr>
        <w:t xml:space="preserve">. </w:t>
      </w:r>
    </w:p>
    <w:p w14:paraId="241AFDE2" w14:textId="77777777" w:rsidR="00796905" w:rsidRPr="00796905" w:rsidRDefault="00796905" w:rsidP="00796905">
      <w:pPr>
        <w:pStyle w:val="ListParagraph"/>
        <w:spacing w:after="0" w:line="240" w:lineRule="auto"/>
        <w:ind w:left="927"/>
        <w:jc w:val="both"/>
        <w:rPr>
          <w:rFonts w:ascii="Titillium" w:hAnsi="Titillium"/>
          <w:b/>
          <w:bCs/>
        </w:rPr>
      </w:pPr>
    </w:p>
    <w:p w14:paraId="41DA3301" w14:textId="77777777" w:rsidR="00796905" w:rsidRPr="00874F34" w:rsidRDefault="00796905" w:rsidP="00796905">
      <w:pPr>
        <w:pStyle w:val="ListParagraph"/>
        <w:numPr>
          <w:ilvl w:val="0"/>
          <w:numId w:val="14"/>
        </w:numPr>
        <w:spacing w:after="0" w:line="240" w:lineRule="auto"/>
        <w:ind w:left="850" w:hanging="283"/>
        <w:jc w:val="both"/>
        <w:rPr>
          <w:rFonts w:ascii="Titillium" w:hAnsi="Titillium"/>
          <w:b/>
          <w:bCs/>
        </w:rPr>
      </w:pPr>
      <w:r w:rsidRPr="00874F34">
        <w:rPr>
          <w:rFonts w:ascii="Titillium" w:hAnsi="Titillium"/>
          <w:b/>
          <w:bCs/>
        </w:rPr>
        <w:t>Surplus</w:t>
      </w:r>
      <w:r>
        <w:rPr>
          <w:rFonts w:ascii="Titillium" w:hAnsi="Titillium"/>
          <w:b/>
          <w:bCs/>
        </w:rPr>
        <w:t xml:space="preserve"> </w:t>
      </w:r>
    </w:p>
    <w:p w14:paraId="6AE3906B" w14:textId="77777777" w:rsidR="00796905" w:rsidRDefault="00796905" w:rsidP="00796905">
      <w:pPr>
        <w:ind w:left="850"/>
        <w:jc w:val="both"/>
        <w:rPr>
          <w:rFonts w:ascii="Titillium" w:hAnsi="Titillium"/>
        </w:rPr>
      </w:pPr>
      <w:r>
        <w:rPr>
          <w:rFonts w:ascii="Titillium" w:hAnsi="Titillium"/>
        </w:rPr>
        <w:t>The Surplus on consultancy and commercial activity is based on the following three price components: the academic time, the estates and indirect costs and any profit uplift.</w:t>
      </w:r>
    </w:p>
    <w:p w14:paraId="45DA41F5" w14:textId="256FB424" w:rsidR="008E0138" w:rsidRDefault="008E0138" w:rsidP="000E732B">
      <w:pPr>
        <w:spacing w:after="0" w:line="240" w:lineRule="auto"/>
        <w:jc w:val="both"/>
      </w:pPr>
    </w:p>
    <w:p w14:paraId="40E53B03" w14:textId="372171BB" w:rsidR="00877709" w:rsidRDefault="00877709" w:rsidP="0067438B">
      <w:pPr>
        <w:pStyle w:val="NapierHeaders"/>
        <w:numPr>
          <w:ilvl w:val="0"/>
          <w:numId w:val="19"/>
        </w:numPr>
      </w:pPr>
      <w:bookmarkStart w:id="4" w:name="_Toc95132843"/>
      <w:r>
        <w:t>Division of Fees</w:t>
      </w:r>
      <w:bookmarkEnd w:id="4"/>
      <w:r>
        <w:t xml:space="preserve"> </w:t>
      </w:r>
    </w:p>
    <w:p w14:paraId="3D741750" w14:textId="4825EB0B" w:rsidR="00877709" w:rsidRDefault="00877709" w:rsidP="00672CE6">
      <w:pPr>
        <w:spacing w:after="0" w:line="240" w:lineRule="auto"/>
        <w:ind w:left="567"/>
        <w:jc w:val="both"/>
        <w:rPr>
          <w:rFonts w:ascii="Titillium" w:hAnsi="Titillium"/>
        </w:rPr>
      </w:pPr>
    </w:p>
    <w:p w14:paraId="30214FF8" w14:textId="0D339D7C" w:rsidR="00DE3D27" w:rsidRDefault="00590CB2" w:rsidP="00672CE6">
      <w:pPr>
        <w:spacing w:after="0" w:line="240" w:lineRule="auto"/>
        <w:jc w:val="both"/>
        <w:rPr>
          <w:rFonts w:ascii="Titillium" w:hAnsi="Titillium"/>
        </w:rPr>
      </w:pPr>
      <w:r w:rsidRPr="00D1182A">
        <w:rPr>
          <w:rFonts w:ascii="Interstate Light" w:hAnsi="Interstate Light" w:cstheme="minorHAnsi"/>
          <w:noProof/>
          <w:sz w:val="24"/>
          <w:szCs w:val="24"/>
          <w:lang w:eastAsia="en-GB"/>
        </w:rPr>
        <w:drawing>
          <wp:anchor distT="0" distB="0" distL="114300" distR="114300" simplePos="0" relativeHeight="251703296" behindDoc="1" locked="0" layoutInCell="1" allowOverlap="1" wp14:anchorId="128E0345" wp14:editId="61502ED0">
            <wp:simplePos x="0" y="0"/>
            <wp:positionH relativeFrom="margin">
              <wp:align>left</wp:align>
            </wp:positionH>
            <wp:positionV relativeFrom="paragraph">
              <wp:posOffset>46355</wp:posOffset>
            </wp:positionV>
            <wp:extent cx="594000" cy="594000"/>
            <wp:effectExtent l="0" t="0" r="0" b="0"/>
            <wp:wrapTight wrapText="bothSides">
              <wp:wrapPolygon edited="0">
                <wp:start x="0" y="0"/>
                <wp:lineTo x="0" y="20791"/>
                <wp:lineTo x="18019" y="20791"/>
                <wp:lineTo x="20791" y="17326"/>
                <wp:lineTo x="20791" y="0"/>
                <wp:lineTo x="0" y="0"/>
              </wp:wrapPolygon>
            </wp:wrapTight>
            <wp:docPr id="5" name="Picture 5" descr="C:\Users\40013672\AppData\Local\Temp\Temp1_ENU Icons PNG.zip\PNG\General ICONS\ENU Icons_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013672\AppData\Local\Temp\Temp1_ENU Icons PNG.zip\PNG\General ICONS\ENU Icons_04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D27">
        <w:rPr>
          <w:rFonts w:ascii="Titillium" w:hAnsi="Titillium"/>
        </w:rPr>
        <w:t xml:space="preserve">On condition that the relevant processes have been followed and approvals are sought in advance of the project starting, staff members will be entitled to </w:t>
      </w:r>
      <w:r w:rsidR="0076057C">
        <w:rPr>
          <w:rFonts w:ascii="Titillium" w:hAnsi="Titillium"/>
        </w:rPr>
        <w:t xml:space="preserve">submit a claim for </w:t>
      </w:r>
      <w:proofErr w:type="gramStart"/>
      <w:r w:rsidR="00B64873">
        <w:rPr>
          <w:rFonts w:ascii="Titillium" w:hAnsi="Titillium"/>
        </w:rPr>
        <w:t xml:space="preserve">the </w:t>
      </w:r>
      <w:r w:rsidR="00DE3D27">
        <w:rPr>
          <w:rFonts w:ascii="Titillium" w:hAnsi="Titillium"/>
        </w:rPr>
        <w:t>majority of</w:t>
      </w:r>
      <w:proofErr w:type="gramEnd"/>
      <w:r w:rsidR="00DE3D27">
        <w:rPr>
          <w:rFonts w:ascii="Titillium" w:hAnsi="Titillium"/>
        </w:rPr>
        <w:t xml:space="preserve"> the</w:t>
      </w:r>
      <w:r w:rsidR="00B425E4">
        <w:rPr>
          <w:rFonts w:ascii="Titillium" w:hAnsi="Titillium"/>
        </w:rPr>
        <w:t>ir</w:t>
      </w:r>
      <w:r w:rsidR="00DE3D27">
        <w:rPr>
          <w:rFonts w:ascii="Titillium" w:hAnsi="Titillium"/>
        </w:rPr>
        <w:t xml:space="preserve"> staff cost and surplus</w:t>
      </w:r>
      <w:r w:rsidR="00C87C91">
        <w:rPr>
          <w:rFonts w:ascii="Titillium" w:hAnsi="Titillium"/>
        </w:rPr>
        <w:t>.</w:t>
      </w:r>
      <w:r w:rsidR="00DE3D27">
        <w:rPr>
          <w:rFonts w:ascii="Titillium" w:hAnsi="Titillium"/>
        </w:rPr>
        <w:t xml:space="preserve"> Given the University </w:t>
      </w:r>
      <w:r w:rsidR="0076057C">
        <w:rPr>
          <w:rFonts w:ascii="Titillium" w:hAnsi="Titillium"/>
        </w:rPr>
        <w:t>will manage</w:t>
      </w:r>
      <w:r w:rsidR="00DE3D27">
        <w:rPr>
          <w:rFonts w:ascii="Titillium" w:hAnsi="Titillium"/>
        </w:rPr>
        <w:t xml:space="preserve"> the risk </w:t>
      </w:r>
      <w:r w:rsidR="0076057C">
        <w:rPr>
          <w:rFonts w:ascii="Titillium" w:hAnsi="Titillium"/>
        </w:rPr>
        <w:t>associated with conducting</w:t>
      </w:r>
      <w:r w:rsidR="00DE3D27">
        <w:rPr>
          <w:rFonts w:ascii="Titillium" w:hAnsi="Titillium"/>
        </w:rPr>
        <w:t xml:space="preserve"> the projects, the staff member will still be entitled to receive their </w:t>
      </w:r>
      <w:r w:rsidR="00492F76">
        <w:rPr>
          <w:rFonts w:ascii="Titillium" w:hAnsi="Titillium"/>
        </w:rPr>
        <w:t>additional payment</w:t>
      </w:r>
      <w:r w:rsidR="00DE3D27">
        <w:rPr>
          <w:rFonts w:ascii="Titillium" w:hAnsi="Titillium"/>
        </w:rPr>
        <w:t xml:space="preserve">, even if </w:t>
      </w:r>
      <w:r w:rsidR="00492F76">
        <w:rPr>
          <w:rFonts w:ascii="Titillium" w:hAnsi="Titillium"/>
        </w:rPr>
        <w:t xml:space="preserve">there is non-payment from </w:t>
      </w:r>
      <w:r w:rsidR="00DE3D27">
        <w:rPr>
          <w:rFonts w:ascii="Titillium" w:hAnsi="Titillium"/>
        </w:rPr>
        <w:t>the</w:t>
      </w:r>
      <w:r w:rsidR="0076057C">
        <w:rPr>
          <w:rFonts w:ascii="Titillium" w:hAnsi="Titillium"/>
        </w:rPr>
        <w:t xml:space="preserve"> client</w:t>
      </w:r>
      <w:r w:rsidR="00492F76">
        <w:rPr>
          <w:rFonts w:ascii="Titillium" w:hAnsi="Titillium"/>
        </w:rPr>
        <w:t xml:space="preserve">. All </w:t>
      </w:r>
      <w:proofErr w:type="gramStart"/>
      <w:r w:rsidR="00492F76">
        <w:rPr>
          <w:rFonts w:ascii="Titillium" w:hAnsi="Titillium"/>
        </w:rPr>
        <w:t>non-payment</w:t>
      </w:r>
      <w:proofErr w:type="gramEnd"/>
      <w:r w:rsidR="00492F76">
        <w:rPr>
          <w:rFonts w:ascii="Titillium" w:hAnsi="Titillium"/>
        </w:rPr>
        <w:t xml:space="preserve"> will </w:t>
      </w:r>
      <w:r w:rsidR="0076057C">
        <w:rPr>
          <w:rFonts w:ascii="Titillium" w:hAnsi="Titillium"/>
        </w:rPr>
        <w:t xml:space="preserve">be </w:t>
      </w:r>
      <w:r w:rsidR="00193D34">
        <w:rPr>
          <w:rFonts w:ascii="Titillium" w:hAnsi="Titillium"/>
        </w:rPr>
        <w:t>handled</w:t>
      </w:r>
      <w:r w:rsidR="0076057C">
        <w:rPr>
          <w:rFonts w:ascii="Titillium" w:hAnsi="Titillium"/>
        </w:rPr>
        <w:t xml:space="preserve"> by </w:t>
      </w:r>
      <w:r w:rsidR="00492F76">
        <w:rPr>
          <w:rFonts w:ascii="Titillium" w:hAnsi="Titillium"/>
        </w:rPr>
        <w:t xml:space="preserve">ENU’s </w:t>
      </w:r>
      <w:r w:rsidR="0076057C">
        <w:rPr>
          <w:rFonts w:ascii="Titillium" w:hAnsi="Titillium"/>
        </w:rPr>
        <w:t>Credit Control</w:t>
      </w:r>
      <w:r w:rsidR="00C87C91">
        <w:rPr>
          <w:rFonts w:ascii="Titillium" w:hAnsi="Titillium"/>
        </w:rPr>
        <w:t xml:space="preserve"> and Finance</w:t>
      </w:r>
      <w:r w:rsidR="0076057C">
        <w:rPr>
          <w:rFonts w:ascii="Titillium" w:hAnsi="Titillium"/>
        </w:rPr>
        <w:t xml:space="preserve"> </w:t>
      </w:r>
      <w:r w:rsidR="00795567">
        <w:rPr>
          <w:rFonts w:ascii="Titillium" w:hAnsi="Titillium"/>
        </w:rPr>
        <w:t>proce</w:t>
      </w:r>
      <w:r w:rsidR="00193D34">
        <w:rPr>
          <w:rFonts w:ascii="Titillium" w:hAnsi="Titillium"/>
        </w:rPr>
        <w:t>sses</w:t>
      </w:r>
      <w:r w:rsidR="00563E08">
        <w:rPr>
          <w:rFonts w:ascii="Titillium" w:hAnsi="Titillium"/>
        </w:rPr>
        <w:t xml:space="preserve">. </w:t>
      </w:r>
      <w:r w:rsidR="00877709">
        <w:rPr>
          <w:rFonts w:ascii="Titillium" w:hAnsi="Titillium"/>
        </w:rPr>
        <w:t xml:space="preserve">After the deduction of any </w:t>
      </w:r>
      <w:r w:rsidR="009F5CA4">
        <w:rPr>
          <w:rFonts w:ascii="Titillium" w:hAnsi="Titillium"/>
        </w:rPr>
        <w:t>directly incurred</w:t>
      </w:r>
      <w:r w:rsidR="00B425E4">
        <w:rPr>
          <w:rFonts w:ascii="Titillium" w:hAnsi="Titillium"/>
        </w:rPr>
        <w:t xml:space="preserve"> </w:t>
      </w:r>
      <w:r w:rsidR="009F5CA4">
        <w:rPr>
          <w:rFonts w:ascii="Titillium" w:hAnsi="Titillium"/>
        </w:rPr>
        <w:t xml:space="preserve"> </w:t>
      </w:r>
      <w:r w:rsidR="00877709">
        <w:rPr>
          <w:rFonts w:ascii="Titillium" w:hAnsi="Titillium"/>
        </w:rPr>
        <w:t xml:space="preserve"> </w:t>
      </w:r>
      <w:r w:rsidR="00877709">
        <w:rPr>
          <w:rFonts w:ascii="Titillium" w:hAnsi="Titillium"/>
        </w:rPr>
        <w:lastRenderedPageBreak/>
        <w:t>costs</w:t>
      </w:r>
      <w:r w:rsidR="00B425E4">
        <w:rPr>
          <w:rFonts w:ascii="Titillium" w:hAnsi="Titillium"/>
        </w:rPr>
        <w:t xml:space="preserve"> (including any associated Estate and Indirect costs related to Directly Incurred staff)</w:t>
      </w:r>
      <w:r w:rsidR="00877709">
        <w:rPr>
          <w:rFonts w:ascii="Titillium" w:hAnsi="Titillium"/>
        </w:rPr>
        <w:t>,</w:t>
      </w:r>
      <w:r w:rsidR="00877709" w:rsidRPr="007F1666">
        <w:rPr>
          <w:rFonts w:ascii="Titillium" w:hAnsi="Titillium"/>
        </w:rPr>
        <w:t xml:space="preserve"> </w:t>
      </w:r>
      <w:r w:rsidR="00877709">
        <w:rPr>
          <w:rFonts w:ascii="Titillium" w:hAnsi="Titillium"/>
        </w:rPr>
        <w:t xml:space="preserve">national insurance and pension costs, the distribution of </w:t>
      </w:r>
      <w:r w:rsidR="00563E08">
        <w:rPr>
          <w:rFonts w:ascii="Titillium" w:hAnsi="Titillium"/>
        </w:rPr>
        <w:t>income will be made as follows:</w:t>
      </w:r>
    </w:p>
    <w:p w14:paraId="6AEFE1A7" w14:textId="0861C4E1" w:rsidR="00877709" w:rsidRDefault="00877709" w:rsidP="00672CE6">
      <w:pPr>
        <w:spacing w:after="0" w:line="240" w:lineRule="auto"/>
        <w:ind w:left="567"/>
        <w:jc w:val="both"/>
        <w:rPr>
          <w:rFonts w:ascii="Titillium" w:hAnsi="Titillium"/>
        </w:rPr>
      </w:pPr>
    </w:p>
    <w:p w14:paraId="0FB0C4B3" w14:textId="77777777" w:rsidR="00877709" w:rsidRPr="00BF45D3" w:rsidRDefault="00877709" w:rsidP="00672CE6">
      <w:pPr>
        <w:pStyle w:val="ListParagraph"/>
        <w:numPr>
          <w:ilvl w:val="0"/>
          <w:numId w:val="14"/>
        </w:numPr>
        <w:spacing w:after="0" w:line="240" w:lineRule="auto"/>
        <w:ind w:left="567" w:hanging="283"/>
        <w:jc w:val="both"/>
        <w:rPr>
          <w:rFonts w:ascii="Titillium" w:hAnsi="Titillium"/>
          <w:b/>
          <w:bCs/>
        </w:rPr>
      </w:pPr>
      <w:r w:rsidRPr="00BF45D3">
        <w:rPr>
          <w:rFonts w:ascii="Titillium" w:hAnsi="Titillium"/>
          <w:b/>
          <w:bCs/>
        </w:rPr>
        <w:t xml:space="preserve">75% to </w:t>
      </w:r>
      <w:r>
        <w:rPr>
          <w:rFonts w:ascii="Titillium" w:hAnsi="Titillium"/>
          <w:b/>
          <w:bCs/>
        </w:rPr>
        <w:t xml:space="preserve">Staff Member </w:t>
      </w:r>
    </w:p>
    <w:p w14:paraId="0B76B26A" w14:textId="412584DA" w:rsidR="00877709" w:rsidRPr="00BF45D3" w:rsidRDefault="00877709" w:rsidP="00672CE6">
      <w:pPr>
        <w:pStyle w:val="ListParagraph"/>
        <w:numPr>
          <w:ilvl w:val="0"/>
          <w:numId w:val="14"/>
        </w:numPr>
        <w:spacing w:after="0" w:line="240" w:lineRule="auto"/>
        <w:ind w:left="567" w:hanging="283"/>
        <w:jc w:val="both"/>
        <w:rPr>
          <w:rFonts w:ascii="Titillium" w:hAnsi="Titillium"/>
          <w:b/>
          <w:bCs/>
        </w:rPr>
      </w:pPr>
      <w:r w:rsidRPr="00BF45D3">
        <w:rPr>
          <w:rFonts w:ascii="Titillium" w:hAnsi="Titillium"/>
          <w:b/>
          <w:bCs/>
        </w:rPr>
        <w:t>25% to University</w:t>
      </w:r>
    </w:p>
    <w:p w14:paraId="3154D239" w14:textId="0B6CCA7D" w:rsidR="00877709" w:rsidRDefault="00877709" w:rsidP="00672CE6">
      <w:pPr>
        <w:spacing w:after="0" w:line="240" w:lineRule="auto"/>
        <w:jc w:val="both"/>
        <w:rPr>
          <w:rFonts w:ascii="Titillium" w:hAnsi="Titillium"/>
        </w:rPr>
      </w:pPr>
    </w:p>
    <w:p w14:paraId="1E119D2A" w14:textId="78B5A525" w:rsidR="00877709" w:rsidRDefault="00877709" w:rsidP="00672CE6">
      <w:pPr>
        <w:spacing w:after="0" w:line="240" w:lineRule="auto"/>
        <w:jc w:val="both"/>
        <w:rPr>
          <w:rFonts w:ascii="Titillium" w:hAnsi="Titillium"/>
        </w:rPr>
      </w:pPr>
      <w:r>
        <w:rPr>
          <w:rFonts w:ascii="Titillium" w:hAnsi="Titillium"/>
        </w:rPr>
        <w:t>Once the activity has been concluded and the invoice has been issued, the distribution of t</w:t>
      </w:r>
      <w:r w:rsidR="00DE0405">
        <w:rPr>
          <w:rFonts w:ascii="Titillium" w:hAnsi="Titillium"/>
        </w:rPr>
        <w:t xml:space="preserve">he fee will be paid via Payroll. It is the staff member’s responsibility </w:t>
      </w:r>
      <w:r w:rsidR="00F07617">
        <w:rPr>
          <w:rFonts w:ascii="Titillium" w:hAnsi="Titillium"/>
        </w:rPr>
        <w:t>to check with the E</w:t>
      </w:r>
      <w:r w:rsidR="00570E4E">
        <w:rPr>
          <w:rFonts w:ascii="Titillium" w:hAnsi="Titillium"/>
        </w:rPr>
        <w:t>xternal Project Officer</w:t>
      </w:r>
      <w:r w:rsidR="00F07617">
        <w:rPr>
          <w:rFonts w:ascii="Titillium" w:hAnsi="Titillium"/>
        </w:rPr>
        <w:t xml:space="preserve"> their claimable amount and </w:t>
      </w:r>
      <w:r w:rsidR="00DE0405">
        <w:rPr>
          <w:rFonts w:ascii="Titillium" w:hAnsi="Titillium"/>
        </w:rPr>
        <w:t>to raise a payment claim through HR Connect, within two months of the completion of the work</w:t>
      </w:r>
      <w:r w:rsidR="0076041F">
        <w:rPr>
          <w:rFonts w:ascii="Titillium" w:hAnsi="Titillium"/>
        </w:rPr>
        <w:t xml:space="preserve">. If no claim is submitted within two months, the staff member </w:t>
      </w:r>
      <w:r w:rsidR="00B64873">
        <w:rPr>
          <w:rFonts w:ascii="Titillium" w:hAnsi="Titillium"/>
        </w:rPr>
        <w:t>forfeits</w:t>
      </w:r>
      <w:r w:rsidR="0076041F">
        <w:rPr>
          <w:rFonts w:ascii="Titillium" w:hAnsi="Titillium"/>
        </w:rPr>
        <w:t xml:space="preserve"> the opportunity for an additional payment as relevant budget codes will be closed.</w:t>
      </w:r>
      <w:r w:rsidR="00DE0405">
        <w:rPr>
          <w:rFonts w:ascii="Titillium" w:hAnsi="Titillium"/>
        </w:rPr>
        <w:t xml:space="preserve"> </w:t>
      </w:r>
      <w:r w:rsidR="00B64873">
        <w:rPr>
          <w:rFonts w:ascii="Titillium" w:hAnsi="Titillium"/>
        </w:rPr>
        <w:t>The payment</w:t>
      </w:r>
      <w:r>
        <w:rPr>
          <w:rFonts w:ascii="Titillium" w:hAnsi="Titillium"/>
        </w:rPr>
        <w:t xml:space="preserve"> will be subject to tax and national insurance deductions in the normal way via PAYE. </w:t>
      </w:r>
      <w:r w:rsidR="00DB4953" w:rsidRPr="00DB4953">
        <w:rPr>
          <w:rFonts w:ascii="Titillium" w:hAnsi="Titillium"/>
        </w:rPr>
        <w:t>If more than one staff member</w:t>
      </w:r>
      <w:r w:rsidR="00492F76">
        <w:rPr>
          <w:rFonts w:ascii="Titillium" w:hAnsi="Titillium"/>
        </w:rPr>
        <w:t xml:space="preserve"> is involved in a project, the fee</w:t>
      </w:r>
      <w:r w:rsidR="00B425E4">
        <w:rPr>
          <w:rFonts w:ascii="Titillium" w:hAnsi="Titillium"/>
        </w:rPr>
        <w:t xml:space="preserve"> and surplus</w:t>
      </w:r>
      <w:r w:rsidR="00492F76">
        <w:rPr>
          <w:rFonts w:ascii="Titillium" w:hAnsi="Titillium"/>
        </w:rPr>
        <w:t xml:space="preserve"> split </w:t>
      </w:r>
      <w:r w:rsidR="00DB4953" w:rsidRPr="00DB4953">
        <w:rPr>
          <w:rFonts w:ascii="Titillium" w:hAnsi="Titillium"/>
        </w:rPr>
        <w:t xml:space="preserve">will be relative to the time spent on project as approved by relevant line </w:t>
      </w:r>
      <w:r w:rsidR="00492F76">
        <w:rPr>
          <w:rFonts w:ascii="Titillium" w:hAnsi="Titillium"/>
        </w:rPr>
        <w:t>managers</w:t>
      </w:r>
      <w:r w:rsidR="00DB4953" w:rsidRPr="00DB4953">
        <w:rPr>
          <w:rFonts w:ascii="Titillium" w:hAnsi="Titillium"/>
        </w:rPr>
        <w:t xml:space="preserve"> and on </w:t>
      </w:r>
      <w:proofErr w:type="spellStart"/>
      <w:r w:rsidR="00DB4953" w:rsidRPr="00DB4953">
        <w:rPr>
          <w:rFonts w:ascii="Titillium" w:hAnsi="Titillium"/>
        </w:rPr>
        <w:t>Worktribe</w:t>
      </w:r>
      <w:proofErr w:type="spellEnd"/>
      <w:r w:rsidR="00DB4953" w:rsidRPr="00DB4953">
        <w:rPr>
          <w:rFonts w:ascii="Titillium" w:hAnsi="Titillium"/>
        </w:rPr>
        <w:t>.</w:t>
      </w:r>
    </w:p>
    <w:p w14:paraId="31553EB6" w14:textId="77777777" w:rsidR="00672CE6" w:rsidRDefault="00672CE6">
      <w:pPr>
        <w:rPr>
          <w:rFonts w:ascii="Interstate Regular" w:eastAsiaTheme="majorEastAsia" w:hAnsi="Interstate Regular" w:cstheme="majorBidi"/>
          <w:color w:val="E5233F"/>
          <w:sz w:val="32"/>
          <w:szCs w:val="32"/>
        </w:rPr>
      </w:pPr>
    </w:p>
    <w:p w14:paraId="1F24DC22" w14:textId="5C4D270B" w:rsidR="00877709" w:rsidRPr="0067438B" w:rsidRDefault="00563E08" w:rsidP="0067438B">
      <w:pPr>
        <w:pStyle w:val="ListParagraph"/>
        <w:numPr>
          <w:ilvl w:val="0"/>
          <w:numId w:val="19"/>
        </w:numPr>
        <w:rPr>
          <w:rFonts w:ascii="Interstate Regular" w:eastAsiaTheme="majorEastAsia" w:hAnsi="Interstate Regular" w:cstheme="majorBidi"/>
          <w:color w:val="E5233F"/>
          <w:sz w:val="32"/>
          <w:szCs w:val="32"/>
        </w:rPr>
      </w:pPr>
      <w:r w:rsidRPr="0067438B">
        <w:rPr>
          <w:rFonts w:ascii="Interstate Regular" w:eastAsiaTheme="majorEastAsia" w:hAnsi="Interstate Regular" w:cstheme="majorBidi"/>
          <w:color w:val="E5233F"/>
          <w:sz w:val="32"/>
          <w:szCs w:val="32"/>
        </w:rPr>
        <w:t>Approvals</w:t>
      </w:r>
    </w:p>
    <w:p w14:paraId="7E7C8D50" w14:textId="3C7C223E" w:rsidR="00877709" w:rsidRDefault="00E57A7D" w:rsidP="00492F76">
      <w:pPr>
        <w:spacing w:after="0" w:line="240" w:lineRule="auto"/>
        <w:jc w:val="both"/>
        <w:rPr>
          <w:rFonts w:ascii="Titillium" w:hAnsi="Titillium"/>
        </w:rPr>
      </w:pPr>
      <w:r w:rsidRPr="00520C34">
        <w:rPr>
          <w:rFonts w:ascii="Interstate Light" w:hAnsi="Interstate Light"/>
          <w:noProof/>
          <w:sz w:val="24"/>
          <w:szCs w:val="24"/>
          <w:lang w:eastAsia="en-GB"/>
        </w:rPr>
        <w:drawing>
          <wp:anchor distT="0" distB="0" distL="114300" distR="114300" simplePos="0" relativeHeight="251696128" behindDoc="1" locked="0" layoutInCell="1" allowOverlap="1" wp14:anchorId="3B628D16" wp14:editId="696B3E01">
            <wp:simplePos x="0" y="0"/>
            <wp:positionH relativeFrom="margin">
              <wp:align>left</wp:align>
            </wp:positionH>
            <wp:positionV relativeFrom="paragraph">
              <wp:posOffset>38735</wp:posOffset>
            </wp:positionV>
            <wp:extent cx="594000" cy="594000"/>
            <wp:effectExtent l="0" t="0" r="0" b="0"/>
            <wp:wrapTight wrapText="bothSides">
              <wp:wrapPolygon edited="0">
                <wp:start x="0" y="0"/>
                <wp:lineTo x="0" y="20791"/>
                <wp:lineTo x="18019" y="20791"/>
                <wp:lineTo x="20791" y="17326"/>
                <wp:lineTo x="20791" y="0"/>
                <wp:lineTo x="0" y="0"/>
              </wp:wrapPolygon>
            </wp:wrapTight>
            <wp:docPr id="14" name="Picture 14" descr="C:\Users\40013672\AppData\Local\Temp\Temp1_ENU Icons PNG (1).zip\PNG\General ICONS\ENU Icons_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013672\AppData\Local\Temp\Temp1_ENU Icons PNG (1).zip\PNG\General ICONS\ENU Icons_06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709" w:rsidRPr="00B1025D">
        <w:rPr>
          <w:rFonts w:ascii="Titillium" w:hAnsi="Titillium"/>
        </w:rPr>
        <w:t>Approval for activities must be obtained in advance</w:t>
      </w:r>
      <w:r w:rsidR="00877709">
        <w:rPr>
          <w:rFonts w:ascii="Titillium" w:hAnsi="Titillium"/>
        </w:rPr>
        <w:t xml:space="preserve"> of the final quote being submitted to the client. This must be</w:t>
      </w:r>
      <w:r w:rsidR="00877709" w:rsidRPr="00B1025D">
        <w:rPr>
          <w:rFonts w:ascii="Titillium" w:hAnsi="Titillium"/>
        </w:rPr>
        <w:t xml:space="preserve"> through </w:t>
      </w:r>
      <w:proofErr w:type="spellStart"/>
      <w:r w:rsidR="00877709" w:rsidRPr="00B1025D">
        <w:rPr>
          <w:rFonts w:ascii="Titillium" w:hAnsi="Titillium"/>
        </w:rPr>
        <w:t>Worktribe</w:t>
      </w:r>
      <w:proofErr w:type="spellEnd"/>
      <w:r w:rsidR="00877709">
        <w:rPr>
          <w:rFonts w:ascii="Titillium" w:hAnsi="Titillium"/>
        </w:rPr>
        <w:t xml:space="preserve"> and include </w:t>
      </w:r>
      <w:r w:rsidR="00492F76">
        <w:rPr>
          <w:rFonts w:ascii="Titillium" w:hAnsi="Titillium"/>
        </w:rPr>
        <w:t xml:space="preserve">a </w:t>
      </w:r>
      <w:r w:rsidR="00877709">
        <w:rPr>
          <w:rFonts w:ascii="Titillium" w:hAnsi="Titillium"/>
        </w:rPr>
        <w:t xml:space="preserve">Consultancy and Commercial Activity </w:t>
      </w:r>
      <w:r w:rsidR="00492F76">
        <w:rPr>
          <w:rFonts w:ascii="Titillium" w:hAnsi="Titillium"/>
        </w:rPr>
        <w:t xml:space="preserve">email approval </w:t>
      </w:r>
      <w:r w:rsidR="00877709">
        <w:rPr>
          <w:rFonts w:ascii="Titillium" w:hAnsi="Titillium"/>
        </w:rPr>
        <w:t>from the staff member’s line manager</w:t>
      </w:r>
      <w:r w:rsidR="00877709" w:rsidRPr="00B1025D">
        <w:rPr>
          <w:rFonts w:ascii="Titillium" w:hAnsi="Titillium"/>
        </w:rPr>
        <w:t xml:space="preserve">. </w:t>
      </w:r>
      <w:r w:rsidR="00877709">
        <w:rPr>
          <w:rFonts w:ascii="Titillium" w:hAnsi="Titillium"/>
        </w:rPr>
        <w:t>Other relevant</w:t>
      </w:r>
      <w:r w:rsidR="00877709" w:rsidRPr="00B1025D">
        <w:rPr>
          <w:rFonts w:ascii="Titillium" w:hAnsi="Titillium"/>
        </w:rPr>
        <w:t xml:space="preserve"> </w:t>
      </w:r>
      <w:r w:rsidR="00877709">
        <w:rPr>
          <w:rFonts w:ascii="Titillium" w:hAnsi="Titillium"/>
        </w:rPr>
        <w:t xml:space="preserve">departments such as School Support Service, HR and IS </w:t>
      </w:r>
      <w:r w:rsidR="00877709" w:rsidRPr="00B1025D">
        <w:rPr>
          <w:rFonts w:ascii="Titillium" w:hAnsi="Titillium"/>
        </w:rPr>
        <w:t xml:space="preserve">should also be informed </w:t>
      </w:r>
      <w:r w:rsidR="00877709">
        <w:rPr>
          <w:rFonts w:ascii="Titillium" w:hAnsi="Titillium"/>
        </w:rPr>
        <w:t xml:space="preserve">if relevant support is required and if </w:t>
      </w:r>
      <w:r w:rsidR="00877709" w:rsidRPr="00B1025D">
        <w:rPr>
          <w:rFonts w:ascii="Titillium" w:hAnsi="Titillium"/>
        </w:rPr>
        <w:t xml:space="preserve">any University resources or facilities </w:t>
      </w:r>
      <w:r w:rsidR="00877709">
        <w:rPr>
          <w:rFonts w:ascii="Titillium" w:hAnsi="Titillium"/>
        </w:rPr>
        <w:t>are required</w:t>
      </w:r>
      <w:r w:rsidR="00877709" w:rsidRPr="00B1025D">
        <w:rPr>
          <w:rFonts w:ascii="Titillium" w:hAnsi="Titillium"/>
        </w:rPr>
        <w:t>.</w:t>
      </w:r>
      <w:r w:rsidR="00492F76">
        <w:rPr>
          <w:rFonts w:ascii="Titillium" w:hAnsi="Titillium"/>
        </w:rPr>
        <w:t xml:space="preserve"> </w:t>
      </w:r>
    </w:p>
    <w:p w14:paraId="28E6078F" w14:textId="77777777" w:rsidR="00DB4953" w:rsidRDefault="00DB4953" w:rsidP="00492F76">
      <w:pPr>
        <w:spacing w:after="0" w:line="240" w:lineRule="auto"/>
        <w:jc w:val="both"/>
        <w:rPr>
          <w:rFonts w:ascii="Titillium" w:hAnsi="Titillium"/>
        </w:rPr>
      </w:pPr>
    </w:p>
    <w:p w14:paraId="276D4A99" w14:textId="1BBCB0C6" w:rsidR="00877709" w:rsidRDefault="00877709" w:rsidP="00492F76">
      <w:pPr>
        <w:spacing w:after="0" w:line="240" w:lineRule="auto"/>
        <w:jc w:val="both"/>
        <w:rPr>
          <w:rFonts w:ascii="Titillium" w:hAnsi="Titillium"/>
        </w:rPr>
      </w:pPr>
      <w:r>
        <w:rPr>
          <w:rFonts w:ascii="Titillium" w:hAnsi="Titillium"/>
        </w:rPr>
        <w:t xml:space="preserve">Details of the </w:t>
      </w:r>
      <w:proofErr w:type="spellStart"/>
      <w:r>
        <w:rPr>
          <w:rFonts w:ascii="Titillium" w:hAnsi="Titillium"/>
        </w:rPr>
        <w:t>Worktribe</w:t>
      </w:r>
      <w:proofErr w:type="spellEnd"/>
      <w:r>
        <w:rPr>
          <w:rFonts w:ascii="Titillium" w:hAnsi="Titillium"/>
        </w:rPr>
        <w:t xml:space="preserve"> inp</w:t>
      </w:r>
      <w:r w:rsidR="009C7612">
        <w:rPr>
          <w:rFonts w:ascii="Titillium" w:hAnsi="Titillium"/>
        </w:rPr>
        <w:t>uts must include the following:</w:t>
      </w:r>
    </w:p>
    <w:p w14:paraId="30D65BC5" w14:textId="77777777" w:rsidR="00DB4953" w:rsidRDefault="00DB4953" w:rsidP="00492F76">
      <w:pPr>
        <w:spacing w:after="0" w:line="240" w:lineRule="auto"/>
        <w:jc w:val="both"/>
        <w:rPr>
          <w:rFonts w:ascii="Titillium" w:hAnsi="Titillium"/>
        </w:rPr>
      </w:pPr>
    </w:p>
    <w:p w14:paraId="26D39471" w14:textId="0EC926AA"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 xml:space="preserve">Project description </w:t>
      </w:r>
      <w:r w:rsidRPr="00E834D5">
        <w:rPr>
          <w:rFonts w:ascii="Titillium" w:hAnsi="Titillium"/>
        </w:rPr>
        <w:t xml:space="preserve">of the proposed </w:t>
      </w:r>
      <w:r>
        <w:rPr>
          <w:rFonts w:ascii="Titillium" w:hAnsi="Titillium"/>
        </w:rPr>
        <w:t>activity</w:t>
      </w:r>
    </w:p>
    <w:p w14:paraId="1DF28A1F" w14:textId="1C1D21C3" w:rsidR="00877709" w:rsidRDefault="00492F76" w:rsidP="00492F76">
      <w:pPr>
        <w:pStyle w:val="ListParagraph"/>
        <w:numPr>
          <w:ilvl w:val="0"/>
          <w:numId w:val="14"/>
        </w:numPr>
        <w:spacing w:after="0" w:line="240" w:lineRule="auto"/>
        <w:jc w:val="both"/>
        <w:rPr>
          <w:rFonts w:ascii="Titillium" w:hAnsi="Titillium"/>
        </w:rPr>
      </w:pPr>
      <w:r>
        <w:rPr>
          <w:rFonts w:ascii="Titillium" w:hAnsi="Titillium"/>
        </w:rPr>
        <w:t>Project start and end dates</w:t>
      </w:r>
    </w:p>
    <w:p w14:paraId="7CA97D48" w14:textId="77777777" w:rsidR="00877709" w:rsidRPr="00E834D5" w:rsidRDefault="00877709" w:rsidP="00492F76">
      <w:pPr>
        <w:pStyle w:val="ListParagraph"/>
        <w:numPr>
          <w:ilvl w:val="0"/>
          <w:numId w:val="14"/>
        </w:numPr>
        <w:spacing w:after="0" w:line="240" w:lineRule="auto"/>
        <w:jc w:val="both"/>
        <w:rPr>
          <w:rFonts w:ascii="Titillium" w:hAnsi="Titillium"/>
        </w:rPr>
      </w:pPr>
      <w:r>
        <w:rPr>
          <w:rFonts w:ascii="Titillium" w:hAnsi="Titillium"/>
        </w:rPr>
        <w:t>Funder (request for new funder to be added if client not listed)</w:t>
      </w:r>
    </w:p>
    <w:p w14:paraId="0D3831F0" w14:textId="71F7D877"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 xml:space="preserve">Relevant </w:t>
      </w:r>
      <w:r w:rsidR="002327EA">
        <w:rPr>
          <w:rFonts w:ascii="Titillium" w:hAnsi="Titillium"/>
        </w:rPr>
        <w:t>directly incurred</w:t>
      </w:r>
      <w:r>
        <w:rPr>
          <w:rFonts w:ascii="Titillium" w:hAnsi="Titillium"/>
        </w:rPr>
        <w:t xml:space="preserve"> costs, staff costs (number of days for project) and surplus (based on market rates) (via budget t</w:t>
      </w:r>
      <w:r w:rsidR="00492F76">
        <w:rPr>
          <w:rFonts w:ascii="Titillium" w:hAnsi="Titillium"/>
        </w:rPr>
        <w:t>ab and through advice from RIE)</w:t>
      </w:r>
    </w:p>
    <w:p w14:paraId="3FE0848D" w14:textId="2CB2F365"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Projec</w:t>
      </w:r>
      <w:r w:rsidR="00492F76">
        <w:rPr>
          <w:rFonts w:ascii="Titillium" w:hAnsi="Titillium"/>
        </w:rPr>
        <w:t>t proposal (via documents tab)</w:t>
      </w:r>
    </w:p>
    <w:p w14:paraId="2349F030" w14:textId="1E6D8C26"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Checklist (</w:t>
      </w:r>
      <w:r w:rsidR="00492F76">
        <w:rPr>
          <w:rFonts w:ascii="Titillium" w:hAnsi="Titillium"/>
        </w:rPr>
        <w:t>via checklist tab)</w:t>
      </w:r>
    </w:p>
    <w:p w14:paraId="6690288B" w14:textId="6833CA03"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Signed Quality Approval Form (Section 6 in the Quality Framework) (via documents tab)</w:t>
      </w:r>
      <w:r w:rsidR="005D3CF9">
        <w:rPr>
          <w:rFonts w:ascii="Titillium" w:hAnsi="Titillium"/>
        </w:rPr>
        <w:t xml:space="preserve"> for </w:t>
      </w:r>
      <w:r w:rsidR="00D7121D">
        <w:rPr>
          <w:rFonts w:ascii="Titillium" w:hAnsi="Titillium"/>
        </w:rPr>
        <w:t>N</w:t>
      </w:r>
      <w:r w:rsidR="00DE0405">
        <w:rPr>
          <w:rFonts w:ascii="Titillium" w:hAnsi="Titillium"/>
        </w:rPr>
        <w:t>on-</w:t>
      </w:r>
      <w:r w:rsidR="00D7121D">
        <w:rPr>
          <w:rFonts w:ascii="Titillium" w:hAnsi="Titillium"/>
        </w:rPr>
        <w:t>C</w:t>
      </w:r>
      <w:r w:rsidR="00DE0405">
        <w:rPr>
          <w:rFonts w:ascii="Titillium" w:hAnsi="Titillium"/>
        </w:rPr>
        <w:t xml:space="preserve">redit </w:t>
      </w:r>
      <w:r w:rsidR="00D7121D">
        <w:rPr>
          <w:rFonts w:ascii="Titillium" w:hAnsi="Titillium"/>
        </w:rPr>
        <w:t>B</w:t>
      </w:r>
      <w:r w:rsidR="00DE0405">
        <w:rPr>
          <w:rFonts w:ascii="Titillium" w:hAnsi="Titillium"/>
        </w:rPr>
        <w:t>earing</w:t>
      </w:r>
      <w:r w:rsidR="00D7121D">
        <w:rPr>
          <w:rFonts w:ascii="Titillium" w:hAnsi="Titillium"/>
        </w:rPr>
        <w:t xml:space="preserve"> </w:t>
      </w:r>
      <w:r w:rsidR="005D3CF9">
        <w:rPr>
          <w:rFonts w:ascii="Titillium" w:hAnsi="Titillium"/>
        </w:rPr>
        <w:t>CPD projects</w:t>
      </w:r>
    </w:p>
    <w:p w14:paraId="437044CC" w14:textId="6E7695FC" w:rsidR="00877709" w:rsidRPr="00E834D5" w:rsidRDefault="00C003DA" w:rsidP="00492F76">
      <w:pPr>
        <w:pStyle w:val="ListParagraph"/>
        <w:numPr>
          <w:ilvl w:val="0"/>
          <w:numId w:val="14"/>
        </w:numPr>
        <w:spacing w:after="0" w:line="240" w:lineRule="auto"/>
        <w:jc w:val="both"/>
        <w:rPr>
          <w:rFonts w:ascii="Titillium" w:hAnsi="Titillium"/>
        </w:rPr>
      </w:pPr>
      <w:r>
        <w:rPr>
          <w:rFonts w:ascii="Titillium" w:hAnsi="Titillium"/>
        </w:rPr>
        <w:t xml:space="preserve">Line Manager’s </w:t>
      </w:r>
      <w:r w:rsidR="00877709">
        <w:rPr>
          <w:rFonts w:ascii="Titillium" w:hAnsi="Titillium"/>
        </w:rPr>
        <w:t xml:space="preserve">Consultancy and Commercial Activity </w:t>
      </w:r>
      <w:r>
        <w:rPr>
          <w:rFonts w:ascii="Titillium" w:hAnsi="Titillium"/>
        </w:rPr>
        <w:t xml:space="preserve">approval email </w:t>
      </w:r>
      <w:r w:rsidR="00877709">
        <w:rPr>
          <w:rFonts w:ascii="Titillium" w:hAnsi="Titillium"/>
        </w:rPr>
        <w:t>(via documents tab)</w:t>
      </w:r>
    </w:p>
    <w:p w14:paraId="450C19F4" w14:textId="25C1E0CB"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How the activity will achieve strategic objectives for the Schoo</w:t>
      </w:r>
      <w:r w:rsidR="00492F76">
        <w:rPr>
          <w:rFonts w:ascii="Titillium" w:hAnsi="Titillium"/>
        </w:rPr>
        <w:t>l/University (via benefits tab)</w:t>
      </w:r>
    </w:p>
    <w:p w14:paraId="7C4C894B" w14:textId="4CE3467A" w:rsidR="00877709" w:rsidRDefault="00877709" w:rsidP="00492F76">
      <w:pPr>
        <w:pStyle w:val="ListParagraph"/>
        <w:numPr>
          <w:ilvl w:val="0"/>
          <w:numId w:val="14"/>
        </w:numPr>
        <w:spacing w:after="0" w:line="240" w:lineRule="auto"/>
        <w:jc w:val="both"/>
        <w:rPr>
          <w:rFonts w:ascii="Titillium" w:hAnsi="Titillium"/>
        </w:rPr>
      </w:pPr>
      <w:r>
        <w:rPr>
          <w:rFonts w:ascii="Titillium" w:hAnsi="Titillium"/>
        </w:rPr>
        <w:t>Data Management Plan or Declaration of No Data Form, whiche</w:t>
      </w:r>
      <w:r w:rsidR="00492F76">
        <w:rPr>
          <w:rFonts w:ascii="Titillium" w:hAnsi="Titillium"/>
        </w:rPr>
        <w:t>ver is relevant (via templates)</w:t>
      </w:r>
      <w:r>
        <w:rPr>
          <w:rFonts w:ascii="Titillium" w:hAnsi="Titillium"/>
        </w:rPr>
        <w:t xml:space="preserve"> </w:t>
      </w:r>
    </w:p>
    <w:p w14:paraId="1F3BF26B" w14:textId="77777777" w:rsidR="00877709" w:rsidRDefault="00877709" w:rsidP="00492F76">
      <w:pPr>
        <w:spacing w:after="0" w:line="240" w:lineRule="auto"/>
        <w:ind w:left="567"/>
        <w:jc w:val="both"/>
        <w:rPr>
          <w:rFonts w:ascii="Titillium" w:hAnsi="Titillium"/>
        </w:rPr>
      </w:pPr>
    </w:p>
    <w:p w14:paraId="59CFA333" w14:textId="77777777" w:rsidR="00877709" w:rsidRDefault="00877709" w:rsidP="00492F76">
      <w:pPr>
        <w:spacing w:after="0" w:line="240" w:lineRule="auto"/>
        <w:jc w:val="both"/>
        <w:rPr>
          <w:rFonts w:ascii="Titillium" w:hAnsi="Titillium"/>
        </w:rPr>
      </w:pPr>
      <w:r>
        <w:rPr>
          <w:rFonts w:ascii="Titillium" w:hAnsi="Titillium"/>
        </w:rPr>
        <w:t xml:space="preserve">RIE will manage all the contractual and financial requirements for the project.   </w:t>
      </w:r>
    </w:p>
    <w:p w14:paraId="38274765" w14:textId="1D493055" w:rsidR="00877709" w:rsidRDefault="00877709" w:rsidP="0067438B">
      <w:pPr>
        <w:pStyle w:val="NapierHeaders"/>
        <w:numPr>
          <w:ilvl w:val="0"/>
          <w:numId w:val="19"/>
        </w:numPr>
      </w:pPr>
      <w:bookmarkStart w:id="5" w:name="_Toc95132844"/>
      <w:r>
        <w:t xml:space="preserve">Balancing Activities </w:t>
      </w:r>
      <w:r w:rsidR="00D7121D">
        <w:t xml:space="preserve">Out With WAM </w:t>
      </w:r>
      <w:r>
        <w:t>and University Role</w:t>
      </w:r>
      <w:bookmarkEnd w:id="5"/>
    </w:p>
    <w:p w14:paraId="3943B882" w14:textId="77777777" w:rsidR="009C7612" w:rsidRDefault="009C7612" w:rsidP="009C7612">
      <w:pPr>
        <w:spacing w:after="0" w:line="240" w:lineRule="auto"/>
        <w:jc w:val="both"/>
        <w:rPr>
          <w:rFonts w:ascii="Interstate Regular" w:eastAsiaTheme="majorEastAsia" w:hAnsi="Interstate Regular" w:cstheme="majorBidi"/>
          <w:color w:val="E5233F"/>
          <w:sz w:val="32"/>
          <w:szCs w:val="32"/>
        </w:rPr>
      </w:pPr>
    </w:p>
    <w:p w14:paraId="08EA4DE3" w14:textId="2FD3A279" w:rsidR="00D7121D" w:rsidRPr="00D7121D" w:rsidRDefault="00590CB2" w:rsidP="00D7121D">
      <w:pPr>
        <w:spacing w:after="0" w:line="240" w:lineRule="auto"/>
        <w:jc w:val="both"/>
        <w:rPr>
          <w:rFonts w:ascii="Titillium" w:hAnsi="Titillium"/>
        </w:rPr>
      </w:pPr>
      <w:r w:rsidRPr="005F4BB4">
        <w:rPr>
          <w:rFonts w:ascii="Interstate Light" w:hAnsi="Interstate Light"/>
          <w:noProof/>
          <w:sz w:val="24"/>
          <w:szCs w:val="24"/>
          <w:lang w:eastAsia="en-GB"/>
        </w:rPr>
        <w:lastRenderedPageBreak/>
        <w:drawing>
          <wp:anchor distT="0" distB="0" distL="114300" distR="114300" simplePos="0" relativeHeight="251705344" behindDoc="1" locked="0" layoutInCell="1" allowOverlap="1" wp14:anchorId="3912FD72" wp14:editId="2F4DB8B5">
            <wp:simplePos x="0" y="0"/>
            <wp:positionH relativeFrom="margin">
              <wp:align>left</wp:align>
            </wp:positionH>
            <wp:positionV relativeFrom="paragraph">
              <wp:posOffset>45720</wp:posOffset>
            </wp:positionV>
            <wp:extent cx="593725" cy="593725"/>
            <wp:effectExtent l="0" t="0" r="0" b="0"/>
            <wp:wrapTight wrapText="bothSides">
              <wp:wrapPolygon edited="0">
                <wp:start x="0" y="0"/>
                <wp:lineTo x="0" y="20791"/>
                <wp:lineTo x="18019" y="20791"/>
                <wp:lineTo x="20791" y="17326"/>
                <wp:lineTo x="20791" y="0"/>
                <wp:lineTo x="0" y="0"/>
              </wp:wrapPolygon>
            </wp:wrapTight>
            <wp:docPr id="8" name="Picture 8" descr="C:\Users\40013672\AppData\Local\Temp\Temp1_ENU Icons PNG.zip\PNG\Subject-Specific ICONS\ENU Icons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013672\AppData\Local\Temp\Temp1_ENU Icons PNG.zip\PNG\Subject-Specific ICONS\ENU Icons_1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21D" w:rsidRPr="00D7121D">
        <w:rPr>
          <w:rFonts w:ascii="Titillium" w:hAnsi="Titillium"/>
        </w:rPr>
        <w:t xml:space="preserve">Whilst the University acknowledges the benefits derived from these additional activities conducted out with WAM, a balance must be maintained to ensure that there is no impact on a staff member’s wellbeing and their ability to perform their normal day to day role.  </w:t>
      </w:r>
    </w:p>
    <w:p w14:paraId="1FBAC0AE" w14:textId="77777777" w:rsidR="00D7121D" w:rsidRPr="00D7121D" w:rsidRDefault="00D7121D" w:rsidP="00D7121D">
      <w:pPr>
        <w:spacing w:after="0" w:line="240" w:lineRule="auto"/>
        <w:jc w:val="both"/>
        <w:rPr>
          <w:rFonts w:ascii="Titillium" w:hAnsi="Titillium"/>
        </w:rPr>
      </w:pPr>
    </w:p>
    <w:p w14:paraId="2CBB549D" w14:textId="53B3D5F0" w:rsidR="00877709" w:rsidRDefault="00D7121D" w:rsidP="00D7121D">
      <w:pPr>
        <w:spacing w:after="0" w:line="240" w:lineRule="auto"/>
        <w:jc w:val="both"/>
        <w:rPr>
          <w:rFonts w:ascii="Titillium" w:hAnsi="Titillium"/>
        </w:rPr>
      </w:pPr>
      <w:r w:rsidRPr="00D7121D">
        <w:rPr>
          <w:rFonts w:ascii="Titillium" w:hAnsi="Titillium"/>
        </w:rPr>
        <w:t>To support a healthy work life balance and to ensure sufficient time is allocated to other responsibilities and activities of the staff member, it is recommended that there is a maximum number of 30 days per financial year (1st August – 31st July) permitted for additional activity that is within scope of this Framework. Any exception to this would be agreed by either the Dean of School or Director of Service, an example of this may be where additional activity is in the interest of both parties to enable a more substantive external engagement.</w:t>
      </w:r>
    </w:p>
    <w:p w14:paraId="3536EA07" w14:textId="77777777" w:rsidR="00D7121D" w:rsidRDefault="00D7121D" w:rsidP="00D7121D">
      <w:pPr>
        <w:spacing w:after="0" w:line="240" w:lineRule="auto"/>
        <w:jc w:val="both"/>
        <w:rPr>
          <w:rFonts w:ascii="Interstate Regular" w:eastAsiaTheme="majorEastAsia" w:hAnsi="Interstate Regular" w:cstheme="majorBidi"/>
          <w:color w:val="E5233F"/>
          <w:sz w:val="32"/>
          <w:szCs w:val="32"/>
        </w:rPr>
      </w:pPr>
    </w:p>
    <w:p w14:paraId="60B815E5" w14:textId="50012D25" w:rsidR="00877709" w:rsidRPr="0067438B" w:rsidRDefault="00877709" w:rsidP="0067438B">
      <w:pPr>
        <w:pStyle w:val="ListParagraph"/>
        <w:numPr>
          <w:ilvl w:val="0"/>
          <w:numId w:val="19"/>
        </w:numPr>
        <w:rPr>
          <w:rFonts w:ascii="Interstate Regular" w:eastAsiaTheme="majorEastAsia" w:hAnsi="Interstate Regular" w:cstheme="majorBidi"/>
          <w:color w:val="E5233F"/>
          <w:sz w:val="32"/>
          <w:szCs w:val="32"/>
        </w:rPr>
      </w:pPr>
      <w:r w:rsidRPr="0067438B">
        <w:rPr>
          <w:rFonts w:ascii="Interstate Regular" w:eastAsiaTheme="majorEastAsia" w:hAnsi="Interstate Regular" w:cstheme="majorBidi"/>
          <w:color w:val="E5233F"/>
          <w:sz w:val="32"/>
          <w:szCs w:val="32"/>
        </w:rPr>
        <w:t xml:space="preserve">Responsibilities </w:t>
      </w:r>
    </w:p>
    <w:tbl>
      <w:tblPr>
        <w:tblStyle w:val="TableGrid3"/>
        <w:tblW w:w="0" w:type="auto"/>
        <w:tblLook w:val="04A0" w:firstRow="1" w:lastRow="0" w:firstColumn="1" w:lastColumn="0" w:noHBand="0" w:noVBand="1"/>
      </w:tblPr>
      <w:tblGrid>
        <w:gridCol w:w="1402"/>
        <w:gridCol w:w="7624"/>
      </w:tblGrid>
      <w:tr w:rsidR="00877709" w:rsidRPr="002766E9" w14:paraId="6CAC76C1" w14:textId="77777777" w:rsidTr="00877709">
        <w:tc>
          <w:tcPr>
            <w:tcW w:w="1402" w:type="dxa"/>
            <w:tcBorders>
              <w:top w:val="nil"/>
              <w:left w:val="nil"/>
              <w:bottom w:val="nil"/>
              <w:right w:val="single" w:sz="4" w:space="0" w:color="859EA4"/>
            </w:tcBorders>
          </w:tcPr>
          <w:p w14:paraId="42A0F018" w14:textId="77777777" w:rsidR="00877709" w:rsidRPr="00BB38E6" w:rsidRDefault="00877709" w:rsidP="00762355">
            <w:pPr>
              <w:rPr>
                <w:rFonts w:ascii="Titillium" w:hAnsi="Titillium"/>
                <w:b/>
                <w:noProof/>
                <w:color w:val="579FBB"/>
                <w:sz w:val="22"/>
                <w:szCs w:val="22"/>
                <w:lang w:val="en-US"/>
              </w:rPr>
            </w:pPr>
            <w:r>
              <w:rPr>
                <w:rFonts w:ascii="Titillium" w:hAnsi="Titillium"/>
                <w:b/>
                <w:noProof/>
                <w:sz w:val="22"/>
                <w:szCs w:val="22"/>
                <w:lang w:val="en-US"/>
              </w:rPr>
              <w:t>E</w:t>
            </w:r>
            <w:r w:rsidRPr="00BB38E6">
              <w:rPr>
                <w:rFonts w:ascii="Titillium" w:hAnsi="Titillium"/>
                <w:b/>
                <w:noProof/>
                <w:sz w:val="22"/>
                <w:szCs w:val="22"/>
                <w:lang w:val="en-US"/>
              </w:rPr>
              <w:t>mployees</w:t>
            </w:r>
          </w:p>
        </w:tc>
        <w:tc>
          <w:tcPr>
            <w:tcW w:w="7624" w:type="dxa"/>
            <w:tcBorders>
              <w:top w:val="nil"/>
              <w:left w:val="single" w:sz="4" w:space="0" w:color="859EA4"/>
              <w:bottom w:val="nil"/>
              <w:right w:val="nil"/>
            </w:tcBorders>
          </w:tcPr>
          <w:p w14:paraId="3327AFD2" w14:textId="45BDE36A" w:rsidR="00877709" w:rsidRDefault="00877709" w:rsidP="00877709">
            <w:pPr>
              <w:numPr>
                <w:ilvl w:val="0"/>
                <w:numId w:val="16"/>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Read and follow the Framework and ensure a full understanding of supporting </w:t>
            </w:r>
            <w:r w:rsidR="00584248">
              <w:rPr>
                <w:rFonts w:ascii="Titillium" w:hAnsi="Titillium"/>
                <w:noProof/>
                <w:color w:val="579FBB"/>
                <w:sz w:val="22"/>
                <w:szCs w:val="22"/>
                <w:lang w:val="en-US"/>
              </w:rPr>
              <w:t>guidance</w:t>
            </w:r>
            <w:r>
              <w:rPr>
                <w:rFonts w:ascii="Titillium" w:hAnsi="Titillium"/>
                <w:noProof/>
                <w:color w:val="579FBB"/>
                <w:sz w:val="22"/>
                <w:szCs w:val="22"/>
                <w:lang w:val="en-US"/>
              </w:rPr>
              <w:t xml:space="preserve"> and associated policies. </w:t>
            </w:r>
          </w:p>
          <w:p w14:paraId="1490E2BC" w14:textId="35233E64" w:rsidR="00877709" w:rsidRDefault="00877709" w:rsidP="00877709">
            <w:pPr>
              <w:numPr>
                <w:ilvl w:val="0"/>
                <w:numId w:val="16"/>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Only undertake activity where the necessary approval and associated contractual documentation has been completed. </w:t>
            </w:r>
          </w:p>
          <w:p w14:paraId="1556F8CD" w14:textId="241D52E1" w:rsidR="00877709" w:rsidRPr="0074551F" w:rsidRDefault="00877709" w:rsidP="00877709">
            <w:pPr>
              <w:numPr>
                <w:ilvl w:val="0"/>
                <w:numId w:val="16"/>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Submit claims for payments within two months of the activity concluding.</w:t>
            </w:r>
          </w:p>
          <w:p w14:paraId="44939448" w14:textId="77777777" w:rsidR="00877709" w:rsidRPr="002766E9" w:rsidRDefault="00877709" w:rsidP="00762355">
            <w:pPr>
              <w:contextualSpacing/>
              <w:jc w:val="both"/>
              <w:rPr>
                <w:rFonts w:ascii="Titillium" w:hAnsi="Titillium"/>
                <w:noProof/>
                <w:color w:val="579FBB"/>
                <w:sz w:val="14"/>
                <w:szCs w:val="14"/>
                <w:lang w:val="en-US"/>
              </w:rPr>
            </w:pPr>
          </w:p>
        </w:tc>
      </w:tr>
      <w:tr w:rsidR="00877709" w:rsidRPr="002766E9" w14:paraId="563C15F2" w14:textId="77777777" w:rsidTr="00877709">
        <w:trPr>
          <w:trHeight w:val="691"/>
        </w:trPr>
        <w:tc>
          <w:tcPr>
            <w:tcW w:w="1402" w:type="dxa"/>
            <w:tcBorders>
              <w:top w:val="nil"/>
              <w:left w:val="nil"/>
              <w:bottom w:val="nil"/>
              <w:right w:val="single" w:sz="4" w:space="0" w:color="859EA4"/>
            </w:tcBorders>
          </w:tcPr>
          <w:p w14:paraId="2F54B9D5" w14:textId="77777777" w:rsidR="00877709" w:rsidRPr="00BB38E6" w:rsidRDefault="00877709" w:rsidP="00762355">
            <w:pPr>
              <w:rPr>
                <w:rFonts w:ascii="Titillium" w:hAnsi="Titillium"/>
                <w:b/>
                <w:noProof/>
                <w:sz w:val="22"/>
                <w:szCs w:val="22"/>
                <w:lang w:val="en-US"/>
              </w:rPr>
            </w:pPr>
            <w:r>
              <w:rPr>
                <w:rFonts w:ascii="Titillium" w:hAnsi="Titillium"/>
                <w:b/>
                <w:noProof/>
                <w:sz w:val="22"/>
                <w:szCs w:val="22"/>
                <w:lang w:val="en-US"/>
              </w:rPr>
              <w:t>Managers</w:t>
            </w:r>
          </w:p>
        </w:tc>
        <w:tc>
          <w:tcPr>
            <w:tcW w:w="7624" w:type="dxa"/>
            <w:tcBorders>
              <w:top w:val="nil"/>
              <w:left w:val="single" w:sz="4" w:space="0" w:color="859EA4"/>
              <w:bottom w:val="nil"/>
              <w:right w:val="nil"/>
            </w:tcBorders>
          </w:tcPr>
          <w:p w14:paraId="6069F39F" w14:textId="3F1FF644" w:rsidR="00877709" w:rsidRDefault="00877709" w:rsidP="00877709">
            <w:pPr>
              <w:numPr>
                <w:ilvl w:val="0"/>
                <w:numId w:val="16"/>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Read and follow the Framework and ensure a full understanding of </w:t>
            </w:r>
            <w:r w:rsidR="004C45E3">
              <w:rPr>
                <w:rFonts w:ascii="Titillium" w:hAnsi="Titillium"/>
                <w:noProof/>
                <w:color w:val="579FBB"/>
                <w:sz w:val="22"/>
                <w:szCs w:val="22"/>
                <w:lang w:val="en-US"/>
              </w:rPr>
              <w:t xml:space="preserve">guidance </w:t>
            </w:r>
            <w:r>
              <w:rPr>
                <w:rFonts w:ascii="Titillium" w:hAnsi="Titillium"/>
                <w:noProof/>
                <w:color w:val="579FBB"/>
                <w:sz w:val="22"/>
                <w:szCs w:val="22"/>
                <w:lang w:val="en-US"/>
              </w:rPr>
              <w:t xml:space="preserve">documentation and associated policies. </w:t>
            </w:r>
          </w:p>
          <w:p w14:paraId="5BB41365" w14:textId="255086D4" w:rsidR="00877709" w:rsidRDefault="004C45E3" w:rsidP="00877709">
            <w:pPr>
              <w:numPr>
                <w:ilvl w:val="0"/>
                <w:numId w:val="16"/>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Discuss the </w:t>
            </w:r>
            <w:r w:rsidR="00877709">
              <w:rPr>
                <w:rFonts w:ascii="Titillium" w:hAnsi="Titillium"/>
                <w:noProof/>
                <w:color w:val="579FBB"/>
                <w:sz w:val="22"/>
                <w:szCs w:val="22"/>
                <w:lang w:val="en-US"/>
              </w:rPr>
              <w:t xml:space="preserve">relevant activity and benefits for </w:t>
            </w:r>
            <w:r>
              <w:rPr>
                <w:rFonts w:ascii="Titillium" w:hAnsi="Titillium"/>
                <w:noProof/>
                <w:color w:val="579FBB"/>
                <w:sz w:val="22"/>
                <w:szCs w:val="22"/>
                <w:lang w:val="en-US"/>
              </w:rPr>
              <w:t xml:space="preserve">the </w:t>
            </w:r>
            <w:r w:rsidR="00877709">
              <w:rPr>
                <w:rFonts w:ascii="Titillium" w:hAnsi="Titillium"/>
                <w:noProof/>
                <w:color w:val="579FBB"/>
                <w:sz w:val="22"/>
                <w:szCs w:val="22"/>
                <w:lang w:val="en-US"/>
              </w:rPr>
              <w:t>staff member and University.</w:t>
            </w:r>
          </w:p>
          <w:p w14:paraId="2658F477" w14:textId="0D180FB2" w:rsidR="00877709" w:rsidRPr="004F41AA" w:rsidRDefault="00877709" w:rsidP="00877709">
            <w:pPr>
              <w:numPr>
                <w:ilvl w:val="0"/>
                <w:numId w:val="16"/>
              </w:numPr>
              <w:ind w:left="463" w:hanging="426"/>
              <w:contextualSpacing/>
              <w:jc w:val="both"/>
              <w:rPr>
                <w:rFonts w:ascii="Titillium" w:hAnsi="Titillium"/>
                <w:noProof/>
                <w:color w:val="579FBB"/>
                <w:sz w:val="22"/>
                <w:szCs w:val="22"/>
                <w:lang w:val="en-US"/>
              </w:rPr>
            </w:pPr>
            <w:r w:rsidRPr="004F41AA">
              <w:rPr>
                <w:rFonts w:ascii="Titillium" w:hAnsi="Titillium"/>
                <w:noProof/>
                <w:color w:val="579FBB"/>
                <w:sz w:val="22"/>
                <w:szCs w:val="22"/>
                <w:lang w:val="en-US"/>
              </w:rPr>
              <w:t>Consider fully and approve</w:t>
            </w:r>
            <w:r>
              <w:rPr>
                <w:rFonts w:ascii="Titillium" w:hAnsi="Titillium"/>
                <w:noProof/>
                <w:color w:val="579FBB"/>
                <w:sz w:val="22"/>
                <w:szCs w:val="22"/>
                <w:lang w:val="en-US"/>
              </w:rPr>
              <w:t xml:space="preserve"> via the Consultancy and Commercial </w:t>
            </w:r>
            <w:r w:rsidR="004C45E3">
              <w:rPr>
                <w:rFonts w:ascii="Titillium" w:hAnsi="Titillium"/>
                <w:noProof/>
                <w:color w:val="579FBB"/>
                <w:sz w:val="22"/>
                <w:szCs w:val="22"/>
                <w:lang w:val="en-US"/>
              </w:rPr>
              <w:t>approval email</w:t>
            </w:r>
            <w:r w:rsidRPr="004F41AA">
              <w:rPr>
                <w:rFonts w:ascii="Titillium" w:hAnsi="Titillium"/>
                <w:noProof/>
                <w:color w:val="579FBB"/>
                <w:sz w:val="22"/>
                <w:szCs w:val="22"/>
                <w:lang w:val="en-US"/>
              </w:rPr>
              <w:t>, as appropriate</w:t>
            </w:r>
            <w:r w:rsidR="004C45E3">
              <w:rPr>
                <w:rFonts w:ascii="Titillium" w:hAnsi="Titillium"/>
                <w:noProof/>
                <w:color w:val="579FBB"/>
                <w:sz w:val="22"/>
                <w:szCs w:val="22"/>
                <w:lang w:val="en-US"/>
              </w:rPr>
              <w:t xml:space="preserve"> and as outlined in the guidance</w:t>
            </w:r>
            <w:r w:rsidRPr="004F41AA">
              <w:rPr>
                <w:rFonts w:ascii="Titillium" w:hAnsi="Titillium"/>
                <w:noProof/>
                <w:color w:val="579FBB"/>
                <w:sz w:val="22"/>
                <w:szCs w:val="22"/>
                <w:lang w:val="en-US"/>
              </w:rPr>
              <w:t xml:space="preserve">, </w:t>
            </w:r>
            <w:r>
              <w:rPr>
                <w:rFonts w:ascii="Titillium" w:hAnsi="Titillium"/>
                <w:noProof/>
                <w:color w:val="579FBB"/>
                <w:sz w:val="22"/>
                <w:szCs w:val="22"/>
                <w:lang w:val="en-US"/>
              </w:rPr>
              <w:t xml:space="preserve">relevant </w:t>
            </w:r>
            <w:r w:rsidRPr="004F41AA">
              <w:rPr>
                <w:rFonts w:ascii="Titillium" w:hAnsi="Titillium"/>
                <w:noProof/>
                <w:color w:val="579FBB"/>
                <w:sz w:val="22"/>
                <w:szCs w:val="22"/>
                <w:lang w:val="en-US"/>
              </w:rPr>
              <w:t xml:space="preserve">activity. </w:t>
            </w:r>
          </w:p>
          <w:p w14:paraId="3DA74CDA" w14:textId="77777777" w:rsidR="00877709" w:rsidRPr="002766E9" w:rsidRDefault="00877709" w:rsidP="00762355">
            <w:pPr>
              <w:contextualSpacing/>
              <w:jc w:val="both"/>
              <w:rPr>
                <w:rFonts w:ascii="Titillium" w:hAnsi="Titillium"/>
                <w:noProof/>
                <w:color w:val="579FBB"/>
                <w:sz w:val="14"/>
                <w:szCs w:val="14"/>
                <w:lang w:val="en-US"/>
              </w:rPr>
            </w:pPr>
          </w:p>
        </w:tc>
      </w:tr>
      <w:tr w:rsidR="00877709" w:rsidRPr="004F41AA" w14:paraId="6B494F2A" w14:textId="77777777" w:rsidTr="00877709">
        <w:trPr>
          <w:trHeight w:val="829"/>
        </w:trPr>
        <w:tc>
          <w:tcPr>
            <w:tcW w:w="1402" w:type="dxa"/>
            <w:tcBorders>
              <w:top w:val="nil"/>
              <w:left w:val="nil"/>
              <w:bottom w:val="nil"/>
              <w:right w:val="single" w:sz="4" w:space="0" w:color="859EA4"/>
            </w:tcBorders>
          </w:tcPr>
          <w:p w14:paraId="5A22BB15" w14:textId="77777777" w:rsidR="00877709" w:rsidRPr="00BB38E6" w:rsidRDefault="00877709" w:rsidP="00762355">
            <w:pPr>
              <w:rPr>
                <w:rFonts w:ascii="Titillium" w:hAnsi="Titillium"/>
                <w:b/>
                <w:noProof/>
                <w:sz w:val="22"/>
                <w:szCs w:val="22"/>
                <w:lang w:val="en-US"/>
              </w:rPr>
            </w:pPr>
            <w:r>
              <w:rPr>
                <w:rFonts w:ascii="Titillium" w:hAnsi="Titillium"/>
                <w:b/>
                <w:noProof/>
                <w:sz w:val="22"/>
                <w:szCs w:val="22"/>
                <w:lang w:val="en-US"/>
              </w:rPr>
              <w:t>RIE</w:t>
            </w:r>
          </w:p>
          <w:p w14:paraId="016FEA20" w14:textId="77777777" w:rsidR="00877709" w:rsidRPr="00BB38E6" w:rsidRDefault="00877709" w:rsidP="00762355">
            <w:pPr>
              <w:rPr>
                <w:rFonts w:ascii="Titillium" w:hAnsi="Titillium"/>
                <w:b/>
                <w:noProof/>
                <w:sz w:val="22"/>
                <w:szCs w:val="22"/>
                <w:lang w:val="en-US"/>
              </w:rPr>
            </w:pPr>
          </w:p>
          <w:p w14:paraId="3D758AC4" w14:textId="77777777" w:rsidR="00877709" w:rsidRPr="00BB38E6" w:rsidRDefault="00877709" w:rsidP="00762355">
            <w:pPr>
              <w:rPr>
                <w:rFonts w:ascii="Titillium" w:hAnsi="Titillium"/>
                <w:b/>
                <w:noProof/>
                <w:sz w:val="22"/>
                <w:szCs w:val="22"/>
                <w:lang w:val="en-US"/>
              </w:rPr>
            </w:pPr>
          </w:p>
          <w:p w14:paraId="6159636F" w14:textId="77777777" w:rsidR="00877709" w:rsidRPr="00BB38E6" w:rsidRDefault="00877709" w:rsidP="00762355">
            <w:pPr>
              <w:rPr>
                <w:rFonts w:ascii="Titillium" w:hAnsi="Titillium"/>
                <w:b/>
                <w:noProof/>
                <w:sz w:val="22"/>
                <w:szCs w:val="22"/>
                <w:lang w:val="en-US"/>
              </w:rPr>
            </w:pPr>
          </w:p>
        </w:tc>
        <w:tc>
          <w:tcPr>
            <w:tcW w:w="7624" w:type="dxa"/>
            <w:tcBorders>
              <w:top w:val="nil"/>
              <w:left w:val="single" w:sz="4" w:space="0" w:color="859EA4"/>
              <w:bottom w:val="nil"/>
              <w:right w:val="nil"/>
            </w:tcBorders>
          </w:tcPr>
          <w:p w14:paraId="3D4883A6" w14:textId="77777777" w:rsidR="00877709" w:rsidRDefault="00877709" w:rsidP="00877709">
            <w:pPr>
              <w:numPr>
                <w:ilvl w:val="0"/>
                <w:numId w:val="17"/>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Provide guidance to all parties involved on the application of the Framework.</w:t>
            </w:r>
          </w:p>
          <w:p w14:paraId="21EF477B" w14:textId="70DF92F2" w:rsidR="00877709" w:rsidRDefault="00877709" w:rsidP="00877709">
            <w:pPr>
              <w:numPr>
                <w:ilvl w:val="0"/>
                <w:numId w:val="17"/>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Support on the </w:t>
            </w:r>
            <w:r w:rsidR="004C45E3">
              <w:rPr>
                <w:rFonts w:ascii="Titillium" w:hAnsi="Titillium"/>
                <w:noProof/>
                <w:color w:val="579FBB"/>
                <w:sz w:val="22"/>
                <w:szCs w:val="22"/>
                <w:lang w:val="en-US"/>
              </w:rPr>
              <w:t xml:space="preserve">due diligence, </w:t>
            </w:r>
            <w:r>
              <w:rPr>
                <w:rFonts w:ascii="Titillium" w:hAnsi="Titillium"/>
                <w:noProof/>
                <w:color w:val="579FBB"/>
                <w:sz w:val="22"/>
                <w:szCs w:val="22"/>
                <w:lang w:val="en-US"/>
              </w:rPr>
              <w:t>costing, pricing, market analysis and contractual negotiation of the project.</w:t>
            </w:r>
            <w:r w:rsidR="004C45E3">
              <w:rPr>
                <w:rFonts w:ascii="Titillium" w:hAnsi="Titillium"/>
                <w:noProof/>
                <w:color w:val="579FBB"/>
                <w:sz w:val="22"/>
                <w:szCs w:val="22"/>
                <w:lang w:val="en-US"/>
              </w:rPr>
              <w:t xml:space="preserve"> </w:t>
            </w:r>
          </w:p>
          <w:p w14:paraId="7395FACB" w14:textId="77777777" w:rsidR="00877709" w:rsidRPr="00D41A56" w:rsidRDefault="00877709" w:rsidP="00877709">
            <w:pPr>
              <w:numPr>
                <w:ilvl w:val="0"/>
                <w:numId w:val="17"/>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Signpost staff members to other relevant departments as required.</w:t>
            </w:r>
          </w:p>
          <w:p w14:paraId="5BC33807" w14:textId="77777777" w:rsidR="00877709" w:rsidRPr="004F41AA" w:rsidRDefault="00877709" w:rsidP="00762355">
            <w:pPr>
              <w:ind w:left="39"/>
              <w:contextualSpacing/>
              <w:jc w:val="both"/>
              <w:rPr>
                <w:rFonts w:ascii="Titillium" w:hAnsi="Titillium"/>
                <w:noProof/>
                <w:color w:val="99CCFF"/>
                <w:sz w:val="14"/>
                <w:szCs w:val="14"/>
                <w:lang w:val="en-US"/>
              </w:rPr>
            </w:pPr>
          </w:p>
        </w:tc>
      </w:tr>
    </w:tbl>
    <w:p w14:paraId="7C140B23" w14:textId="5A814EC9" w:rsidR="00877709" w:rsidRPr="00D64581" w:rsidRDefault="00877709" w:rsidP="0067438B">
      <w:pPr>
        <w:pStyle w:val="NapierHeaders"/>
        <w:numPr>
          <w:ilvl w:val="0"/>
          <w:numId w:val="19"/>
        </w:numPr>
        <w:rPr>
          <w:lang w:eastAsia="en-GB"/>
        </w:rPr>
      </w:pPr>
      <w:bookmarkStart w:id="6" w:name="_Toc95132845"/>
      <w:r w:rsidRPr="00D64581">
        <w:rPr>
          <w:lang w:eastAsia="en-GB"/>
        </w:rPr>
        <w:t>Related Policies</w:t>
      </w:r>
      <w:bookmarkEnd w:id="6"/>
    </w:p>
    <w:p w14:paraId="27FC42DD" w14:textId="77777777" w:rsidR="00877709" w:rsidRDefault="00877709" w:rsidP="009C7612">
      <w:pPr>
        <w:spacing w:after="0" w:line="240" w:lineRule="auto"/>
        <w:rPr>
          <w:rFonts w:ascii="Titillium" w:hAnsi="Titillium"/>
          <w:b/>
          <w:noProof/>
          <w:color w:val="579FBB"/>
          <w:lang w:val="en-US"/>
        </w:rPr>
      </w:pPr>
    </w:p>
    <w:p w14:paraId="139DE996" w14:textId="6F1EDC0E" w:rsidR="00877709" w:rsidRDefault="00877709" w:rsidP="009C7612">
      <w:pPr>
        <w:spacing w:after="0" w:line="240" w:lineRule="auto"/>
        <w:jc w:val="both"/>
        <w:rPr>
          <w:rFonts w:ascii="Titillium" w:hAnsi="Titillium"/>
        </w:rPr>
      </w:pPr>
      <w:r>
        <w:rPr>
          <w:rFonts w:ascii="Titillium" w:hAnsi="Titillium"/>
        </w:rPr>
        <w:t>This Framework should be read in conjunction with:</w:t>
      </w:r>
      <w:r w:rsidR="004C45E3">
        <w:rPr>
          <w:rFonts w:ascii="Titillium" w:hAnsi="Titillium"/>
        </w:rPr>
        <w:t xml:space="preserve"> </w:t>
      </w:r>
    </w:p>
    <w:p w14:paraId="2C16D60B" w14:textId="77777777" w:rsidR="00877709" w:rsidRDefault="00877709" w:rsidP="009C7612">
      <w:pPr>
        <w:spacing w:after="0" w:line="240" w:lineRule="auto"/>
        <w:ind w:firstLine="567"/>
        <w:jc w:val="both"/>
        <w:rPr>
          <w:rFonts w:ascii="Titillium" w:hAnsi="Titillium"/>
        </w:rPr>
      </w:pPr>
    </w:p>
    <w:p w14:paraId="031E2078" w14:textId="257360A4" w:rsidR="00877709" w:rsidRPr="00330DFF" w:rsidRDefault="00877709" w:rsidP="009C7612">
      <w:pPr>
        <w:pStyle w:val="ListParagraph"/>
        <w:numPr>
          <w:ilvl w:val="0"/>
          <w:numId w:val="14"/>
        </w:numPr>
        <w:spacing w:after="0" w:line="240" w:lineRule="auto"/>
        <w:ind w:left="567" w:hanging="283"/>
        <w:jc w:val="both"/>
        <w:rPr>
          <w:rFonts w:ascii="Titillium" w:hAnsi="Titillium"/>
        </w:rPr>
      </w:pPr>
      <w:r w:rsidRPr="00BA7369">
        <w:rPr>
          <w:rFonts w:ascii="Titillium" w:hAnsi="Titillium"/>
          <w:bCs/>
        </w:rPr>
        <w:t xml:space="preserve">Framework Guidance Document </w:t>
      </w:r>
    </w:p>
    <w:p w14:paraId="564F2AE0" w14:textId="79226C0A" w:rsidR="00330DFF" w:rsidRPr="00BA7369" w:rsidRDefault="00330DFF" w:rsidP="009C7612">
      <w:pPr>
        <w:pStyle w:val="ListParagraph"/>
        <w:numPr>
          <w:ilvl w:val="0"/>
          <w:numId w:val="14"/>
        </w:numPr>
        <w:spacing w:after="0" w:line="240" w:lineRule="auto"/>
        <w:ind w:left="567" w:hanging="283"/>
        <w:jc w:val="both"/>
        <w:rPr>
          <w:rFonts w:ascii="Titillium" w:hAnsi="Titillium"/>
        </w:rPr>
      </w:pPr>
      <w:r>
        <w:rPr>
          <w:rFonts w:ascii="Titillium" w:hAnsi="Titillium"/>
          <w:bCs/>
        </w:rPr>
        <w:t>Intellectual Property (IP) Policy</w:t>
      </w:r>
    </w:p>
    <w:p w14:paraId="1111F2C3" w14:textId="77777777" w:rsidR="00877709" w:rsidRPr="006B0192" w:rsidRDefault="00877709" w:rsidP="009C7612">
      <w:pPr>
        <w:pStyle w:val="ListParagraph"/>
        <w:numPr>
          <w:ilvl w:val="0"/>
          <w:numId w:val="14"/>
        </w:numPr>
        <w:spacing w:after="0" w:line="240" w:lineRule="auto"/>
        <w:ind w:left="567" w:hanging="283"/>
        <w:jc w:val="both"/>
        <w:rPr>
          <w:rFonts w:ascii="Titillium" w:hAnsi="Titillium"/>
          <w:bCs/>
        </w:rPr>
      </w:pPr>
      <w:r>
        <w:rPr>
          <w:rFonts w:ascii="Titillium" w:hAnsi="Titillium"/>
          <w:bCs/>
        </w:rPr>
        <w:t>Contract of T</w:t>
      </w:r>
      <w:r w:rsidRPr="006B0192">
        <w:rPr>
          <w:rFonts w:ascii="Titillium" w:hAnsi="Titillium"/>
          <w:bCs/>
        </w:rPr>
        <w:t xml:space="preserve">erms and </w:t>
      </w:r>
      <w:r>
        <w:rPr>
          <w:rFonts w:ascii="Titillium" w:hAnsi="Titillium"/>
          <w:bCs/>
        </w:rPr>
        <w:t>C</w:t>
      </w:r>
      <w:r w:rsidRPr="006B0192">
        <w:rPr>
          <w:rFonts w:ascii="Titillium" w:hAnsi="Titillium"/>
          <w:bCs/>
        </w:rPr>
        <w:t xml:space="preserve">onditions of </w:t>
      </w:r>
      <w:r>
        <w:rPr>
          <w:rFonts w:ascii="Titillium" w:hAnsi="Titillium"/>
          <w:bCs/>
        </w:rPr>
        <w:t>E</w:t>
      </w:r>
      <w:r w:rsidRPr="006B0192">
        <w:rPr>
          <w:rFonts w:ascii="Titillium" w:hAnsi="Titillium"/>
          <w:bCs/>
        </w:rPr>
        <w:t xml:space="preserve">mployment </w:t>
      </w:r>
    </w:p>
    <w:p w14:paraId="789AE84C" w14:textId="77777777" w:rsidR="00877709" w:rsidRDefault="00877709" w:rsidP="009C7612">
      <w:pPr>
        <w:pStyle w:val="ListParagraph"/>
        <w:numPr>
          <w:ilvl w:val="0"/>
          <w:numId w:val="14"/>
        </w:numPr>
        <w:spacing w:after="0" w:line="240" w:lineRule="auto"/>
        <w:ind w:left="567" w:hanging="283"/>
        <w:jc w:val="both"/>
        <w:rPr>
          <w:rFonts w:ascii="Titillium" w:hAnsi="Titillium"/>
          <w:bCs/>
        </w:rPr>
      </w:pPr>
      <w:r w:rsidRPr="006B0192">
        <w:rPr>
          <w:rFonts w:ascii="Titillium" w:hAnsi="Titillium"/>
          <w:bCs/>
        </w:rPr>
        <w:t>Financial Regulations (</w:t>
      </w:r>
      <w:r>
        <w:rPr>
          <w:rFonts w:ascii="Titillium" w:hAnsi="Titillium"/>
          <w:bCs/>
        </w:rPr>
        <w:t>s</w:t>
      </w:r>
      <w:r w:rsidRPr="006B0192">
        <w:rPr>
          <w:rFonts w:ascii="Titillium" w:hAnsi="Titillium"/>
          <w:bCs/>
        </w:rPr>
        <w:t>pecifically Bribery Act Policy Statement)</w:t>
      </w:r>
    </w:p>
    <w:p w14:paraId="69CE940F" w14:textId="77777777" w:rsidR="00877709" w:rsidRPr="00345595" w:rsidRDefault="00877709" w:rsidP="009C7612">
      <w:pPr>
        <w:pStyle w:val="ListParagraph"/>
        <w:numPr>
          <w:ilvl w:val="0"/>
          <w:numId w:val="14"/>
        </w:numPr>
        <w:spacing w:after="0" w:line="240" w:lineRule="auto"/>
        <w:ind w:left="567" w:hanging="283"/>
        <w:jc w:val="both"/>
        <w:rPr>
          <w:rFonts w:ascii="Titillium" w:hAnsi="Titillium"/>
          <w:bCs/>
        </w:rPr>
      </w:pPr>
      <w:r w:rsidRPr="00345595">
        <w:rPr>
          <w:rFonts w:ascii="Titillium" w:hAnsi="Titillium"/>
          <w:bCs/>
        </w:rPr>
        <w:t xml:space="preserve">Disclosure of </w:t>
      </w:r>
      <w:r>
        <w:rPr>
          <w:rFonts w:ascii="Titillium" w:hAnsi="Titillium"/>
          <w:bCs/>
        </w:rPr>
        <w:t>O</w:t>
      </w:r>
      <w:r w:rsidRPr="00345595">
        <w:rPr>
          <w:rFonts w:ascii="Titillium" w:hAnsi="Titillium"/>
          <w:bCs/>
        </w:rPr>
        <w:t xml:space="preserve">ther </w:t>
      </w:r>
      <w:r>
        <w:rPr>
          <w:rFonts w:ascii="Titillium" w:hAnsi="Titillium"/>
          <w:bCs/>
        </w:rPr>
        <w:t>I</w:t>
      </w:r>
      <w:r w:rsidRPr="00345595">
        <w:rPr>
          <w:rFonts w:ascii="Titillium" w:hAnsi="Titillium"/>
          <w:bCs/>
        </w:rPr>
        <w:t>nterests (currently in development)</w:t>
      </w:r>
    </w:p>
    <w:p w14:paraId="6DE7F8F4" w14:textId="6F8F1594" w:rsidR="00877709" w:rsidRDefault="00877709">
      <w:pPr>
        <w:rPr>
          <w:rFonts w:ascii="Interstate Regular" w:eastAsiaTheme="majorEastAsia" w:hAnsi="Interstate Regular" w:cstheme="majorBidi"/>
          <w:color w:val="E5233F"/>
          <w:sz w:val="32"/>
          <w:szCs w:val="32"/>
        </w:rPr>
      </w:pPr>
    </w:p>
    <w:p w14:paraId="13E9D82F" w14:textId="46C2E0EE" w:rsidR="00877709" w:rsidRDefault="00877709" w:rsidP="00076977">
      <w:pPr>
        <w:pStyle w:val="NapierHeaders"/>
        <w:rPr>
          <w:lang w:eastAsia="en-GB"/>
        </w:rPr>
      </w:pPr>
      <w:bookmarkStart w:id="7" w:name="_Toc95132846"/>
      <w:r>
        <w:rPr>
          <w:noProof/>
          <w:lang w:eastAsia="en-GB"/>
        </w:rPr>
        <w:lastRenderedPageBreak/>
        <w:drawing>
          <wp:anchor distT="0" distB="0" distL="114300" distR="114300" simplePos="0" relativeHeight="251685888" behindDoc="1" locked="0" layoutInCell="1" allowOverlap="1" wp14:anchorId="665E5C9B" wp14:editId="42EDD952">
            <wp:simplePos x="0" y="0"/>
            <wp:positionH relativeFrom="margin">
              <wp:align>center</wp:align>
            </wp:positionH>
            <wp:positionV relativeFrom="paragraph">
              <wp:posOffset>409321</wp:posOffset>
            </wp:positionV>
            <wp:extent cx="6544310" cy="7814310"/>
            <wp:effectExtent l="19050" t="0" r="85090" b="53340"/>
            <wp:wrapTight wrapText="bothSides">
              <wp:wrapPolygon edited="0">
                <wp:start x="-63" y="0"/>
                <wp:lineTo x="-63" y="4213"/>
                <wp:lineTo x="10312" y="4213"/>
                <wp:lineTo x="-63" y="4950"/>
                <wp:lineTo x="-63" y="6740"/>
                <wp:lineTo x="10312" y="6740"/>
                <wp:lineTo x="-63" y="7425"/>
                <wp:lineTo x="-63" y="9215"/>
                <wp:lineTo x="10312" y="9268"/>
                <wp:lineTo x="-63" y="9952"/>
                <wp:lineTo x="-63" y="11690"/>
                <wp:lineTo x="10312" y="11795"/>
                <wp:lineTo x="-63" y="12427"/>
                <wp:lineTo x="-63" y="14217"/>
                <wp:lineTo x="10312" y="14323"/>
                <wp:lineTo x="-63" y="14902"/>
                <wp:lineTo x="-63" y="16692"/>
                <wp:lineTo x="9934" y="16850"/>
                <wp:lineTo x="-63" y="17377"/>
                <wp:lineTo x="-63" y="19167"/>
                <wp:lineTo x="9934" y="19378"/>
                <wp:lineTo x="-63" y="19904"/>
                <wp:lineTo x="-63" y="21695"/>
                <wp:lineTo x="21755" y="21695"/>
                <wp:lineTo x="21818" y="19957"/>
                <wp:lineTo x="20812" y="19852"/>
                <wp:lineTo x="11695" y="19378"/>
                <wp:lineTo x="18989" y="19378"/>
                <wp:lineTo x="21818" y="19167"/>
                <wp:lineTo x="21818" y="17430"/>
                <wp:lineTo x="20812" y="17324"/>
                <wp:lineTo x="11695" y="16850"/>
                <wp:lineTo x="21818" y="16692"/>
                <wp:lineTo x="21818" y="14902"/>
                <wp:lineTo x="11318" y="14323"/>
                <wp:lineTo x="21818" y="14217"/>
                <wp:lineTo x="21818" y="12480"/>
                <wp:lineTo x="20309" y="12322"/>
                <wp:lineTo x="11318" y="11795"/>
                <wp:lineTo x="21818" y="11690"/>
                <wp:lineTo x="21818" y="9952"/>
                <wp:lineTo x="11318" y="9268"/>
                <wp:lineTo x="21818" y="9215"/>
                <wp:lineTo x="21818" y="7425"/>
                <wp:lineTo x="11318" y="6740"/>
                <wp:lineTo x="21378" y="6740"/>
                <wp:lineTo x="21818" y="6687"/>
                <wp:lineTo x="21818" y="4950"/>
                <wp:lineTo x="11318" y="4213"/>
                <wp:lineTo x="21378" y="4213"/>
                <wp:lineTo x="21818" y="4160"/>
                <wp:lineTo x="21755" y="0"/>
                <wp:lineTo x="-63"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C72ED4">
        <w:rPr>
          <w:lang w:eastAsia="en-GB"/>
        </w:rPr>
        <w:t>Appendix 1</w:t>
      </w:r>
      <w:r w:rsidR="00841F46">
        <w:rPr>
          <w:lang w:eastAsia="en-GB"/>
        </w:rPr>
        <w:t>a</w:t>
      </w:r>
      <w:r w:rsidRPr="00C72ED4">
        <w:rPr>
          <w:lang w:eastAsia="en-GB"/>
        </w:rPr>
        <w:t xml:space="preserve"> – </w:t>
      </w:r>
      <w:r w:rsidRPr="00995269">
        <w:rPr>
          <w:lang w:eastAsia="en-GB"/>
        </w:rPr>
        <w:t>Process</w:t>
      </w:r>
      <w:r w:rsidR="007B583D">
        <w:rPr>
          <w:lang w:eastAsia="en-GB"/>
        </w:rPr>
        <w:t xml:space="preserve"> for Academic Staff</w:t>
      </w:r>
      <w:bookmarkEnd w:id="7"/>
      <w:r>
        <w:rPr>
          <w:lang w:eastAsia="en-GB"/>
        </w:rPr>
        <w:br w:type="page"/>
      </w:r>
    </w:p>
    <w:p w14:paraId="0E9DF5EA" w14:textId="7E36A655" w:rsidR="00762355" w:rsidRDefault="00762355" w:rsidP="00222FA3">
      <w:pPr>
        <w:spacing w:after="0" w:line="240" w:lineRule="auto"/>
        <w:jc w:val="both"/>
        <w:rPr>
          <w:lang w:eastAsia="en-GB"/>
        </w:rPr>
      </w:pPr>
      <w:bookmarkStart w:id="8" w:name="_Toc95132847"/>
      <w:r w:rsidRPr="00076977">
        <w:rPr>
          <w:rStyle w:val="Style1Char"/>
          <w:lang w:eastAsia="en-GB"/>
        </w:rPr>
        <w:lastRenderedPageBreak/>
        <w:t>Project Scoping</w:t>
      </w:r>
      <w:bookmarkEnd w:id="8"/>
    </w:p>
    <w:p w14:paraId="246D7666" w14:textId="4C383DFF" w:rsidR="007B583D" w:rsidRPr="00563E08" w:rsidRDefault="00762355" w:rsidP="00222FA3">
      <w:pPr>
        <w:spacing w:after="0" w:line="240" w:lineRule="auto"/>
        <w:jc w:val="both"/>
        <w:rPr>
          <w:rFonts w:ascii="Titillium" w:hAnsi="Titillium"/>
        </w:rPr>
      </w:pPr>
      <w:r w:rsidRPr="00563E08">
        <w:rPr>
          <w:rFonts w:ascii="Titillium" w:hAnsi="Titillium"/>
        </w:rPr>
        <w:t>Either the staff member or the BDRM will hav</w:t>
      </w:r>
      <w:r w:rsidR="00B64873">
        <w:rPr>
          <w:rFonts w:ascii="Titillium" w:hAnsi="Titillium"/>
        </w:rPr>
        <w:t>e an initial conversation with the</w:t>
      </w:r>
      <w:r w:rsidRPr="00563E08">
        <w:rPr>
          <w:rFonts w:ascii="Titillium" w:hAnsi="Titillium"/>
        </w:rPr>
        <w:t xml:space="preserve"> potential client. If the project develops and is expected to proceed, at the earliest opportunity the staff member must create a </w:t>
      </w:r>
      <w:proofErr w:type="spellStart"/>
      <w:r w:rsidRPr="00563E08">
        <w:rPr>
          <w:rFonts w:ascii="Titillium" w:hAnsi="Titillium"/>
        </w:rPr>
        <w:t>Worktribe</w:t>
      </w:r>
      <w:proofErr w:type="spellEnd"/>
      <w:r w:rsidRPr="00563E08">
        <w:rPr>
          <w:rFonts w:ascii="Titillium" w:hAnsi="Titillium"/>
        </w:rPr>
        <w:t xml:space="preserve"> (WT) project. If the client is not on WT as a funder, then t</w:t>
      </w:r>
      <w:r w:rsidR="00C51EBB">
        <w:rPr>
          <w:rFonts w:ascii="Titillium" w:hAnsi="Titillium"/>
        </w:rPr>
        <w:t xml:space="preserve">he academic needs to inform RIE, </w:t>
      </w:r>
      <w:r w:rsidRPr="00563E08">
        <w:rPr>
          <w:rFonts w:ascii="Titillium" w:hAnsi="Titillium"/>
        </w:rPr>
        <w:t xml:space="preserve">necessary </w:t>
      </w:r>
      <w:r w:rsidR="00010225" w:rsidRPr="00563E08">
        <w:rPr>
          <w:rFonts w:ascii="Titillium" w:hAnsi="Titillium"/>
        </w:rPr>
        <w:t xml:space="preserve">financial </w:t>
      </w:r>
      <w:r w:rsidR="00C51EBB">
        <w:rPr>
          <w:rFonts w:ascii="Titillium" w:hAnsi="Titillium"/>
        </w:rPr>
        <w:t>due diligence will be</w:t>
      </w:r>
      <w:r w:rsidRPr="00563E08">
        <w:rPr>
          <w:rFonts w:ascii="Titillium" w:hAnsi="Titillium"/>
        </w:rPr>
        <w:t xml:space="preserve"> carried out</w:t>
      </w:r>
      <w:r w:rsidR="00C51EBB">
        <w:rPr>
          <w:rFonts w:ascii="Titillium" w:hAnsi="Titillium"/>
        </w:rPr>
        <w:t xml:space="preserve"> and the funder</w:t>
      </w:r>
      <w:r w:rsidR="00010225" w:rsidRPr="00563E08">
        <w:rPr>
          <w:rFonts w:ascii="Titillium" w:hAnsi="Titillium"/>
        </w:rPr>
        <w:t xml:space="preserve"> added to the system</w:t>
      </w:r>
      <w:r w:rsidRPr="00563E08">
        <w:rPr>
          <w:rFonts w:ascii="Titillium" w:hAnsi="Titillium"/>
        </w:rPr>
        <w:t xml:space="preserve">. </w:t>
      </w:r>
      <w:r w:rsidR="00EC1E95" w:rsidRPr="00EC1E95">
        <w:t xml:space="preserve"> </w:t>
      </w:r>
      <w:r w:rsidR="00EC1E95" w:rsidRPr="00EC1E95">
        <w:rPr>
          <w:rFonts w:ascii="Titillium" w:hAnsi="Titillium"/>
        </w:rPr>
        <w:t>All projects will be assessed against definitions to ensure accurate categorisation. If a project is a research project, then it would be out with scope and will follow normal research application process.</w:t>
      </w:r>
      <w:r w:rsidR="00EC1E95">
        <w:rPr>
          <w:rFonts w:ascii="Titillium" w:hAnsi="Titillium"/>
        </w:rPr>
        <w:t xml:space="preserve"> </w:t>
      </w:r>
    </w:p>
    <w:p w14:paraId="187AA1E4" w14:textId="3EA15BD6" w:rsidR="00762355" w:rsidRPr="00076977" w:rsidRDefault="00762355" w:rsidP="00222FA3">
      <w:pPr>
        <w:spacing w:after="0" w:line="240" w:lineRule="auto"/>
        <w:jc w:val="both"/>
        <w:rPr>
          <w:lang w:eastAsia="en-GB"/>
        </w:rPr>
      </w:pPr>
    </w:p>
    <w:p w14:paraId="2CFEA395" w14:textId="5BEB201B" w:rsidR="00563E08" w:rsidRDefault="00076977" w:rsidP="00222FA3">
      <w:pPr>
        <w:spacing w:after="0" w:line="240" w:lineRule="auto"/>
        <w:jc w:val="both"/>
        <w:rPr>
          <w:rStyle w:val="Style1Char"/>
          <w:lang w:eastAsia="en-GB"/>
        </w:rPr>
      </w:pPr>
      <w:bookmarkStart w:id="9" w:name="_Toc95132848"/>
      <w:r w:rsidRPr="00076977">
        <w:rPr>
          <w:rStyle w:val="Style1Char"/>
        </w:rPr>
        <w:t>L</w:t>
      </w:r>
      <w:r w:rsidR="00762355" w:rsidRPr="00076977">
        <w:rPr>
          <w:rStyle w:val="Style1Char"/>
          <w:lang w:eastAsia="en-GB"/>
        </w:rPr>
        <w:t xml:space="preserve">ine Manager Discussion </w:t>
      </w:r>
      <w:r w:rsidR="007B583D">
        <w:rPr>
          <w:rStyle w:val="Style1Char"/>
          <w:lang w:eastAsia="en-GB"/>
        </w:rPr>
        <w:t>and</w:t>
      </w:r>
      <w:r w:rsidR="00762355" w:rsidRPr="00076977">
        <w:rPr>
          <w:rStyle w:val="Style1Char"/>
          <w:lang w:eastAsia="en-GB"/>
        </w:rPr>
        <w:t xml:space="preserve"> Approval</w:t>
      </w:r>
      <w:bookmarkEnd w:id="9"/>
      <w:r w:rsidR="00267145">
        <w:rPr>
          <w:rStyle w:val="Style1Char"/>
          <w:lang w:eastAsia="en-GB"/>
        </w:rPr>
        <w:t xml:space="preserve"> </w:t>
      </w:r>
    </w:p>
    <w:p w14:paraId="0A8E1A9D" w14:textId="01F31AE2" w:rsidR="00762355" w:rsidRPr="00563E08" w:rsidRDefault="002417FC" w:rsidP="00222FA3">
      <w:pPr>
        <w:spacing w:after="0" w:line="240" w:lineRule="auto"/>
        <w:jc w:val="both"/>
        <w:rPr>
          <w:rFonts w:ascii="Titillium" w:hAnsi="Titillium"/>
        </w:rPr>
      </w:pPr>
      <w:r w:rsidRPr="00563E08">
        <w:rPr>
          <w:rFonts w:ascii="Titillium" w:hAnsi="Titillium"/>
        </w:rPr>
        <w:t>If a project is proceeding, the s</w:t>
      </w:r>
      <w:r w:rsidR="00762355" w:rsidRPr="00563E08">
        <w:rPr>
          <w:rFonts w:ascii="Titillium" w:hAnsi="Titillium"/>
        </w:rPr>
        <w:t xml:space="preserve">taff member </w:t>
      </w:r>
      <w:r w:rsidRPr="00563E08">
        <w:rPr>
          <w:rFonts w:ascii="Titillium" w:hAnsi="Titillium"/>
        </w:rPr>
        <w:t xml:space="preserve">must </w:t>
      </w:r>
      <w:r w:rsidR="00762355" w:rsidRPr="00563E08">
        <w:rPr>
          <w:rFonts w:ascii="Titillium" w:hAnsi="Titillium"/>
        </w:rPr>
        <w:t>discuss activity with</w:t>
      </w:r>
      <w:r w:rsidRPr="00563E08">
        <w:rPr>
          <w:rFonts w:ascii="Titillium" w:hAnsi="Titillium"/>
        </w:rPr>
        <w:t xml:space="preserve"> their</w:t>
      </w:r>
      <w:r w:rsidR="00B64873">
        <w:rPr>
          <w:rFonts w:ascii="Titillium" w:hAnsi="Titillium"/>
        </w:rPr>
        <w:t xml:space="preserve"> line m</w:t>
      </w:r>
      <w:r w:rsidR="00762355" w:rsidRPr="00563E08">
        <w:rPr>
          <w:rFonts w:ascii="Titillium" w:hAnsi="Titillium"/>
        </w:rPr>
        <w:t>anager</w:t>
      </w:r>
      <w:r w:rsidR="00B64873">
        <w:rPr>
          <w:rFonts w:ascii="Titillium" w:hAnsi="Titillium"/>
        </w:rPr>
        <w:t xml:space="preserve">, </w:t>
      </w:r>
      <w:r w:rsidR="00010225" w:rsidRPr="00563E08">
        <w:rPr>
          <w:rFonts w:ascii="Titillium" w:hAnsi="Titillium"/>
        </w:rPr>
        <w:t xml:space="preserve">or </w:t>
      </w:r>
      <w:r w:rsidR="00B64873" w:rsidRPr="00B64873">
        <w:rPr>
          <w:rFonts w:ascii="Titillium" w:hAnsi="Titillium"/>
        </w:rPr>
        <w:t xml:space="preserve">in </w:t>
      </w:r>
      <w:r w:rsidR="00B64873">
        <w:rPr>
          <w:rFonts w:ascii="Titillium" w:hAnsi="Titillium"/>
        </w:rPr>
        <w:t xml:space="preserve">the absence of the line manager, with their </w:t>
      </w:r>
      <w:r w:rsidR="00B64873" w:rsidRPr="00B64873">
        <w:rPr>
          <w:rFonts w:ascii="Titillium" w:hAnsi="Titillium"/>
        </w:rPr>
        <w:t xml:space="preserve">Head of Subject </w:t>
      </w:r>
      <w:r w:rsidR="00B64873">
        <w:rPr>
          <w:rFonts w:ascii="Titillium" w:hAnsi="Titillium"/>
        </w:rPr>
        <w:t xml:space="preserve">Group </w:t>
      </w:r>
      <w:r w:rsidR="00B64873" w:rsidRPr="00B64873">
        <w:rPr>
          <w:rFonts w:ascii="Titillium" w:hAnsi="Titillium"/>
        </w:rPr>
        <w:t>or Dean of School.</w:t>
      </w:r>
      <w:r w:rsidRPr="00563E08">
        <w:rPr>
          <w:rFonts w:ascii="Titillium" w:hAnsi="Titillium"/>
        </w:rPr>
        <w:t xml:space="preserve"> In this discussion, it is advised that the project scope is reviewed and there is consideration given to confirm that the activity is </w:t>
      </w:r>
      <w:r w:rsidR="00C3464B">
        <w:rPr>
          <w:rFonts w:ascii="Titillium" w:hAnsi="Titillium"/>
        </w:rPr>
        <w:t>relevant</w:t>
      </w:r>
      <w:r w:rsidRPr="00563E08">
        <w:rPr>
          <w:rFonts w:ascii="Titillium" w:hAnsi="Titillium"/>
        </w:rPr>
        <w:t xml:space="preserve"> </w:t>
      </w:r>
      <w:r w:rsidR="00C3464B">
        <w:rPr>
          <w:rFonts w:ascii="Titillium" w:hAnsi="Titillium"/>
        </w:rPr>
        <w:t>to</w:t>
      </w:r>
      <w:r w:rsidRPr="00563E08">
        <w:rPr>
          <w:rFonts w:ascii="Titillium" w:hAnsi="Titillium"/>
        </w:rPr>
        <w:t xml:space="preserve"> the work required. For example – an academic must charge for an adequate </w:t>
      </w:r>
      <w:proofErr w:type="gramStart"/>
      <w:r w:rsidRPr="00563E08">
        <w:rPr>
          <w:rFonts w:ascii="Titillium" w:hAnsi="Titillium"/>
        </w:rPr>
        <w:t>amount</w:t>
      </w:r>
      <w:proofErr w:type="gramEnd"/>
      <w:r w:rsidRPr="00563E08">
        <w:rPr>
          <w:rFonts w:ascii="Titillium" w:hAnsi="Titillium"/>
        </w:rPr>
        <w:t xml:space="preserve"> of days to cover the activity. In this discussion the line</w:t>
      </w:r>
      <w:r w:rsidR="00C3464B">
        <w:rPr>
          <w:rFonts w:ascii="Titillium" w:hAnsi="Titillium"/>
        </w:rPr>
        <w:t xml:space="preserve"> manager</w:t>
      </w:r>
      <w:r w:rsidRPr="00563E08">
        <w:rPr>
          <w:rFonts w:ascii="Titillium" w:hAnsi="Titillium"/>
        </w:rPr>
        <w:t xml:space="preserve"> must also </w:t>
      </w:r>
      <w:r w:rsidR="00762355" w:rsidRPr="00563E08">
        <w:rPr>
          <w:rFonts w:ascii="Titillium" w:hAnsi="Titillium"/>
        </w:rPr>
        <w:t xml:space="preserve">determine if </w:t>
      </w:r>
      <w:r w:rsidRPr="00563E08">
        <w:rPr>
          <w:rFonts w:ascii="Titillium" w:hAnsi="Titillium"/>
        </w:rPr>
        <w:t xml:space="preserve">a </w:t>
      </w:r>
      <w:r w:rsidR="00762355" w:rsidRPr="00563E08">
        <w:rPr>
          <w:rFonts w:ascii="Titillium" w:hAnsi="Titillium"/>
        </w:rPr>
        <w:t>project is feasible within, or is out with, WAM.</w:t>
      </w:r>
      <w:r w:rsidR="00267145">
        <w:rPr>
          <w:rFonts w:ascii="Titillium" w:hAnsi="Titillium"/>
        </w:rPr>
        <w:t xml:space="preserve"> In accordance with the email template in Appendix 4 – t</w:t>
      </w:r>
      <w:r w:rsidRPr="00563E08">
        <w:rPr>
          <w:rFonts w:ascii="Titillium" w:hAnsi="Titillium"/>
        </w:rPr>
        <w:t xml:space="preserve">he </w:t>
      </w:r>
      <w:r w:rsidR="00762355" w:rsidRPr="00563E08">
        <w:rPr>
          <w:rFonts w:ascii="Titillium" w:hAnsi="Titillium"/>
        </w:rPr>
        <w:t xml:space="preserve">Line Manager </w:t>
      </w:r>
      <w:r w:rsidR="00C51EBB">
        <w:rPr>
          <w:rFonts w:ascii="Titillium" w:hAnsi="Titillium"/>
        </w:rPr>
        <w:t xml:space="preserve">must send a </w:t>
      </w:r>
      <w:r w:rsidR="00762355" w:rsidRPr="00563E08">
        <w:rPr>
          <w:rFonts w:ascii="Titillium" w:hAnsi="Titillium"/>
        </w:rPr>
        <w:t xml:space="preserve">Consultancy and Commercial Activity </w:t>
      </w:r>
      <w:r w:rsidR="00C51EBB">
        <w:rPr>
          <w:rFonts w:ascii="Titillium" w:hAnsi="Titillium"/>
        </w:rPr>
        <w:t xml:space="preserve">approval email and </w:t>
      </w:r>
      <w:r w:rsidR="00267145">
        <w:rPr>
          <w:rFonts w:ascii="Titillium" w:hAnsi="Titillium"/>
        </w:rPr>
        <w:t xml:space="preserve">the staff member or RIE must upload to </w:t>
      </w:r>
      <w:r w:rsidR="00762355" w:rsidRPr="00563E08">
        <w:rPr>
          <w:rFonts w:ascii="Titillium" w:hAnsi="Titillium"/>
        </w:rPr>
        <w:t>WT</w:t>
      </w:r>
      <w:r w:rsidR="00267145">
        <w:rPr>
          <w:rFonts w:ascii="Titillium" w:hAnsi="Titillium"/>
        </w:rPr>
        <w:t xml:space="preserve"> documents tab</w:t>
      </w:r>
      <w:r w:rsidR="00762355" w:rsidRPr="00563E08">
        <w:rPr>
          <w:rFonts w:ascii="Titillium" w:hAnsi="Titillium"/>
        </w:rPr>
        <w:t>.</w:t>
      </w:r>
      <w:r w:rsidR="00267145">
        <w:rPr>
          <w:rFonts w:ascii="Titillium" w:hAnsi="Titillium"/>
        </w:rPr>
        <w:t xml:space="preserve"> </w:t>
      </w:r>
    </w:p>
    <w:p w14:paraId="6168D368" w14:textId="77777777" w:rsidR="007B583D" w:rsidRPr="00076977" w:rsidRDefault="007B583D" w:rsidP="00222FA3">
      <w:pPr>
        <w:spacing w:after="0" w:line="240" w:lineRule="auto"/>
        <w:jc w:val="both"/>
        <w:rPr>
          <w:lang w:eastAsia="en-GB"/>
        </w:rPr>
      </w:pPr>
    </w:p>
    <w:p w14:paraId="469026F9" w14:textId="77777777" w:rsidR="00563E08" w:rsidRDefault="00762355" w:rsidP="00222FA3">
      <w:pPr>
        <w:spacing w:after="0" w:line="240" w:lineRule="auto"/>
        <w:jc w:val="both"/>
        <w:rPr>
          <w:rStyle w:val="Style1Char"/>
          <w:lang w:eastAsia="en-GB"/>
        </w:rPr>
      </w:pPr>
      <w:bookmarkStart w:id="10" w:name="_Toc95132849"/>
      <w:r w:rsidRPr="00076977">
        <w:rPr>
          <w:rStyle w:val="Style1Char"/>
        </w:rPr>
        <w:t>Project Development</w:t>
      </w:r>
      <w:bookmarkEnd w:id="10"/>
    </w:p>
    <w:p w14:paraId="37B07C4E" w14:textId="13FF8146" w:rsidR="00D02AAF" w:rsidRPr="00563E08" w:rsidRDefault="00762355" w:rsidP="00222FA3">
      <w:pPr>
        <w:spacing w:after="0" w:line="240" w:lineRule="auto"/>
        <w:jc w:val="both"/>
        <w:rPr>
          <w:rFonts w:ascii="Titillium" w:hAnsi="Titillium"/>
        </w:rPr>
      </w:pPr>
      <w:r w:rsidRPr="00563E08">
        <w:rPr>
          <w:rFonts w:ascii="Titillium" w:hAnsi="Titillium"/>
        </w:rPr>
        <w:t>Based on project scope</w:t>
      </w:r>
      <w:r w:rsidR="00010225" w:rsidRPr="00563E08">
        <w:rPr>
          <w:rFonts w:ascii="Titillium" w:hAnsi="Titillium"/>
        </w:rPr>
        <w:t xml:space="preserve"> </w:t>
      </w:r>
      <w:r w:rsidR="0074641F" w:rsidRPr="00563E08">
        <w:rPr>
          <w:rFonts w:ascii="Titillium" w:hAnsi="Titillium"/>
        </w:rPr>
        <w:t>and information provided by the academic regarding resources required</w:t>
      </w:r>
      <w:r w:rsidRPr="00563E08">
        <w:rPr>
          <w:rFonts w:ascii="Titillium" w:hAnsi="Titillium"/>
        </w:rPr>
        <w:t xml:space="preserve">, </w:t>
      </w:r>
      <w:r w:rsidR="00010225" w:rsidRPr="00563E08">
        <w:rPr>
          <w:rFonts w:ascii="Titillium" w:hAnsi="Titillium"/>
        </w:rPr>
        <w:t xml:space="preserve">RIE will </w:t>
      </w:r>
      <w:r w:rsidR="0074641F" w:rsidRPr="00563E08">
        <w:rPr>
          <w:rFonts w:ascii="Titillium" w:hAnsi="Titillium"/>
        </w:rPr>
        <w:t>advis</w:t>
      </w:r>
      <w:r w:rsidR="00010225" w:rsidRPr="00563E08">
        <w:rPr>
          <w:rFonts w:ascii="Titillium" w:hAnsi="Titillium"/>
        </w:rPr>
        <w:t xml:space="preserve">e on </w:t>
      </w:r>
      <w:r w:rsidRPr="00563E08">
        <w:rPr>
          <w:rFonts w:ascii="Titillium" w:hAnsi="Titillium"/>
        </w:rPr>
        <w:t>cost</w:t>
      </w:r>
      <w:r w:rsidR="00010225" w:rsidRPr="00563E08">
        <w:rPr>
          <w:rFonts w:ascii="Titillium" w:hAnsi="Titillium"/>
        </w:rPr>
        <w:t>ing</w:t>
      </w:r>
      <w:r w:rsidR="0074641F" w:rsidRPr="00563E08">
        <w:rPr>
          <w:rFonts w:ascii="Titillium" w:hAnsi="Titillium"/>
        </w:rPr>
        <w:t xml:space="preserve">, </w:t>
      </w:r>
      <w:r w:rsidRPr="00563E08">
        <w:rPr>
          <w:rFonts w:ascii="Titillium" w:hAnsi="Titillium"/>
        </w:rPr>
        <w:t>market analysis</w:t>
      </w:r>
      <w:r w:rsidR="00010225" w:rsidRPr="00563E08">
        <w:rPr>
          <w:rFonts w:ascii="Titillium" w:hAnsi="Titillium"/>
        </w:rPr>
        <w:t xml:space="preserve"> and confirmation of </w:t>
      </w:r>
      <w:r w:rsidRPr="00563E08">
        <w:rPr>
          <w:rFonts w:ascii="Titillium" w:hAnsi="Titillium"/>
        </w:rPr>
        <w:t>price</w:t>
      </w:r>
      <w:r w:rsidR="00010225" w:rsidRPr="00563E08">
        <w:rPr>
          <w:rFonts w:ascii="Titillium" w:hAnsi="Titillium"/>
        </w:rPr>
        <w:t xml:space="preserve">. Once the price has been determined, this </w:t>
      </w:r>
      <w:r w:rsidR="004A2ACD">
        <w:rPr>
          <w:rFonts w:ascii="Titillium" w:hAnsi="Titillium"/>
        </w:rPr>
        <w:t xml:space="preserve">will </w:t>
      </w:r>
      <w:r w:rsidR="00010225" w:rsidRPr="00563E08">
        <w:rPr>
          <w:rFonts w:ascii="Titillium" w:hAnsi="Titillium"/>
        </w:rPr>
        <w:t xml:space="preserve">be utilised for preparation of the </w:t>
      </w:r>
      <w:r w:rsidRPr="00563E08">
        <w:rPr>
          <w:rFonts w:ascii="Titillium" w:hAnsi="Titillium"/>
        </w:rPr>
        <w:t xml:space="preserve">final quote. </w:t>
      </w:r>
      <w:r w:rsidR="0074641F" w:rsidRPr="00563E08">
        <w:rPr>
          <w:rFonts w:ascii="Titillium" w:hAnsi="Titillium"/>
        </w:rPr>
        <w:t>RIE will also advise on any outcomes from the due diligence. I</w:t>
      </w:r>
      <w:r w:rsidRPr="00563E08">
        <w:rPr>
          <w:rFonts w:ascii="Titillium" w:hAnsi="Titillium"/>
        </w:rPr>
        <w:t xml:space="preserve">f required, RIE will </w:t>
      </w:r>
      <w:r w:rsidR="00010225" w:rsidRPr="00563E08">
        <w:rPr>
          <w:rFonts w:ascii="Titillium" w:hAnsi="Titillium"/>
        </w:rPr>
        <w:t>support on generating</w:t>
      </w:r>
      <w:r w:rsidRPr="00563E08">
        <w:rPr>
          <w:rFonts w:ascii="Titillium" w:hAnsi="Titillium"/>
        </w:rPr>
        <w:t xml:space="preserve"> indicative client quick quotes</w:t>
      </w:r>
      <w:r w:rsidR="00D02AAF" w:rsidRPr="00563E08">
        <w:rPr>
          <w:rFonts w:ascii="Titillium" w:hAnsi="Titillium"/>
        </w:rPr>
        <w:t xml:space="preserve">, please see Appendix 3 for an overview of indicative costs. </w:t>
      </w:r>
    </w:p>
    <w:p w14:paraId="500534C9" w14:textId="1C0364EA" w:rsidR="00D02AAF" w:rsidRPr="00563E08" w:rsidRDefault="00D02AAF" w:rsidP="00222FA3">
      <w:pPr>
        <w:spacing w:after="0" w:line="240" w:lineRule="auto"/>
        <w:jc w:val="both"/>
        <w:rPr>
          <w:rFonts w:ascii="Titillium" w:hAnsi="Titillium"/>
        </w:rPr>
      </w:pPr>
    </w:p>
    <w:p w14:paraId="536426CB" w14:textId="497E50BD" w:rsidR="00043977" w:rsidRPr="00B64873" w:rsidRDefault="00043977" w:rsidP="00222FA3">
      <w:pPr>
        <w:spacing w:after="0" w:line="240" w:lineRule="auto"/>
        <w:jc w:val="both"/>
        <w:rPr>
          <w:rFonts w:ascii="Titillium" w:hAnsi="Titillium"/>
        </w:rPr>
      </w:pPr>
      <w:r>
        <w:rPr>
          <w:rFonts w:ascii="Titillium" w:hAnsi="Titillium"/>
        </w:rPr>
        <w:t xml:space="preserve">Consideration should also be given to any </w:t>
      </w:r>
      <w:r w:rsidR="00B64873">
        <w:rPr>
          <w:rFonts w:ascii="Titillium" w:hAnsi="Titillium"/>
        </w:rPr>
        <w:t>data m</w:t>
      </w:r>
      <w:r w:rsidRPr="00563E08">
        <w:rPr>
          <w:rFonts w:ascii="Titillium" w:hAnsi="Titillium"/>
        </w:rPr>
        <w:t>anagement</w:t>
      </w:r>
      <w:r>
        <w:rPr>
          <w:rFonts w:ascii="Titillium" w:hAnsi="Titillium"/>
        </w:rPr>
        <w:t xml:space="preserve">, data sharing and data governance. </w:t>
      </w:r>
      <w:r w:rsidR="00236ED1">
        <w:rPr>
          <w:rFonts w:ascii="Titillium" w:hAnsi="Titillium"/>
        </w:rPr>
        <w:t xml:space="preserve">Further information can be found on </w:t>
      </w:r>
      <w:r w:rsidR="00236ED1" w:rsidRPr="00563E08">
        <w:rPr>
          <w:rFonts w:ascii="Titillium" w:hAnsi="Titillium"/>
        </w:rPr>
        <w:t>RIE’s</w:t>
      </w:r>
      <w:r w:rsidR="005649F6">
        <w:rPr>
          <w:rFonts w:ascii="Titillium" w:hAnsi="Titillium"/>
        </w:rPr>
        <w:t xml:space="preserve"> </w:t>
      </w:r>
      <w:hyperlink r:id="rId28" w:history="1">
        <w:r w:rsidR="005649F6" w:rsidRPr="005649F6">
          <w:rPr>
            <w:rStyle w:val="Hyperlink"/>
            <w:rFonts w:ascii="Titillium" w:hAnsi="Titillium"/>
          </w:rPr>
          <w:t>Data Management Page</w:t>
        </w:r>
      </w:hyperlink>
      <w:r w:rsidR="00236ED1" w:rsidRPr="00B64873">
        <w:rPr>
          <w:rFonts w:ascii="Titillium" w:hAnsi="Titillium"/>
        </w:rPr>
        <w:t>.</w:t>
      </w:r>
    </w:p>
    <w:p w14:paraId="1D8F2C70" w14:textId="77777777" w:rsidR="00043977" w:rsidRPr="00B64873" w:rsidRDefault="00043977" w:rsidP="00222FA3">
      <w:pPr>
        <w:spacing w:after="0" w:line="240" w:lineRule="auto"/>
        <w:jc w:val="both"/>
        <w:rPr>
          <w:rFonts w:ascii="Titillium" w:hAnsi="Titillium"/>
        </w:rPr>
      </w:pPr>
    </w:p>
    <w:p w14:paraId="089FBAD3" w14:textId="3AC1AF08" w:rsidR="00762355" w:rsidRPr="00563E08" w:rsidRDefault="00B64873" w:rsidP="00222FA3">
      <w:pPr>
        <w:spacing w:after="0" w:line="240" w:lineRule="auto"/>
        <w:jc w:val="both"/>
        <w:rPr>
          <w:rFonts w:ascii="Titillium" w:hAnsi="Titillium"/>
        </w:rPr>
      </w:pPr>
      <w:r>
        <w:rPr>
          <w:rFonts w:ascii="Titillium" w:hAnsi="Titillium"/>
        </w:rPr>
        <w:t xml:space="preserve">During </w:t>
      </w:r>
      <w:r w:rsidR="00D02AAF" w:rsidRPr="00563E08">
        <w:rPr>
          <w:rFonts w:ascii="Titillium" w:hAnsi="Titillium"/>
        </w:rPr>
        <w:t>project development, if it is expected that other professional service departments will be required to support in delivery of the project, then RIE must be informed so that appropriate advice and signposting can be given. For ex</w:t>
      </w:r>
      <w:r w:rsidR="00043977" w:rsidRPr="00563E08">
        <w:rPr>
          <w:rFonts w:ascii="Titillium" w:hAnsi="Titillium"/>
        </w:rPr>
        <w:t xml:space="preserve">ample, an academic might need support from HR (for recruitment and advice on </w:t>
      </w:r>
      <w:r w:rsidR="003B5F54">
        <w:rPr>
          <w:rFonts w:ascii="Titillium" w:hAnsi="Titillium"/>
        </w:rPr>
        <w:t>the Staffing Authorisation Form (</w:t>
      </w:r>
      <w:r w:rsidR="00043977" w:rsidRPr="00563E08">
        <w:rPr>
          <w:rFonts w:ascii="Titillium" w:hAnsi="Titillium"/>
        </w:rPr>
        <w:t>SAF</w:t>
      </w:r>
      <w:r w:rsidR="003B5F54">
        <w:rPr>
          <w:rFonts w:ascii="Titillium" w:hAnsi="Titillium"/>
        </w:rPr>
        <w:t>)</w:t>
      </w:r>
      <w:r w:rsidR="00043977" w:rsidRPr="00563E08">
        <w:rPr>
          <w:rFonts w:ascii="Titillium" w:hAnsi="Titillium"/>
        </w:rPr>
        <w:t xml:space="preserve"> process), School Support Service (for purchasing, booking travel and supporting CPD delivery), technical staff (for testing) and IS (for IT equipment purchases).</w:t>
      </w:r>
    </w:p>
    <w:p w14:paraId="71C4DA46" w14:textId="77777777" w:rsidR="007B583D" w:rsidRPr="00563E08" w:rsidRDefault="007B583D" w:rsidP="00222FA3">
      <w:pPr>
        <w:spacing w:after="0" w:line="240" w:lineRule="auto"/>
        <w:jc w:val="both"/>
        <w:rPr>
          <w:rFonts w:ascii="Titillium" w:hAnsi="Titillium"/>
        </w:rPr>
      </w:pPr>
    </w:p>
    <w:p w14:paraId="7C5AD43F" w14:textId="77777777" w:rsidR="00563E08" w:rsidRDefault="00762355" w:rsidP="00222FA3">
      <w:pPr>
        <w:spacing w:after="0" w:line="240" w:lineRule="auto"/>
        <w:jc w:val="both"/>
        <w:rPr>
          <w:rStyle w:val="Style1Char"/>
          <w:lang w:eastAsia="en-GB"/>
        </w:rPr>
      </w:pPr>
      <w:bookmarkStart w:id="11" w:name="_Toc95132850"/>
      <w:proofErr w:type="spellStart"/>
      <w:r w:rsidRPr="00076977">
        <w:rPr>
          <w:rStyle w:val="Style1Char"/>
          <w:lang w:eastAsia="en-GB"/>
        </w:rPr>
        <w:t>Worktribe</w:t>
      </w:r>
      <w:proofErr w:type="spellEnd"/>
      <w:r w:rsidRPr="00076977">
        <w:rPr>
          <w:rStyle w:val="Style1Char"/>
          <w:lang w:eastAsia="en-GB"/>
        </w:rPr>
        <w:t xml:space="preserve"> Approvals</w:t>
      </w:r>
      <w:bookmarkEnd w:id="11"/>
    </w:p>
    <w:p w14:paraId="72CEF68F" w14:textId="05F9C6E8" w:rsidR="00762355" w:rsidRPr="00563E08" w:rsidRDefault="00762355" w:rsidP="00222FA3">
      <w:pPr>
        <w:spacing w:after="0" w:line="240" w:lineRule="auto"/>
        <w:jc w:val="both"/>
        <w:rPr>
          <w:rFonts w:ascii="Titillium" w:hAnsi="Titillium"/>
        </w:rPr>
      </w:pPr>
      <w:r w:rsidRPr="00563E08">
        <w:rPr>
          <w:rFonts w:ascii="Titillium" w:hAnsi="Titillium"/>
        </w:rPr>
        <w:t xml:space="preserve">Prior to issuing </w:t>
      </w:r>
      <w:r w:rsidR="00B675FF" w:rsidRPr="00563E08">
        <w:rPr>
          <w:rFonts w:ascii="Titillium" w:hAnsi="Titillium"/>
        </w:rPr>
        <w:t xml:space="preserve">the </w:t>
      </w:r>
      <w:r w:rsidRPr="00563E08">
        <w:rPr>
          <w:rFonts w:ascii="Titillium" w:hAnsi="Titillium"/>
        </w:rPr>
        <w:t xml:space="preserve">final quote to client, </w:t>
      </w:r>
      <w:r w:rsidR="00B675FF" w:rsidRPr="00563E08">
        <w:rPr>
          <w:rFonts w:ascii="Titillium" w:hAnsi="Titillium"/>
        </w:rPr>
        <w:t xml:space="preserve">the </w:t>
      </w:r>
      <w:r w:rsidRPr="00563E08">
        <w:rPr>
          <w:rFonts w:ascii="Titillium" w:hAnsi="Titillium"/>
        </w:rPr>
        <w:t xml:space="preserve">staff member must submit </w:t>
      </w:r>
      <w:r w:rsidR="0055456F">
        <w:rPr>
          <w:rFonts w:ascii="Titillium" w:hAnsi="Titillium"/>
        </w:rPr>
        <w:t xml:space="preserve">the </w:t>
      </w:r>
      <w:r w:rsidRPr="00563E08">
        <w:rPr>
          <w:rFonts w:ascii="Titillium" w:hAnsi="Titillium"/>
        </w:rPr>
        <w:t xml:space="preserve">project for approval by the School via WT. </w:t>
      </w:r>
      <w:r w:rsidR="00B675FF" w:rsidRPr="00563E08">
        <w:rPr>
          <w:rFonts w:ascii="Titillium" w:hAnsi="Titillium"/>
        </w:rPr>
        <w:t xml:space="preserve">Please ensure that the </w:t>
      </w:r>
      <w:r w:rsidR="004A2ACD">
        <w:rPr>
          <w:rFonts w:ascii="Titillium" w:hAnsi="Titillium"/>
        </w:rPr>
        <w:t xml:space="preserve">line manager’s </w:t>
      </w:r>
      <w:r w:rsidR="00B675FF" w:rsidRPr="00563E08">
        <w:rPr>
          <w:rFonts w:ascii="Titillium" w:hAnsi="Titillium"/>
        </w:rPr>
        <w:t xml:space="preserve">Consultancy and Commercial Activity </w:t>
      </w:r>
      <w:r w:rsidR="004A2ACD">
        <w:rPr>
          <w:rFonts w:ascii="Titillium" w:hAnsi="Titillium"/>
        </w:rPr>
        <w:t>email approval</w:t>
      </w:r>
      <w:r w:rsidR="00B675FF" w:rsidRPr="00563E08">
        <w:rPr>
          <w:rFonts w:ascii="Titillium" w:hAnsi="Titillium"/>
        </w:rPr>
        <w:t xml:space="preserve"> has been attached (via the documents tab). </w:t>
      </w:r>
      <w:r w:rsidRPr="00563E08">
        <w:rPr>
          <w:rFonts w:ascii="Titillium" w:hAnsi="Titillium"/>
        </w:rPr>
        <w:t xml:space="preserve">Once approved, </w:t>
      </w:r>
      <w:r w:rsidR="00B675FF" w:rsidRPr="00563E08">
        <w:rPr>
          <w:rFonts w:ascii="Titillium" w:hAnsi="Titillium"/>
        </w:rPr>
        <w:t xml:space="preserve">the </w:t>
      </w:r>
      <w:r w:rsidRPr="00563E08">
        <w:rPr>
          <w:rFonts w:ascii="Titillium" w:hAnsi="Titillium"/>
        </w:rPr>
        <w:t xml:space="preserve">final quote </w:t>
      </w:r>
      <w:r w:rsidR="00B675FF" w:rsidRPr="00563E08">
        <w:rPr>
          <w:rFonts w:ascii="Titillium" w:hAnsi="Titillium"/>
        </w:rPr>
        <w:t xml:space="preserve">can </w:t>
      </w:r>
      <w:proofErr w:type="gramStart"/>
      <w:r w:rsidR="00B675FF" w:rsidRPr="00563E08">
        <w:rPr>
          <w:rFonts w:ascii="Titillium" w:hAnsi="Titillium"/>
        </w:rPr>
        <w:t>issued</w:t>
      </w:r>
      <w:proofErr w:type="gramEnd"/>
      <w:r w:rsidR="00B675FF" w:rsidRPr="00563E08">
        <w:rPr>
          <w:rFonts w:ascii="Titillium" w:hAnsi="Titillium"/>
        </w:rPr>
        <w:t xml:space="preserve"> by RIE or the academic to the </w:t>
      </w:r>
      <w:r w:rsidRPr="00563E08">
        <w:rPr>
          <w:rFonts w:ascii="Titillium" w:hAnsi="Titillium"/>
        </w:rPr>
        <w:t xml:space="preserve">client </w:t>
      </w:r>
      <w:r w:rsidR="00B675FF" w:rsidRPr="00563E08">
        <w:rPr>
          <w:rFonts w:ascii="Titillium" w:hAnsi="Titillium"/>
        </w:rPr>
        <w:t>and this will include the University’s standard</w:t>
      </w:r>
      <w:r w:rsidRPr="00563E08">
        <w:rPr>
          <w:rFonts w:ascii="Titillium" w:hAnsi="Titillium"/>
        </w:rPr>
        <w:t xml:space="preserve"> T&amp;Cs.</w:t>
      </w:r>
      <w:r w:rsidR="00B675FF" w:rsidRPr="00563E08">
        <w:rPr>
          <w:rFonts w:ascii="Titillium" w:hAnsi="Titillium"/>
        </w:rPr>
        <w:t xml:space="preserve"> The default position is that the client should be accepting the University’s standard T&amp;Cs which will allow a much quicker turnaround in terms of commencing the project as the University will not have to review the client’s terms or negotiate. </w:t>
      </w:r>
    </w:p>
    <w:p w14:paraId="1881131C" w14:textId="77777777" w:rsidR="007B583D" w:rsidRPr="00076977" w:rsidRDefault="007B583D" w:rsidP="00222FA3">
      <w:pPr>
        <w:spacing w:after="0" w:line="240" w:lineRule="auto"/>
        <w:jc w:val="both"/>
        <w:rPr>
          <w:lang w:eastAsia="en-GB"/>
        </w:rPr>
      </w:pPr>
    </w:p>
    <w:p w14:paraId="7ECF321C" w14:textId="77777777" w:rsidR="004A2ACD" w:rsidRDefault="004A2ACD" w:rsidP="00222FA3">
      <w:pPr>
        <w:spacing w:after="0" w:line="240" w:lineRule="auto"/>
        <w:jc w:val="both"/>
        <w:rPr>
          <w:rStyle w:val="Style1Char"/>
          <w:lang w:eastAsia="en-GB"/>
        </w:rPr>
      </w:pPr>
    </w:p>
    <w:p w14:paraId="518A4136" w14:textId="77777777" w:rsidR="004A2ACD" w:rsidRDefault="004A2ACD" w:rsidP="00222FA3">
      <w:pPr>
        <w:spacing w:after="0" w:line="240" w:lineRule="auto"/>
        <w:jc w:val="both"/>
        <w:rPr>
          <w:rStyle w:val="Style1Char"/>
          <w:lang w:eastAsia="en-GB"/>
        </w:rPr>
      </w:pPr>
    </w:p>
    <w:p w14:paraId="1CD3A58D" w14:textId="6DC2497D" w:rsidR="00563E08" w:rsidRDefault="00762355" w:rsidP="00222FA3">
      <w:pPr>
        <w:spacing w:after="0" w:line="240" w:lineRule="auto"/>
        <w:jc w:val="both"/>
        <w:rPr>
          <w:rStyle w:val="Style1Char"/>
          <w:lang w:eastAsia="en-GB"/>
        </w:rPr>
      </w:pPr>
      <w:bookmarkStart w:id="12" w:name="_Toc95132851"/>
      <w:r w:rsidRPr="00076977">
        <w:rPr>
          <w:rStyle w:val="Style1Char"/>
          <w:lang w:eastAsia="en-GB"/>
        </w:rPr>
        <w:t>Client Accepts Quote</w:t>
      </w:r>
      <w:bookmarkEnd w:id="12"/>
    </w:p>
    <w:p w14:paraId="08D5B7DA" w14:textId="220DC8CE" w:rsidR="00762355" w:rsidRPr="00563E08" w:rsidRDefault="00422636" w:rsidP="00222FA3">
      <w:pPr>
        <w:spacing w:after="0" w:line="240" w:lineRule="auto"/>
        <w:jc w:val="both"/>
        <w:rPr>
          <w:rFonts w:ascii="Titillium" w:hAnsi="Titillium"/>
        </w:rPr>
      </w:pPr>
      <w:r w:rsidRPr="00563E08">
        <w:rPr>
          <w:rFonts w:ascii="Titillium" w:hAnsi="Titillium"/>
        </w:rPr>
        <w:t xml:space="preserve">Once the client has confirmed in writing that the quote has been accepted, </w:t>
      </w:r>
      <w:r w:rsidR="00762355" w:rsidRPr="00563E08">
        <w:rPr>
          <w:rFonts w:ascii="Titillium" w:hAnsi="Titillium"/>
        </w:rPr>
        <w:t xml:space="preserve">RIE will issue </w:t>
      </w:r>
      <w:r w:rsidRPr="00563E08">
        <w:rPr>
          <w:rFonts w:ascii="Titillium" w:hAnsi="Titillium"/>
        </w:rPr>
        <w:t xml:space="preserve">an </w:t>
      </w:r>
      <w:r w:rsidR="003B5F54">
        <w:rPr>
          <w:rFonts w:ascii="Titillium" w:hAnsi="Titillium"/>
        </w:rPr>
        <w:t>agreed</w:t>
      </w:r>
      <w:r w:rsidR="00762355" w:rsidRPr="00563E08">
        <w:rPr>
          <w:rFonts w:ascii="Titillium" w:hAnsi="Titillium"/>
        </w:rPr>
        <w:t xml:space="preserve"> contract </w:t>
      </w:r>
      <w:r w:rsidRPr="00563E08">
        <w:rPr>
          <w:rFonts w:ascii="Titillium" w:hAnsi="Titillium"/>
        </w:rPr>
        <w:t xml:space="preserve">(including the University’s standard T&amp;Cs) </w:t>
      </w:r>
      <w:r w:rsidR="00762355" w:rsidRPr="00563E08">
        <w:rPr>
          <w:rFonts w:ascii="Titillium" w:hAnsi="Titillium"/>
        </w:rPr>
        <w:t xml:space="preserve">to client </w:t>
      </w:r>
      <w:r w:rsidRPr="00563E08">
        <w:rPr>
          <w:rFonts w:ascii="Titillium" w:hAnsi="Titillium"/>
        </w:rPr>
        <w:t xml:space="preserve">for signing. If the client provides their own contract, RIE will </w:t>
      </w:r>
      <w:r w:rsidR="0055456F">
        <w:rPr>
          <w:rFonts w:ascii="Titillium" w:hAnsi="Titillium"/>
        </w:rPr>
        <w:t xml:space="preserve">support negotiation but please note, this </w:t>
      </w:r>
      <w:r w:rsidRPr="00563E08">
        <w:rPr>
          <w:rFonts w:ascii="Titillium" w:hAnsi="Titillium"/>
        </w:rPr>
        <w:t xml:space="preserve">may delay </w:t>
      </w:r>
      <w:r w:rsidR="003B5F54">
        <w:rPr>
          <w:rFonts w:ascii="Titillium" w:hAnsi="Titillium"/>
        </w:rPr>
        <w:t xml:space="preserve">the </w:t>
      </w:r>
      <w:r w:rsidRPr="00563E08">
        <w:rPr>
          <w:rFonts w:ascii="Titillium" w:hAnsi="Titillium"/>
        </w:rPr>
        <w:t>project start</w:t>
      </w:r>
      <w:r w:rsidR="003B5F54">
        <w:rPr>
          <w:rFonts w:ascii="Titillium" w:hAnsi="Titillium"/>
        </w:rPr>
        <w:t xml:space="preserve"> date</w:t>
      </w:r>
      <w:r w:rsidR="00762355" w:rsidRPr="00563E08">
        <w:rPr>
          <w:rFonts w:ascii="Titillium" w:hAnsi="Titillium"/>
        </w:rPr>
        <w:t xml:space="preserve">.  </w:t>
      </w:r>
    </w:p>
    <w:p w14:paraId="27AC576A" w14:textId="7C9775DB" w:rsidR="009E4F8F" w:rsidRDefault="009E4F8F" w:rsidP="00222FA3">
      <w:pPr>
        <w:spacing w:after="0" w:line="240" w:lineRule="auto"/>
        <w:jc w:val="both"/>
        <w:rPr>
          <w:rStyle w:val="Style1Char"/>
          <w:lang w:eastAsia="en-GB"/>
        </w:rPr>
      </w:pPr>
    </w:p>
    <w:p w14:paraId="4FC9380E" w14:textId="2A9A17AE" w:rsidR="00563E08" w:rsidRDefault="0055456F" w:rsidP="00222FA3">
      <w:pPr>
        <w:spacing w:after="0" w:line="240" w:lineRule="auto"/>
        <w:jc w:val="both"/>
        <w:rPr>
          <w:rStyle w:val="Style1Char"/>
          <w:lang w:eastAsia="en-GB"/>
        </w:rPr>
      </w:pPr>
      <w:bookmarkStart w:id="13" w:name="_Toc95132852"/>
      <w:r>
        <w:rPr>
          <w:rStyle w:val="Style1Char"/>
          <w:lang w:eastAsia="en-GB"/>
        </w:rPr>
        <w:t>Project Set-</w:t>
      </w:r>
      <w:r w:rsidR="00762355" w:rsidRPr="00076977">
        <w:rPr>
          <w:rStyle w:val="Style1Char"/>
          <w:lang w:eastAsia="en-GB"/>
        </w:rPr>
        <w:t>Up</w:t>
      </w:r>
      <w:bookmarkEnd w:id="13"/>
    </w:p>
    <w:p w14:paraId="09FAC8E4" w14:textId="2E3695E3" w:rsidR="00762355" w:rsidRPr="00563E08" w:rsidRDefault="00422636" w:rsidP="00222FA3">
      <w:pPr>
        <w:spacing w:after="0" w:line="240" w:lineRule="auto"/>
        <w:jc w:val="both"/>
        <w:rPr>
          <w:rFonts w:ascii="Titillium" w:hAnsi="Titillium"/>
        </w:rPr>
      </w:pPr>
      <w:r w:rsidRPr="00563E08">
        <w:rPr>
          <w:rFonts w:ascii="Titillium" w:hAnsi="Titillium"/>
        </w:rPr>
        <w:t xml:space="preserve">Once </w:t>
      </w:r>
      <w:r w:rsidR="0055456F">
        <w:rPr>
          <w:rFonts w:ascii="Titillium" w:hAnsi="Titillium"/>
        </w:rPr>
        <w:t xml:space="preserve">the </w:t>
      </w:r>
      <w:r w:rsidRPr="00563E08">
        <w:rPr>
          <w:rFonts w:ascii="Titillium" w:hAnsi="Titillium"/>
        </w:rPr>
        <w:t xml:space="preserve">contract has been signed off, </w:t>
      </w:r>
      <w:r w:rsidR="00762355" w:rsidRPr="00563E08">
        <w:rPr>
          <w:rFonts w:ascii="Titillium" w:hAnsi="Titillium"/>
        </w:rPr>
        <w:t xml:space="preserve">RIE will issue </w:t>
      </w:r>
      <w:r w:rsidRPr="00563E08">
        <w:rPr>
          <w:rFonts w:ascii="Titillium" w:hAnsi="Titillium"/>
        </w:rPr>
        <w:t xml:space="preserve">a </w:t>
      </w:r>
      <w:r w:rsidR="00762355" w:rsidRPr="00563E08">
        <w:rPr>
          <w:rFonts w:ascii="Titillium" w:hAnsi="Titillium"/>
        </w:rPr>
        <w:t>project finance code (R-Code) and set up reporting and invoicing (milestones)</w:t>
      </w:r>
      <w:r w:rsidR="005B79EF" w:rsidRPr="00563E08">
        <w:rPr>
          <w:rFonts w:ascii="Titillium" w:hAnsi="Titillium"/>
        </w:rPr>
        <w:t>, to ensure that all financial aspects of the project are managed on behalf of the academic</w:t>
      </w:r>
      <w:r w:rsidR="00762355" w:rsidRPr="00563E08">
        <w:rPr>
          <w:rFonts w:ascii="Titillium" w:hAnsi="Titillium"/>
        </w:rPr>
        <w:t xml:space="preserve">. </w:t>
      </w:r>
      <w:r w:rsidR="008262F2" w:rsidRPr="00563E08">
        <w:rPr>
          <w:rFonts w:ascii="Titillium" w:hAnsi="Titillium"/>
        </w:rPr>
        <w:t>The s</w:t>
      </w:r>
      <w:r w:rsidR="00762355" w:rsidRPr="00563E08">
        <w:rPr>
          <w:rFonts w:ascii="Titillium" w:hAnsi="Titillium"/>
        </w:rPr>
        <w:t xml:space="preserve">taff member will be </w:t>
      </w:r>
      <w:r w:rsidR="008262F2" w:rsidRPr="00563E08">
        <w:rPr>
          <w:rFonts w:ascii="Titillium" w:hAnsi="Titillium"/>
        </w:rPr>
        <w:t>reminded</w:t>
      </w:r>
      <w:r w:rsidR="005B79EF" w:rsidRPr="00563E08">
        <w:rPr>
          <w:rFonts w:ascii="Titillium" w:hAnsi="Titillium"/>
        </w:rPr>
        <w:t xml:space="preserve"> by RIE</w:t>
      </w:r>
      <w:r w:rsidR="008262F2" w:rsidRPr="00563E08">
        <w:rPr>
          <w:rFonts w:ascii="Titillium" w:hAnsi="Titillium"/>
        </w:rPr>
        <w:t xml:space="preserve"> </w:t>
      </w:r>
      <w:r w:rsidR="0055456F">
        <w:rPr>
          <w:rFonts w:ascii="Titillium" w:hAnsi="Titillium"/>
        </w:rPr>
        <w:t>of cont</w:t>
      </w:r>
      <w:r w:rsidR="005B79EF" w:rsidRPr="00563E08">
        <w:rPr>
          <w:rFonts w:ascii="Titillium" w:hAnsi="Titillium"/>
        </w:rPr>
        <w:t xml:space="preserve">acts in other relevant professional services. </w:t>
      </w:r>
    </w:p>
    <w:p w14:paraId="232646F2" w14:textId="77777777" w:rsidR="00010225" w:rsidRPr="00076977" w:rsidRDefault="00010225" w:rsidP="00222FA3">
      <w:pPr>
        <w:spacing w:after="0" w:line="240" w:lineRule="auto"/>
        <w:jc w:val="both"/>
        <w:rPr>
          <w:lang w:eastAsia="en-GB"/>
        </w:rPr>
      </w:pPr>
    </w:p>
    <w:p w14:paraId="1035C930" w14:textId="77777777" w:rsidR="00563E08" w:rsidRDefault="00762355" w:rsidP="00222FA3">
      <w:pPr>
        <w:spacing w:after="0" w:line="240" w:lineRule="auto"/>
        <w:jc w:val="both"/>
        <w:rPr>
          <w:rStyle w:val="Style1Char"/>
          <w:lang w:eastAsia="en-GB"/>
        </w:rPr>
      </w:pPr>
      <w:bookmarkStart w:id="14" w:name="_Toc95132853"/>
      <w:r w:rsidRPr="00076977">
        <w:rPr>
          <w:rStyle w:val="Style1Char"/>
          <w:lang w:eastAsia="en-GB"/>
        </w:rPr>
        <w:t>Project Delivery</w:t>
      </w:r>
      <w:bookmarkEnd w:id="14"/>
    </w:p>
    <w:p w14:paraId="00277F09" w14:textId="46CA2CA8" w:rsidR="00076977" w:rsidRPr="00563E08" w:rsidRDefault="005B79EF" w:rsidP="00222FA3">
      <w:pPr>
        <w:spacing w:after="0" w:line="240" w:lineRule="auto"/>
        <w:jc w:val="both"/>
        <w:rPr>
          <w:rFonts w:ascii="Titillium" w:hAnsi="Titillium"/>
        </w:rPr>
      </w:pPr>
      <w:r w:rsidRPr="00563E08">
        <w:rPr>
          <w:rFonts w:ascii="Titillium" w:hAnsi="Titillium"/>
        </w:rPr>
        <w:t>The s</w:t>
      </w:r>
      <w:r w:rsidR="00762355" w:rsidRPr="00563E08">
        <w:rPr>
          <w:rFonts w:ascii="Titillium" w:hAnsi="Titillium"/>
        </w:rPr>
        <w:t>taff member</w:t>
      </w:r>
      <w:r w:rsidRPr="00563E08">
        <w:rPr>
          <w:rFonts w:ascii="Titillium" w:hAnsi="Titillium"/>
        </w:rPr>
        <w:t xml:space="preserve"> will deliver the</w:t>
      </w:r>
      <w:r w:rsidR="00762355" w:rsidRPr="00563E08">
        <w:rPr>
          <w:rFonts w:ascii="Titillium" w:hAnsi="Titillium"/>
        </w:rPr>
        <w:t xml:space="preserve"> project </w:t>
      </w:r>
      <w:r w:rsidRPr="00563E08">
        <w:rPr>
          <w:rFonts w:ascii="Titillium" w:hAnsi="Titillium"/>
        </w:rPr>
        <w:t xml:space="preserve">in accordance with </w:t>
      </w:r>
      <w:r w:rsidR="00762355" w:rsidRPr="00563E08">
        <w:rPr>
          <w:rFonts w:ascii="Titillium" w:hAnsi="Titillium"/>
        </w:rPr>
        <w:t>project scope</w:t>
      </w:r>
      <w:r w:rsidRPr="00563E08">
        <w:rPr>
          <w:rFonts w:ascii="Titillium" w:hAnsi="Titillium"/>
        </w:rPr>
        <w:t xml:space="preserve"> and the requirements of the client, maintain</w:t>
      </w:r>
      <w:r w:rsidR="0055456F">
        <w:rPr>
          <w:rFonts w:ascii="Titillium" w:hAnsi="Titillium"/>
        </w:rPr>
        <w:t xml:space="preserve"> good communication and ensure</w:t>
      </w:r>
      <w:r w:rsidRPr="00563E08">
        <w:rPr>
          <w:rFonts w:ascii="Titillium" w:hAnsi="Titillium"/>
        </w:rPr>
        <w:t xml:space="preserve"> that there is </w:t>
      </w:r>
      <w:r w:rsidR="0055456F">
        <w:rPr>
          <w:rFonts w:ascii="Titillium" w:hAnsi="Titillium"/>
        </w:rPr>
        <w:t>no project ‘</w:t>
      </w:r>
      <w:r w:rsidRPr="00563E08">
        <w:rPr>
          <w:rFonts w:ascii="Titillium" w:hAnsi="Titillium"/>
        </w:rPr>
        <w:t>scope creep</w:t>
      </w:r>
      <w:r w:rsidR="0055456F">
        <w:rPr>
          <w:rFonts w:ascii="Titillium" w:hAnsi="Titillium"/>
        </w:rPr>
        <w:t>’</w:t>
      </w:r>
      <w:r w:rsidRPr="00563E08">
        <w:rPr>
          <w:rFonts w:ascii="Titillium" w:hAnsi="Titillium"/>
        </w:rPr>
        <w:t xml:space="preserve">. If the client is expecting additional work to be undertaken, over and above what have been agreed in the contract, </w:t>
      </w:r>
      <w:r w:rsidR="002436E1">
        <w:rPr>
          <w:rFonts w:ascii="Titillium" w:hAnsi="Titillium"/>
        </w:rPr>
        <w:t>RIE</w:t>
      </w:r>
      <w:r w:rsidRPr="00563E08">
        <w:rPr>
          <w:rFonts w:ascii="Titillium" w:hAnsi="Titillium"/>
        </w:rPr>
        <w:t xml:space="preserve"> can support in negotiating a project supplement</w:t>
      </w:r>
      <w:r w:rsidR="00236ED1" w:rsidRPr="00563E08">
        <w:rPr>
          <w:rFonts w:ascii="Titillium" w:hAnsi="Titillium"/>
        </w:rPr>
        <w:t xml:space="preserve"> and contract amendment</w:t>
      </w:r>
      <w:r w:rsidRPr="00563E08">
        <w:rPr>
          <w:rFonts w:ascii="Titillium" w:hAnsi="Titillium"/>
        </w:rPr>
        <w:t xml:space="preserve">. </w:t>
      </w:r>
      <w:r w:rsidR="00236ED1" w:rsidRPr="00563E08">
        <w:rPr>
          <w:rFonts w:ascii="Titillium" w:hAnsi="Titillium"/>
        </w:rPr>
        <w:t>The academic must</w:t>
      </w:r>
      <w:r w:rsidRPr="00563E08">
        <w:rPr>
          <w:rFonts w:ascii="Titillium" w:hAnsi="Titillium"/>
        </w:rPr>
        <w:t xml:space="preserve"> </w:t>
      </w:r>
      <w:r w:rsidR="00236ED1" w:rsidRPr="00563E08">
        <w:rPr>
          <w:rFonts w:ascii="Titillium" w:hAnsi="Titillium"/>
        </w:rPr>
        <w:t xml:space="preserve">keep </w:t>
      </w:r>
      <w:r w:rsidR="00762355" w:rsidRPr="00563E08">
        <w:rPr>
          <w:rFonts w:ascii="Titillium" w:hAnsi="Titillium"/>
        </w:rPr>
        <w:t>RIE informed of ac</w:t>
      </w:r>
      <w:r w:rsidR="00236ED1" w:rsidRPr="00563E08">
        <w:rPr>
          <w:rFonts w:ascii="Titillium" w:hAnsi="Titillium"/>
        </w:rPr>
        <w:t>tivity and upload</w:t>
      </w:r>
      <w:r w:rsidR="00762355" w:rsidRPr="00563E08">
        <w:rPr>
          <w:rFonts w:ascii="Titillium" w:hAnsi="Titillium"/>
        </w:rPr>
        <w:t xml:space="preserve"> reports to </w:t>
      </w:r>
      <w:proofErr w:type="spellStart"/>
      <w:r w:rsidR="00762355" w:rsidRPr="00563E08">
        <w:rPr>
          <w:rFonts w:ascii="Titillium" w:hAnsi="Titillium"/>
        </w:rPr>
        <w:t>Worktribe</w:t>
      </w:r>
      <w:proofErr w:type="spellEnd"/>
      <w:r w:rsidR="00762355" w:rsidRPr="00563E08">
        <w:rPr>
          <w:rFonts w:ascii="Titillium" w:hAnsi="Titillium"/>
        </w:rPr>
        <w:t xml:space="preserve"> (via documents tab). RIE will invoice client in accordance with payment schedule.</w:t>
      </w:r>
    </w:p>
    <w:p w14:paraId="72799524" w14:textId="77777777" w:rsidR="00010225" w:rsidRDefault="00010225" w:rsidP="00222FA3">
      <w:pPr>
        <w:spacing w:after="0" w:line="240" w:lineRule="auto"/>
        <w:jc w:val="both"/>
        <w:rPr>
          <w:lang w:eastAsia="en-GB"/>
        </w:rPr>
      </w:pPr>
    </w:p>
    <w:p w14:paraId="73E4EC13" w14:textId="77777777" w:rsidR="00563E08" w:rsidRDefault="00762355" w:rsidP="00222FA3">
      <w:pPr>
        <w:spacing w:after="0" w:line="240" w:lineRule="auto"/>
        <w:jc w:val="both"/>
        <w:rPr>
          <w:rStyle w:val="Style1Char"/>
          <w:lang w:eastAsia="en-GB"/>
        </w:rPr>
      </w:pPr>
      <w:bookmarkStart w:id="15" w:name="_Toc95132854"/>
      <w:r w:rsidRPr="00076977">
        <w:rPr>
          <w:rStyle w:val="Style1Char"/>
          <w:lang w:eastAsia="en-GB"/>
        </w:rPr>
        <w:t>Project Completion</w:t>
      </w:r>
      <w:bookmarkEnd w:id="15"/>
    </w:p>
    <w:p w14:paraId="2434C96A" w14:textId="061878F4" w:rsidR="00762355" w:rsidRPr="00563E08" w:rsidRDefault="00236ED1" w:rsidP="00222FA3">
      <w:pPr>
        <w:spacing w:after="0" w:line="240" w:lineRule="auto"/>
        <w:jc w:val="both"/>
        <w:rPr>
          <w:rFonts w:ascii="Titillium" w:hAnsi="Titillium"/>
        </w:rPr>
      </w:pPr>
      <w:r w:rsidRPr="00563E08">
        <w:rPr>
          <w:rFonts w:ascii="Titillium" w:hAnsi="Titillium"/>
        </w:rPr>
        <w:t>The s</w:t>
      </w:r>
      <w:r w:rsidR="00762355" w:rsidRPr="00563E08">
        <w:rPr>
          <w:rFonts w:ascii="Titillium" w:hAnsi="Titillium"/>
        </w:rPr>
        <w:t xml:space="preserve">taff member will complete all </w:t>
      </w:r>
      <w:r w:rsidRPr="00563E08">
        <w:rPr>
          <w:rFonts w:ascii="Titillium" w:hAnsi="Titillium"/>
        </w:rPr>
        <w:t xml:space="preserve">project </w:t>
      </w:r>
      <w:r w:rsidR="00762355" w:rsidRPr="00563E08">
        <w:rPr>
          <w:rFonts w:ascii="Titillium" w:hAnsi="Titillium"/>
        </w:rPr>
        <w:t>deliverables and inform RIE of successful completion</w:t>
      </w:r>
      <w:r w:rsidRPr="00563E08">
        <w:rPr>
          <w:rFonts w:ascii="Titillium" w:hAnsi="Titillium"/>
        </w:rPr>
        <w:t xml:space="preserve"> of the project. If relevant, the final project report must be uploaded to WT (via documents tab) and the academic must mark the project as complete on WT. </w:t>
      </w:r>
      <w:r w:rsidR="00762355" w:rsidRPr="00563E08">
        <w:rPr>
          <w:rFonts w:ascii="Titillium" w:hAnsi="Titillium"/>
        </w:rPr>
        <w:t xml:space="preserve">RIE will issue </w:t>
      </w:r>
      <w:r w:rsidRPr="00563E08">
        <w:rPr>
          <w:rFonts w:ascii="Titillium" w:hAnsi="Titillium"/>
        </w:rPr>
        <w:t xml:space="preserve">the </w:t>
      </w:r>
      <w:r w:rsidR="00762355" w:rsidRPr="00563E08">
        <w:rPr>
          <w:rFonts w:ascii="Titillium" w:hAnsi="Titillium"/>
        </w:rPr>
        <w:t xml:space="preserve">final invoice to client. </w:t>
      </w:r>
    </w:p>
    <w:p w14:paraId="1C358B07" w14:textId="77777777" w:rsidR="00010225" w:rsidRPr="00563E08" w:rsidRDefault="00010225" w:rsidP="00222FA3">
      <w:pPr>
        <w:spacing w:after="0" w:line="240" w:lineRule="auto"/>
        <w:jc w:val="both"/>
        <w:rPr>
          <w:rFonts w:ascii="Titillium" w:hAnsi="Titillium"/>
        </w:rPr>
      </w:pPr>
    </w:p>
    <w:p w14:paraId="22827F51" w14:textId="3AB91792" w:rsidR="00563E08" w:rsidRDefault="009E3487" w:rsidP="00222FA3">
      <w:pPr>
        <w:spacing w:after="0" w:line="240" w:lineRule="auto"/>
        <w:jc w:val="both"/>
        <w:rPr>
          <w:rStyle w:val="Style1Char"/>
          <w:lang w:eastAsia="en-GB"/>
        </w:rPr>
      </w:pPr>
      <w:bookmarkStart w:id="16" w:name="_Toc95132855"/>
      <w:r>
        <w:rPr>
          <w:rStyle w:val="Style1Char"/>
          <w:lang w:eastAsia="en-GB"/>
        </w:rPr>
        <w:t>Additional</w:t>
      </w:r>
      <w:r w:rsidR="00762355" w:rsidRPr="00076977">
        <w:rPr>
          <w:rStyle w:val="Style1Char"/>
          <w:lang w:eastAsia="en-GB"/>
        </w:rPr>
        <w:t xml:space="preserve"> Payment Claim</w:t>
      </w:r>
      <w:bookmarkEnd w:id="16"/>
    </w:p>
    <w:p w14:paraId="181FAE9E" w14:textId="550E2697" w:rsidR="00762355" w:rsidRDefault="00762355" w:rsidP="00222FA3">
      <w:pPr>
        <w:spacing w:after="0" w:line="240" w:lineRule="auto"/>
        <w:jc w:val="both"/>
        <w:rPr>
          <w:rFonts w:ascii="Titillium" w:hAnsi="Titillium"/>
        </w:rPr>
      </w:pPr>
      <w:r w:rsidRPr="00563E08">
        <w:rPr>
          <w:rFonts w:ascii="Titillium" w:hAnsi="Titillium"/>
        </w:rPr>
        <w:t>Once</w:t>
      </w:r>
      <w:r w:rsidR="00236ED1" w:rsidRPr="00563E08">
        <w:rPr>
          <w:rFonts w:ascii="Titillium" w:hAnsi="Titillium"/>
        </w:rPr>
        <w:t xml:space="preserve"> the</w:t>
      </w:r>
      <w:r w:rsidRPr="00563E08">
        <w:rPr>
          <w:rFonts w:ascii="Titillium" w:hAnsi="Titillium"/>
        </w:rPr>
        <w:t xml:space="preserve"> final invoice </w:t>
      </w:r>
      <w:r w:rsidR="00236ED1" w:rsidRPr="00563E08">
        <w:rPr>
          <w:rFonts w:ascii="Titillium" w:hAnsi="Titillium"/>
        </w:rPr>
        <w:t xml:space="preserve">has been </w:t>
      </w:r>
      <w:r w:rsidRPr="00563E08">
        <w:rPr>
          <w:rFonts w:ascii="Titillium" w:hAnsi="Titillium"/>
        </w:rPr>
        <w:t>issued</w:t>
      </w:r>
      <w:r w:rsidR="00236ED1" w:rsidRPr="00563E08">
        <w:rPr>
          <w:rFonts w:ascii="Titillium" w:hAnsi="Titillium"/>
        </w:rPr>
        <w:t xml:space="preserve"> to the client</w:t>
      </w:r>
      <w:r w:rsidRPr="00563E08">
        <w:rPr>
          <w:rFonts w:ascii="Titillium" w:hAnsi="Titillium"/>
        </w:rPr>
        <w:t xml:space="preserve">, if relevant, </w:t>
      </w:r>
      <w:r w:rsidR="00236ED1" w:rsidRPr="00563E08">
        <w:rPr>
          <w:rFonts w:ascii="Titillium" w:hAnsi="Titillium"/>
        </w:rPr>
        <w:t xml:space="preserve">the </w:t>
      </w:r>
      <w:r w:rsidRPr="00563E08">
        <w:rPr>
          <w:rFonts w:ascii="Titillium" w:hAnsi="Titillium"/>
        </w:rPr>
        <w:t>staff member must request incentive payment</w:t>
      </w:r>
      <w:r w:rsidR="00236ED1" w:rsidRPr="00563E08">
        <w:rPr>
          <w:rFonts w:ascii="Titillium" w:hAnsi="Titillium"/>
        </w:rPr>
        <w:t>,</w:t>
      </w:r>
      <w:r w:rsidRPr="00563E08">
        <w:rPr>
          <w:rFonts w:ascii="Titillium" w:hAnsi="Titillium"/>
        </w:rPr>
        <w:t xml:space="preserve"> via </w:t>
      </w:r>
      <w:r w:rsidR="00EF1A17">
        <w:rPr>
          <w:rFonts w:ascii="Titillium" w:hAnsi="Titillium"/>
        </w:rPr>
        <w:t xml:space="preserve">the </w:t>
      </w:r>
      <w:r w:rsidRPr="00563E08">
        <w:rPr>
          <w:rFonts w:ascii="Titillium" w:hAnsi="Titillium"/>
        </w:rPr>
        <w:t xml:space="preserve">HR connect </w:t>
      </w:r>
      <w:r w:rsidR="00236ED1" w:rsidRPr="00563E08">
        <w:rPr>
          <w:rFonts w:ascii="Titillium" w:hAnsi="Titillium"/>
        </w:rPr>
        <w:t xml:space="preserve">system, </w:t>
      </w:r>
      <w:r w:rsidRPr="00563E08">
        <w:rPr>
          <w:rFonts w:ascii="Titillium" w:hAnsi="Titillium"/>
        </w:rPr>
        <w:t xml:space="preserve">within two months of project completion. </w:t>
      </w:r>
      <w:r w:rsidR="00236ED1" w:rsidRPr="00563E08">
        <w:rPr>
          <w:rFonts w:ascii="Titillium" w:hAnsi="Titillium"/>
        </w:rPr>
        <w:t xml:space="preserve">The </w:t>
      </w:r>
      <w:r w:rsidR="009E3487">
        <w:rPr>
          <w:rFonts w:ascii="Titillium" w:hAnsi="Titillium"/>
        </w:rPr>
        <w:t>additional</w:t>
      </w:r>
      <w:r w:rsidR="00236ED1" w:rsidRPr="00563E08">
        <w:rPr>
          <w:rFonts w:ascii="Titillium" w:hAnsi="Titillium"/>
        </w:rPr>
        <w:t xml:space="preserve"> p</w:t>
      </w:r>
      <w:r w:rsidRPr="00563E08">
        <w:rPr>
          <w:rFonts w:ascii="Titillium" w:hAnsi="Titillium"/>
        </w:rPr>
        <w:t>ayment</w:t>
      </w:r>
      <w:r w:rsidR="00652A43">
        <w:rPr>
          <w:rFonts w:ascii="Titillium" w:hAnsi="Titillium"/>
        </w:rPr>
        <w:t xml:space="preserve"> will need to be approved by your Line Manager (Line Manager Managing Online Payment Guidance </w:t>
      </w:r>
      <w:hyperlink r:id="rId29" w:history="1">
        <w:r w:rsidR="00652A43" w:rsidRPr="00652A43">
          <w:rPr>
            <w:rStyle w:val="Hyperlink"/>
            <w:rFonts w:ascii="Titillium" w:hAnsi="Titillium"/>
          </w:rPr>
          <w:t>here</w:t>
        </w:r>
      </w:hyperlink>
      <w:r w:rsidR="00652A43">
        <w:rPr>
          <w:rFonts w:ascii="Titillium" w:hAnsi="Titillium"/>
        </w:rPr>
        <w:t>) and</w:t>
      </w:r>
      <w:r w:rsidRPr="00563E08">
        <w:rPr>
          <w:rFonts w:ascii="Titillium" w:hAnsi="Titillium"/>
        </w:rPr>
        <w:t xml:space="preserve"> </w:t>
      </w:r>
      <w:r w:rsidR="00236ED1" w:rsidRPr="00563E08">
        <w:rPr>
          <w:rFonts w:ascii="Titillium" w:hAnsi="Titillium"/>
        </w:rPr>
        <w:t>will be processed by payroll and paid via PAYE, it will be</w:t>
      </w:r>
      <w:r w:rsidRPr="00563E08">
        <w:rPr>
          <w:rFonts w:ascii="Titillium" w:hAnsi="Titillium"/>
        </w:rPr>
        <w:t xml:space="preserve"> subject to relevant deductions</w:t>
      </w:r>
      <w:r w:rsidR="00236ED1" w:rsidRPr="00563E08">
        <w:rPr>
          <w:rFonts w:ascii="Titillium" w:hAnsi="Titillium"/>
        </w:rPr>
        <w:t xml:space="preserve"> and appear in your monthly salary</w:t>
      </w:r>
      <w:r w:rsidRPr="00563E08">
        <w:rPr>
          <w:rFonts w:ascii="Titillium" w:hAnsi="Titillium"/>
        </w:rPr>
        <w:t>.</w:t>
      </w:r>
      <w:r w:rsidR="00236ED1" w:rsidRPr="00563E08">
        <w:rPr>
          <w:rFonts w:ascii="Titillium" w:hAnsi="Titillium"/>
        </w:rPr>
        <w:t xml:space="preserve"> </w:t>
      </w:r>
      <w:r w:rsidR="00EF1A17">
        <w:rPr>
          <w:rFonts w:ascii="Titillium" w:hAnsi="Titillium"/>
        </w:rPr>
        <w:t xml:space="preserve">If no request is made within two months, the staff member forfeits the opportunity for additional payment as the budget codes will be closed. </w:t>
      </w:r>
      <w:r w:rsidR="00682383">
        <w:rPr>
          <w:rFonts w:ascii="Titillium" w:hAnsi="Titillium"/>
        </w:rPr>
        <w:t xml:space="preserve">Please speak with External Project Officers for the confirmation of the amount you can claim. </w:t>
      </w:r>
    </w:p>
    <w:p w14:paraId="4D409D07" w14:textId="77777777" w:rsidR="00EF1A17" w:rsidRPr="00563E08" w:rsidRDefault="00EF1A17" w:rsidP="00222FA3">
      <w:pPr>
        <w:spacing w:after="0" w:line="240" w:lineRule="auto"/>
        <w:jc w:val="both"/>
        <w:rPr>
          <w:rFonts w:ascii="Titillium" w:hAnsi="Titillium"/>
        </w:rPr>
      </w:pPr>
    </w:p>
    <w:p w14:paraId="4CE8DF40" w14:textId="157C3A22" w:rsidR="00076977" w:rsidRPr="00563E08" w:rsidRDefault="00076977" w:rsidP="00222FA3">
      <w:pPr>
        <w:spacing w:after="0" w:line="240" w:lineRule="auto"/>
        <w:jc w:val="both"/>
        <w:rPr>
          <w:rFonts w:ascii="Titillium" w:hAnsi="Titillium"/>
        </w:rPr>
      </w:pPr>
    </w:p>
    <w:p w14:paraId="6D8A1C02" w14:textId="442C1301" w:rsidR="00222FA3" w:rsidRPr="00222FA3" w:rsidRDefault="007B583D" w:rsidP="00222FA3">
      <w:pPr>
        <w:pStyle w:val="NapierHeaders"/>
        <w:rPr>
          <w:rStyle w:val="Style1Char"/>
          <w:sz w:val="32"/>
          <w:szCs w:val="32"/>
        </w:rPr>
      </w:pPr>
      <w:bookmarkStart w:id="17" w:name="_Toc95132856"/>
      <w:r w:rsidRPr="00222FA3">
        <w:rPr>
          <w:rStyle w:val="Style1Char"/>
          <w:sz w:val="32"/>
          <w:szCs w:val="32"/>
        </w:rPr>
        <w:t>Appendix 1</w:t>
      </w:r>
      <w:r w:rsidR="00841F46">
        <w:rPr>
          <w:rStyle w:val="Style1Char"/>
          <w:sz w:val="32"/>
          <w:szCs w:val="32"/>
        </w:rPr>
        <w:t>b</w:t>
      </w:r>
      <w:r w:rsidR="004F2C2B" w:rsidRPr="00222FA3">
        <w:rPr>
          <w:rStyle w:val="Style1Char"/>
          <w:sz w:val="32"/>
          <w:szCs w:val="32"/>
        </w:rPr>
        <w:t xml:space="preserve"> – </w:t>
      </w:r>
      <w:r w:rsidRPr="00222FA3">
        <w:rPr>
          <w:rStyle w:val="Style1Char"/>
          <w:sz w:val="32"/>
          <w:szCs w:val="32"/>
        </w:rPr>
        <w:t>Process for Professional Services</w:t>
      </w:r>
      <w:bookmarkEnd w:id="17"/>
      <w:r w:rsidR="00222FA3">
        <w:rPr>
          <w:rStyle w:val="Style1Char"/>
          <w:sz w:val="32"/>
          <w:szCs w:val="32"/>
        </w:rPr>
        <w:br/>
      </w:r>
    </w:p>
    <w:p w14:paraId="7D6937B9" w14:textId="777F59A7" w:rsidR="007B583D" w:rsidRPr="00EF1A17" w:rsidRDefault="00D8732F" w:rsidP="00222FA3">
      <w:pPr>
        <w:spacing w:after="0" w:line="240" w:lineRule="auto"/>
        <w:jc w:val="both"/>
        <w:rPr>
          <w:rFonts w:ascii="Titillium" w:hAnsi="Titillium"/>
        </w:rPr>
      </w:pPr>
      <w:r w:rsidRPr="00EF1A17">
        <w:rPr>
          <w:rFonts w:ascii="Titillium" w:hAnsi="Titillium"/>
        </w:rPr>
        <w:t>If</w:t>
      </w:r>
      <w:r w:rsidR="007B583D" w:rsidRPr="00EF1A17">
        <w:rPr>
          <w:rFonts w:ascii="Titillium" w:hAnsi="Titillium"/>
        </w:rPr>
        <w:t xml:space="preserve"> a non-academic staff member is undertaking consultancy or commercial activity </w:t>
      </w:r>
      <w:r w:rsidRPr="00EF1A17">
        <w:rPr>
          <w:rFonts w:ascii="Titillium" w:hAnsi="Titillium"/>
        </w:rPr>
        <w:t xml:space="preserve">they are not required to do a </w:t>
      </w:r>
      <w:proofErr w:type="spellStart"/>
      <w:r w:rsidRPr="00EF1A17">
        <w:rPr>
          <w:rFonts w:ascii="Titillium" w:hAnsi="Titillium"/>
        </w:rPr>
        <w:t>Worktribe</w:t>
      </w:r>
      <w:proofErr w:type="spellEnd"/>
      <w:r w:rsidR="007B583D" w:rsidRPr="00EF1A17">
        <w:rPr>
          <w:rFonts w:ascii="Titillium" w:hAnsi="Titillium"/>
        </w:rPr>
        <w:t xml:space="preserve"> record but please get in touch with RIE via </w:t>
      </w:r>
      <w:hyperlink r:id="rId30" w:history="1">
        <w:r w:rsidR="007B583D" w:rsidRPr="00EF1A17">
          <w:rPr>
            <w:rFonts w:ascii="Titillium" w:hAnsi="Titillium"/>
          </w:rPr>
          <w:t>externalprojects@napier.ac.uk</w:t>
        </w:r>
      </w:hyperlink>
      <w:r w:rsidR="007B583D" w:rsidRPr="00EF1A17">
        <w:rPr>
          <w:rFonts w:ascii="Titillium" w:hAnsi="Titillium"/>
        </w:rPr>
        <w:t xml:space="preserve"> who will send the Professional Services Project Proposal For</w:t>
      </w:r>
      <w:r w:rsidR="00B81E63">
        <w:rPr>
          <w:rFonts w:ascii="Titillium" w:hAnsi="Titillium"/>
        </w:rPr>
        <w:t xml:space="preserve">m </w:t>
      </w:r>
      <w:r w:rsidR="007B583D" w:rsidRPr="00EF1A17">
        <w:rPr>
          <w:rFonts w:ascii="Titillium" w:hAnsi="Titillium"/>
        </w:rPr>
        <w:t xml:space="preserve">and further information. </w:t>
      </w:r>
    </w:p>
    <w:p w14:paraId="5F3BCCA5" w14:textId="1E0D0E9D" w:rsidR="00271D2D" w:rsidRDefault="007129A5" w:rsidP="00222FA3">
      <w:pPr>
        <w:spacing w:after="0" w:line="240" w:lineRule="auto"/>
        <w:jc w:val="both"/>
        <w:rPr>
          <w:rFonts w:ascii="Titillium" w:hAnsi="Titillium"/>
        </w:rPr>
      </w:pPr>
      <w:r w:rsidRPr="007129A5">
        <w:rPr>
          <w:rFonts w:ascii="Titillium" w:hAnsi="Titillium"/>
        </w:rPr>
        <w:br/>
      </w:r>
    </w:p>
    <w:p w14:paraId="3EEF64AB" w14:textId="4E113882" w:rsidR="00271D2D" w:rsidRPr="003C3018" w:rsidRDefault="00271D2D" w:rsidP="003C3018">
      <w:pPr>
        <w:rPr>
          <w:rFonts w:ascii="Titillium" w:hAnsi="Titillium"/>
        </w:rPr>
      </w:pPr>
      <w:r>
        <w:rPr>
          <w:rFonts w:ascii="Titillium" w:hAnsi="Titillium"/>
        </w:rPr>
        <w:br w:type="page"/>
      </w:r>
      <w:bookmarkStart w:id="18" w:name="_Toc95132857"/>
      <w:r w:rsidRPr="003C3018">
        <w:rPr>
          <w:rStyle w:val="Style1Char"/>
          <w:sz w:val="32"/>
          <w:szCs w:val="32"/>
        </w:rPr>
        <w:lastRenderedPageBreak/>
        <w:t xml:space="preserve">Appendix 2 – Activities Out </w:t>
      </w:r>
      <w:proofErr w:type="gramStart"/>
      <w:r w:rsidRPr="003C3018">
        <w:rPr>
          <w:rStyle w:val="Style1Char"/>
          <w:sz w:val="32"/>
          <w:szCs w:val="32"/>
        </w:rPr>
        <w:t>With</w:t>
      </w:r>
      <w:proofErr w:type="gramEnd"/>
      <w:r w:rsidRPr="003C3018">
        <w:rPr>
          <w:rStyle w:val="Style1Char"/>
          <w:sz w:val="32"/>
          <w:szCs w:val="32"/>
        </w:rPr>
        <w:t xml:space="preserve"> Scope of Framework</w:t>
      </w:r>
      <w:bookmarkEnd w:id="18"/>
    </w:p>
    <w:p w14:paraId="6DFAE480" w14:textId="77777777" w:rsidR="005474DD" w:rsidRDefault="005474DD" w:rsidP="005474DD">
      <w:pPr>
        <w:pStyle w:val="NapierHeaders"/>
        <w:spacing w:before="0" w:line="240" w:lineRule="auto"/>
        <w:rPr>
          <w:lang w:eastAsia="en-GB"/>
        </w:rPr>
      </w:pPr>
    </w:p>
    <w:p w14:paraId="00F5CC8A" w14:textId="4D1CF31E" w:rsidR="00271D2D" w:rsidRDefault="00271D2D" w:rsidP="005474DD">
      <w:pPr>
        <w:shd w:val="clear" w:color="auto" w:fill="FFFFFF"/>
        <w:spacing w:after="0" w:line="240" w:lineRule="auto"/>
        <w:jc w:val="both"/>
        <w:rPr>
          <w:rFonts w:ascii="Titillium" w:hAnsi="Titillium"/>
        </w:rPr>
      </w:pPr>
      <w:r w:rsidRPr="00B35880">
        <w:rPr>
          <w:rFonts w:ascii="Titillium" w:hAnsi="Titillium"/>
        </w:rPr>
        <w:t xml:space="preserve">Activities that are out with scope of this Framework are as follows: </w:t>
      </w:r>
    </w:p>
    <w:p w14:paraId="6AA7A009" w14:textId="77777777" w:rsidR="005474DD" w:rsidRPr="00684744" w:rsidRDefault="005474DD" w:rsidP="005474DD">
      <w:pPr>
        <w:shd w:val="clear" w:color="auto" w:fill="FFFFFF"/>
        <w:spacing w:after="0" w:line="240" w:lineRule="auto"/>
        <w:jc w:val="both"/>
        <w:rPr>
          <w:rFonts w:ascii="Titillium" w:hAnsi="Titillium"/>
          <w:b/>
          <w:color w:val="67B8E7"/>
          <w:sz w:val="32"/>
          <w:szCs w:val="32"/>
          <w:lang w:eastAsia="en-GB"/>
        </w:rPr>
      </w:pPr>
    </w:p>
    <w:p w14:paraId="2997527D" w14:textId="72CE79E9" w:rsidR="00D7121D" w:rsidRDefault="00D7121D" w:rsidP="005474DD">
      <w:pPr>
        <w:pStyle w:val="ListParagraph"/>
        <w:numPr>
          <w:ilvl w:val="0"/>
          <w:numId w:val="23"/>
        </w:numPr>
        <w:spacing w:after="0" w:line="240" w:lineRule="auto"/>
        <w:rPr>
          <w:rFonts w:ascii="Titillium" w:hAnsi="Titillium"/>
        </w:rPr>
      </w:pPr>
      <w:r w:rsidRPr="00EC102D">
        <w:rPr>
          <w:rFonts w:ascii="Titillium" w:hAnsi="Titillium"/>
        </w:rPr>
        <w:t>Teaching and other conventional academic activities including Research</w:t>
      </w:r>
      <w:r w:rsidR="00D37454">
        <w:rPr>
          <w:rFonts w:ascii="Titillium" w:hAnsi="Titillium"/>
        </w:rPr>
        <w:t xml:space="preserve"> (including contract research)</w:t>
      </w:r>
    </w:p>
    <w:p w14:paraId="7627D74D" w14:textId="200E4886" w:rsidR="002243C1" w:rsidRPr="00891E80" w:rsidRDefault="002243C1" w:rsidP="005474DD">
      <w:pPr>
        <w:pStyle w:val="ListParagraph"/>
        <w:numPr>
          <w:ilvl w:val="0"/>
          <w:numId w:val="23"/>
        </w:numPr>
        <w:spacing w:after="0" w:line="240" w:lineRule="auto"/>
        <w:rPr>
          <w:rFonts w:ascii="Titillium" w:hAnsi="Titillium"/>
        </w:rPr>
      </w:pPr>
      <w:r>
        <w:rPr>
          <w:rFonts w:ascii="Titillium" w:hAnsi="Titillium"/>
        </w:rPr>
        <w:t>TNE activities that would otherwise be covered within the Workload allocation Framework</w:t>
      </w:r>
    </w:p>
    <w:p w14:paraId="2D446193" w14:textId="7C01C850"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Teaching and Research Quality Assessment activity including external examining, refereeing papers, publication peer r</w:t>
      </w:r>
      <w:r w:rsidR="005474DD">
        <w:rPr>
          <w:rFonts w:ascii="Titillium" w:hAnsi="Titillium"/>
        </w:rPr>
        <w:t>eview (e.g. journals and books)</w:t>
      </w:r>
    </w:p>
    <w:p w14:paraId="336007EA" w14:textId="0EA754CD"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Authorship or roya</w:t>
      </w:r>
      <w:r w:rsidR="005474DD">
        <w:rPr>
          <w:rFonts w:ascii="Titillium" w:hAnsi="Titillium"/>
        </w:rPr>
        <w:t>lties from publication of books</w:t>
      </w:r>
    </w:p>
    <w:p w14:paraId="061C68BD" w14:textId="233B0392"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Conference pres</w:t>
      </w:r>
      <w:r w:rsidR="005474DD">
        <w:rPr>
          <w:rFonts w:ascii="Titillium" w:hAnsi="Titillium"/>
        </w:rPr>
        <w:t>entations and media appearances</w:t>
      </w:r>
    </w:p>
    <w:p w14:paraId="0AEACE24" w14:textId="13485531"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An</w:t>
      </w:r>
      <w:r w:rsidR="005474DD">
        <w:rPr>
          <w:rFonts w:ascii="Titillium" w:hAnsi="Titillium"/>
        </w:rPr>
        <w:t>y credit bearing CPD provisions</w:t>
      </w:r>
      <w:r w:rsidRPr="00B35880">
        <w:rPr>
          <w:rFonts w:ascii="Titillium" w:hAnsi="Titillium"/>
        </w:rPr>
        <w:t xml:space="preserve"> </w:t>
      </w:r>
    </w:p>
    <w:p w14:paraId="6CF2E662" w14:textId="63BD8CBC"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Open non-credit bearing provisions which req</w:t>
      </w:r>
      <w:r>
        <w:rPr>
          <w:rFonts w:ascii="Titillium" w:hAnsi="Titillium"/>
        </w:rPr>
        <w:t>uire a long marketing lead time</w:t>
      </w:r>
      <w:r w:rsidRPr="00B35880">
        <w:rPr>
          <w:rFonts w:ascii="Titillium" w:hAnsi="Titillium"/>
        </w:rPr>
        <w:t xml:space="preserve"> and as such should be planned in to </w:t>
      </w:r>
      <w:r>
        <w:rPr>
          <w:rFonts w:ascii="Titillium" w:hAnsi="Titillium"/>
        </w:rPr>
        <w:t xml:space="preserve">the annual </w:t>
      </w:r>
      <w:r w:rsidR="005474DD">
        <w:rPr>
          <w:rFonts w:ascii="Titillium" w:hAnsi="Titillium"/>
        </w:rPr>
        <w:t>WAM</w:t>
      </w:r>
    </w:p>
    <w:p w14:paraId="19353358" w14:textId="196CB276"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Professional practice activities (e.g. clinical activities of medical academic staff such as nursing or allied h</w:t>
      </w:r>
      <w:r w:rsidR="005474DD">
        <w:rPr>
          <w:rFonts w:ascii="Titillium" w:hAnsi="Titillium"/>
        </w:rPr>
        <w:t>ealth professional activities)</w:t>
      </w:r>
    </w:p>
    <w:p w14:paraId="08A79A5D" w14:textId="7C03F70B" w:rsidR="00D7121D" w:rsidRPr="00B35880"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 xml:space="preserve">Board </w:t>
      </w:r>
      <w:r>
        <w:rPr>
          <w:rFonts w:ascii="Titillium" w:hAnsi="Titillium"/>
        </w:rPr>
        <w:t xml:space="preserve">and Panel </w:t>
      </w:r>
      <w:r w:rsidR="005474DD">
        <w:rPr>
          <w:rFonts w:ascii="Titillium" w:hAnsi="Titillium"/>
        </w:rPr>
        <w:t>Membership</w:t>
      </w:r>
    </w:p>
    <w:p w14:paraId="0B828790" w14:textId="2EB4139B" w:rsidR="00D7121D" w:rsidRPr="00D7121D" w:rsidRDefault="00D7121D" w:rsidP="005474DD">
      <w:pPr>
        <w:pStyle w:val="ListParagraph"/>
        <w:numPr>
          <w:ilvl w:val="0"/>
          <w:numId w:val="23"/>
        </w:numPr>
        <w:spacing w:after="0" w:line="240" w:lineRule="auto"/>
        <w:jc w:val="both"/>
        <w:rPr>
          <w:rFonts w:ascii="Titillium" w:hAnsi="Titillium"/>
        </w:rPr>
      </w:pPr>
      <w:r w:rsidRPr="00B35880">
        <w:rPr>
          <w:rFonts w:ascii="Titillium" w:hAnsi="Titillium"/>
        </w:rPr>
        <w:t>IP and Commercialisation Projects</w:t>
      </w:r>
      <w:r>
        <w:rPr>
          <w:rFonts w:ascii="Titillium" w:hAnsi="Titillium"/>
        </w:rPr>
        <w:t xml:space="preserve"> </w:t>
      </w:r>
      <w:r w:rsidRPr="00EC102D">
        <w:rPr>
          <w:rFonts w:ascii="Titillium" w:hAnsi="Titillium"/>
        </w:rPr>
        <w:t>(e.g. acting as a consultant in any capacity for a commercialisation opportunity that involves exploiting University -owned IP such as a spin out or a licensing deal or using University owned IP with the explicit intent to exploit it or as the main basis for the engagement)</w:t>
      </w:r>
    </w:p>
    <w:p w14:paraId="1EED0F49" w14:textId="77777777" w:rsidR="00271D2D" w:rsidRDefault="00271D2D" w:rsidP="005474DD">
      <w:pPr>
        <w:pStyle w:val="ListParagraph"/>
        <w:spacing w:after="0" w:line="240" w:lineRule="auto"/>
        <w:rPr>
          <w:rFonts w:ascii="Titillium" w:hAnsi="Titillium"/>
        </w:rPr>
      </w:pPr>
    </w:p>
    <w:p w14:paraId="07703798" w14:textId="3BB366D1" w:rsidR="00271D2D" w:rsidRDefault="00271D2D" w:rsidP="005474DD">
      <w:pPr>
        <w:spacing w:after="0" w:line="240" w:lineRule="auto"/>
        <w:jc w:val="both"/>
        <w:rPr>
          <w:rFonts w:ascii="Titillium" w:hAnsi="Titillium"/>
        </w:rPr>
      </w:pPr>
      <w:r>
        <w:rPr>
          <w:rFonts w:ascii="Titillium" w:hAnsi="Titillium"/>
        </w:rPr>
        <w:t xml:space="preserve">These activities are governed by </w:t>
      </w:r>
      <w:r w:rsidRPr="000A4F23">
        <w:rPr>
          <w:rFonts w:ascii="Titillium" w:hAnsi="Titillium"/>
        </w:rPr>
        <w:t>other rele</w:t>
      </w:r>
      <w:r w:rsidR="00D7121D">
        <w:rPr>
          <w:rFonts w:ascii="Titillium" w:hAnsi="Titillium"/>
        </w:rPr>
        <w:t xml:space="preserve">vant institutional processes and </w:t>
      </w:r>
      <w:r w:rsidRPr="000A4F23">
        <w:rPr>
          <w:rFonts w:ascii="Titillium" w:hAnsi="Titillium"/>
        </w:rPr>
        <w:t xml:space="preserve">policies </w:t>
      </w:r>
      <w:r w:rsidR="00D7121D">
        <w:rPr>
          <w:rFonts w:ascii="Titillium" w:hAnsi="Titillium"/>
        </w:rPr>
        <w:t xml:space="preserve">(please see Section 9 for related policies) as well as </w:t>
      </w:r>
      <w:r w:rsidRPr="000A4F23">
        <w:rPr>
          <w:rFonts w:ascii="Titillium" w:hAnsi="Titillium"/>
        </w:rPr>
        <w:t>staff member’s conditions of employment</w:t>
      </w:r>
      <w:r>
        <w:rPr>
          <w:rFonts w:ascii="Titillium" w:hAnsi="Titillium"/>
        </w:rPr>
        <w:t>.</w:t>
      </w:r>
      <w:r w:rsidRPr="000A4F23">
        <w:rPr>
          <w:rFonts w:ascii="Titillium" w:hAnsi="Titillium"/>
        </w:rPr>
        <w:t xml:space="preserve"> </w:t>
      </w:r>
    </w:p>
    <w:p w14:paraId="6C7C28D4" w14:textId="77777777" w:rsidR="005474DD" w:rsidRPr="000A4F23" w:rsidRDefault="005474DD" w:rsidP="005474DD">
      <w:pPr>
        <w:spacing w:after="0" w:line="240" w:lineRule="auto"/>
        <w:jc w:val="both"/>
        <w:rPr>
          <w:rFonts w:ascii="Titillium" w:hAnsi="Titillium"/>
        </w:rPr>
      </w:pPr>
    </w:p>
    <w:p w14:paraId="72B7CC86" w14:textId="7237431A" w:rsidR="00271D2D" w:rsidRPr="005474DD" w:rsidRDefault="00271D2D" w:rsidP="005474DD">
      <w:pPr>
        <w:spacing w:after="0" w:line="240" w:lineRule="auto"/>
        <w:jc w:val="both"/>
        <w:rPr>
          <w:rFonts w:ascii="Titillium" w:hAnsi="Titillium"/>
          <w:b/>
        </w:rPr>
      </w:pPr>
      <w:r w:rsidRPr="005474DD">
        <w:rPr>
          <w:rFonts w:ascii="Titillium" w:hAnsi="Titillium"/>
          <w:b/>
        </w:rPr>
        <w:t xml:space="preserve">Please </w:t>
      </w:r>
      <w:proofErr w:type="gramStart"/>
      <w:r w:rsidRPr="005474DD">
        <w:rPr>
          <w:rFonts w:ascii="Titillium" w:hAnsi="Titillium"/>
          <w:b/>
        </w:rPr>
        <w:t>note:</w:t>
      </w:r>
      <w:proofErr w:type="gramEnd"/>
      <w:r w:rsidRPr="005474DD">
        <w:rPr>
          <w:rFonts w:ascii="Titillium" w:hAnsi="Titillium"/>
          <w:b/>
        </w:rPr>
        <w:t xml:space="preserve"> activities which are undertaken by a staff member in a personal capacity and completely independently of the University requires approval in accordance with relevant University policies. Staff members should always act in accordance with the institutional contractual Standard Terms of Employment in this regard, namely: </w:t>
      </w:r>
    </w:p>
    <w:p w14:paraId="4D162079" w14:textId="77777777" w:rsidR="005474DD" w:rsidRPr="005474DD" w:rsidRDefault="005474DD" w:rsidP="005474DD">
      <w:pPr>
        <w:spacing w:after="0" w:line="240" w:lineRule="auto"/>
        <w:jc w:val="both"/>
        <w:rPr>
          <w:rFonts w:ascii="Titillium" w:hAnsi="Titillium"/>
          <w:b/>
        </w:rPr>
      </w:pPr>
    </w:p>
    <w:p w14:paraId="56C5A378" w14:textId="77777777" w:rsidR="00271D2D" w:rsidRPr="005474DD" w:rsidRDefault="00271D2D" w:rsidP="005474DD">
      <w:pPr>
        <w:spacing w:after="0" w:line="240" w:lineRule="auto"/>
        <w:jc w:val="both"/>
        <w:rPr>
          <w:rFonts w:ascii="Titillium" w:hAnsi="Titillium"/>
          <w:b/>
          <w:i/>
        </w:rPr>
      </w:pPr>
      <w:r w:rsidRPr="005474DD">
        <w:rPr>
          <w:rFonts w:ascii="Titillium" w:hAnsi="Titillium"/>
          <w:b/>
          <w:i/>
        </w:rPr>
        <w:t>External Work (Paid or Unpaid) and Other Appointments: The University recognises and encourages the holding of appropriate external appointments/positions which may be of direct or indirect benefit to the University and/or the individual.</w:t>
      </w:r>
      <w:r w:rsidRPr="005474DD">
        <w:rPr>
          <w:rFonts w:ascii="Calibri" w:hAnsi="Calibri" w:cs="Calibri"/>
          <w:b/>
          <w:i/>
        </w:rPr>
        <w:t> </w:t>
      </w:r>
      <w:r w:rsidRPr="005474DD">
        <w:rPr>
          <w:rFonts w:ascii="Titillium" w:hAnsi="Titillium"/>
          <w:b/>
          <w:i/>
        </w:rPr>
        <w:t xml:space="preserve"> However, it is expected that you will devote your whole working time to the work of the University and its interests.</w:t>
      </w:r>
      <w:r w:rsidRPr="005474DD">
        <w:rPr>
          <w:rFonts w:ascii="Calibri" w:hAnsi="Calibri" w:cs="Calibri"/>
          <w:b/>
          <w:i/>
        </w:rPr>
        <w:t> </w:t>
      </w:r>
      <w:r w:rsidRPr="005474DD">
        <w:rPr>
          <w:rFonts w:ascii="Titillium" w:hAnsi="Titillium"/>
          <w:b/>
          <w:i/>
        </w:rPr>
        <w:t xml:space="preserve"> So you should always notify your Dean of School of any such appointments which will be permitted where:</w:t>
      </w:r>
    </w:p>
    <w:p w14:paraId="771D1340" w14:textId="77777777" w:rsidR="00271D2D" w:rsidRPr="005474DD" w:rsidRDefault="00271D2D" w:rsidP="005474DD">
      <w:pPr>
        <w:pStyle w:val="ListParagraph"/>
        <w:spacing w:after="0" w:line="240" w:lineRule="auto"/>
        <w:ind w:left="567"/>
        <w:jc w:val="both"/>
        <w:rPr>
          <w:rFonts w:ascii="Titillium" w:hAnsi="Titillium"/>
          <w:b/>
          <w:i/>
        </w:rPr>
      </w:pPr>
    </w:p>
    <w:p w14:paraId="3178643B" w14:textId="77777777" w:rsidR="00271D2D" w:rsidRPr="005474DD" w:rsidRDefault="00271D2D" w:rsidP="005474DD">
      <w:pPr>
        <w:pStyle w:val="ListParagraph"/>
        <w:numPr>
          <w:ilvl w:val="0"/>
          <w:numId w:val="22"/>
        </w:numPr>
        <w:spacing w:after="0" w:line="240" w:lineRule="auto"/>
        <w:jc w:val="both"/>
        <w:rPr>
          <w:rFonts w:ascii="Titillium" w:hAnsi="Titillium"/>
          <w:b/>
          <w:i/>
        </w:rPr>
      </w:pPr>
      <w:r w:rsidRPr="005474DD">
        <w:rPr>
          <w:rFonts w:ascii="Titillium" w:hAnsi="Titillium"/>
          <w:b/>
          <w:i/>
        </w:rPr>
        <w:t>there is no conflict of interest;</w:t>
      </w:r>
      <w:r w:rsidRPr="005474DD">
        <w:rPr>
          <w:rFonts w:ascii="Calibri" w:hAnsi="Calibri" w:cs="Calibri"/>
          <w:b/>
          <w:i/>
        </w:rPr>
        <w:t> </w:t>
      </w:r>
      <w:r w:rsidRPr="005474DD">
        <w:rPr>
          <w:rFonts w:ascii="Titillium" w:hAnsi="Titillium"/>
          <w:b/>
          <w:i/>
        </w:rPr>
        <w:t xml:space="preserve"> and </w:t>
      </w:r>
    </w:p>
    <w:p w14:paraId="72A9E726" w14:textId="77777777" w:rsidR="00271D2D" w:rsidRPr="005474DD" w:rsidRDefault="00271D2D" w:rsidP="005474DD">
      <w:pPr>
        <w:pStyle w:val="ListParagraph"/>
        <w:numPr>
          <w:ilvl w:val="0"/>
          <w:numId w:val="22"/>
        </w:numPr>
        <w:spacing w:after="0" w:line="240" w:lineRule="auto"/>
        <w:jc w:val="both"/>
        <w:rPr>
          <w:rFonts w:ascii="Titillium" w:hAnsi="Titillium"/>
          <w:b/>
        </w:rPr>
      </w:pPr>
      <w:r w:rsidRPr="005474DD">
        <w:rPr>
          <w:rFonts w:ascii="Titillium" w:hAnsi="Titillium"/>
          <w:b/>
          <w:i/>
        </w:rPr>
        <w:t>the activity does not interfere with the proper performance of your duties</w:t>
      </w:r>
    </w:p>
    <w:p w14:paraId="04F09EE9" w14:textId="77777777" w:rsidR="00877709" w:rsidRPr="00563E08" w:rsidRDefault="00877709" w:rsidP="00222FA3">
      <w:pPr>
        <w:spacing w:after="0" w:line="240" w:lineRule="auto"/>
        <w:jc w:val="both"/>
        <w:rPr>
          <w:rFonts w:ascii="Titillium" w:hAnsi="Titillium"/>
        </w:rPr>
      </w:pPr>
    </w:p>
    <w:p w14:paraId="539B9F1C" w14:textId="77777777" w:rsidR="00D515C5" w:rsidRDefault="00D515C5">
      <w:pPr>
        <w:rPr>
          <w:rFonts w:ascii="Interstate Regular" w:eastAsiaTheme="majorEastAsia" w:hAnsi="Interstate Regular" w:cstheme="majorBidi"/>
          <w:color w:val="E5233F"/>
          <w:sz w:val="32"/>
          <w:szCs w:val="32"/>
          <w:lang w:eastAsia="en-GB"/>
        </w:rPr>
      </w:pPr>
      <w:r>
        <w:rPr>
          <w:lang w:eastAsia="en-GB"/>
        </w:rPr>
        <w:br w:type="page"/>
      </w:r>
    </w:p>
    <w:p w14:paraId="629CD9E0" w14:textId="355AF95F" w:rsidR="00B675FF" w:rsidRDefault="00B675FF" w:rsidP="005474DD">
      <w:pPr>
        <w:pStyle w:val="NapierHeaders"/>
        <w:spacing w:before="0" w:line="240" w:lineRule="auto"/>
        <w:jc w:val="both"/>
        <w:rPr>
          <w:lang w:eastAsia="en-GB"/>
        </w:rPr>
      </w:pPr>
      <w:bookmarkStart w:id="19" w:name="_Toc95132858"/>
      <w:r w:rsidRPr="00C72ED4">
        <w:rPr>
          <w:lang w:eastAsia="en-GB"/>
        </w:rPr>
        <w:lastRenderedPageBreak/>
        <w:t xml:space="preserve">Appendix </w:t>
      </w:r>
      <w:r w:rsidR="00D515C5">
        <w:rPr>
          <w:lang w:eastAsia="en-GB"/>
        </w:rPr>
        <w:t>3</w:t>
      </w:r>
      <w:r w:rsidRPr="00C72ED4">
        <w:rPr>
          <w:lang w:eastAsia="en-GB"/>
        </w:rPr>
        <w:t xml:space="preserve"> –</w:t>
      </w:r>
      <w:r>
        <w:rPr>
          <w:lang w:eastAsia="en-GB"/>
        </w:rPr>
        <w:t xml:space="preserve"> Indicative Day Rates</w:t>
      </w:r>
      <w:bookmarkEnd w:id="19"/>
      <w:r>
        <w:rPr>
          <w:lang w:eastAsia="en-GB"/>
        </w:rPr>
        <w:t xml:space="preserve"> </w:t>
      </w:r>
    </w:p>
    <w:p w14:paraId="019E3955" w14:textId="2E0A2941" w:rsidR="00B92461" w:rsidRDefault="00B92461" w:rsidP="005474DD">
      <w:pPr>
        <w:spacing w:after="0" w:line="240" w:lineRule="auto"/>
        <w:jc w:val="both"/>
        <w:rPr>
          <w:lang w:eastAsia="en-GB"/>
        </w:rPr>
      </w:pPr>
    </w:p>
    <w:p w14:paraId="1C72F63B" w14:textId="5B580A1F" w:rsidR="003C3018" w:rsidRDefault="003C3018" w:rsidP="005474DD">
      <w:pPr>
        <w:spacing w:after="0" w:line="240" w:lineRule="auto"/>
        <w:jc w:val="both"/>
        <w:rPr>
          <w:rFonts w:ascii="Titillium" w:hAnsi="Titillium"/>
        </w:rPr>
      </w:pPr>
      <w:r>
        <w:rPr>
          <w:rFonts w:ascii="Titillium" w:hAnsi="Titillium"/>
        </w:rPr>
        <w:t xml:space="preserve">Staff members may be asked for estimate costs for work or indicative day rates at short notice. </w:t>
      </w:r>
      <w:proofErr w:type="gramStart"/>
      <w:r>
        <w:rPr>
          <w:rFonts w:ascii="Titillium" w:hAnsi="Titillium"/>
        </w:rPr>
        <w:t>In order to</w:t>
      </w:r>
      <w:proofErr w:type="gramEnd"/>
      <w:r>
        <w:rPr>
          <w:rFonts w:ascii="Titillium" w:hAnsi="Titillium"/>
        </w:rPr>
        <w:t xml:space="preserve"> ensure a quick response time your Business Development &amp; Relationship Manager will be able to advise you an estimate range </w:t>
      </w:r>
      <w:r w:rsidR="00575866">
        <w:rPr>
          <w:rFonts w:ascii="Titillium" w:hAnsi="Titillium"/>
        </w:rPr>
        <w:t xml:space="preserve">to provide to the client. </w:t>
      </w:r>
    </w:p>
    <w:p w14:paraId="63884164" w14:textId="7D417809" w:rsidR="002F1636" w:rsidRDefault="002F1636" w:rsidP="005474DD">
      <w:pPr>
        <w:spacing w:after="0" w:line="240" w:lineRule="auto"/>
        <w:jc w:val="both"/>
        <w:rPr>
          <w:rFonts w:ascii="Titillium" w:hAnsi="Titillium"/>
        </w:rPr>
      </w:pPr>
    </w:p>
    <w:p w14:paraId="53A6E1E3" w14:textId="1D9E2D7B" w:rsidR="002F1636" w:rsidRDefault="002F1636" w:rsidP="005474DD">
      <w:pPr>
        <w:spacing w:after="0" w:line="240" w:lineRule="auto"/>
        <w:jc w:val="both"/>
        <w:rPr>
          <w:rFonts w:ascii="Titillium" w:hAnsi="Titillium"/>
        </w:rPr>
      </w:pPr>
      <w:r>
        <w:rPr>
          <w:rFonts w:ascii="Titillium" w:hAnsi="Titillium"/>
        </w:rPr>
        <w:t>VAT also needs to be charged at the prevailing rate in connect</w:t>
      </w:r>
      <w:r w:rsidR="00075797">
        <w:rPr>
          <w:rFonts w:ascii="Titillium" w:hAnsi="Titillium"/>
        </w:rPr>
        <w:t xml:space="preserve">ion with the relevant activity. Your BDRM can help support on VAT status for the project. </w:t>
      </w:r>
    </w:p>
    <w:p w14:paraId="72F47ACD" w14:textId="3FA2439F" w:rsidR="006B76A7" w:rsidRDefault="006B76A7" w:rsidP="005474DD">
      <w:pPr>
        <w:spacing w:after="0" w:line="240" w:lineRule="auto"/>
        <w:jc w:val="both"/>
        <w:rPr>
          <w:rFonts w:ascii="Titillium" w:hAnsi="Titillium"/>
        </w:rPr>
      </w:pPr>
    </w:p>
    <w:p w14:paraId="4F08FC35" w14:textId="788306F8" w:rsidR="0066287F" w:rsidRDefault="00575866" w:rsidP="005474DD">
      <w:pPr>
        <w:spacing w:after="0" w:line="240" w:lineRule="auto"/>
        <w:jc w:val="both"/>
        <w:rPr>
          <w:rFonts w:ascii="Titillium" w:hAnsi="Titillium"/>
        </w:rPr>
      </w:pPr>
      <w:r>
        <w:rPr>
          <w:rFonts w:ascii="Titillium" w:hAnsi="Titillium"/>
        </w:rPr>
        <w:t xml:space="preserve">Please contact your BDRM to provide these indicative rates before discussing with the client. </w:t>
      </w:r>
      <w:r w:rsidR="008A2C11">
        <w:rPr>
          <w:rFonts w:ascii="Titillium" w:hAnsi="Titillium"/>
        </w:rPr>
        <w:t xml:space="preserve">These rates would only be estimates and do not constitute an official quotation of pricing. </w:t>
      </w:r>
    </w:p>
    <w:p w14:paraId="65C52663" w14:textId="77777777" w:rsidR="000D483D" w:rsidRDefault="000D483D" w:rsidP="005474DD">
      <w:pPr>
        <w:pStyle w:val="NapierHeaders"/>
        <w:spacing w:before="0" w:line="240" w:lineRule="auto"/>
      </w:pPr>
    </w:p>
    <w:p w14:paraId="636F6CEB" w14:textId="78D30F2D" w:rsidR="00D515C5" w:rsidRDefault="00563E08" w:rsidP="005474DD">
      <w:pPr>
        <w:pStyle w:val="NapierHeaders"/>
        <w:spacing w:before="0" w:line="240" w:lineRule="auto"/>
      </w:pPr>
      <w:bookmarkStart w:id="20" w:name="_Toc95132859"/>
      <w:r w:rsidRPr="0067438B">
        <w:t>A</w:t>
      </w:r>
      <w:r w:rsidR="00D515C5">
        <w:t>ppendix 4</w:t>
      </w:r>
      <w:r w:rsidRPr="0067438B">
        <w:t xml:space="preserve"> </w:t>
      </w:r>
      <w:r w:rsidR="003F384F">
        <w:t>–</w:t>
      </w:r>
      <w:r w:rsidRPr="0067438B">
        <w:t xml:space="preserve"> </w:t>
      </w:r>
      <w:r w:rsidR="003E0B4A" w:rsidRPr="0067438B">
        <w:t>Consultancy</w:t>
      </w:r>
      <w:r w:rsidR="003F384F">
        <w:t xml:space="preserve"> </w:t>
      </w:r>
      <w:r w:rsidR="003E0B4A" w:rsidRPr="0067438B">
        <w:t xml:space="preserve">and Commercial Activity </w:t>
      </w:r>
      <w:r w:rsidR="00AB6343">
        <w:t xml:space="preserve">Email Approval from </w:t>
      </w:r>
      <w:r w:rsidR="002F1636">
        <w:t>Line Manager</w:t>
      </w:r>
      <w:bookmarkEnd w:id="20"/>
      <w:r w:rsidR="002F1636">
        <w:t xml:space="preserve"> </w:t>
      </w:r>
    </w:p>
    <w:p w14:paraId="274AC445" w14:textId="77777777" w:rsidR="00AB6343" w:rsidRPr="005474DD" w:rsidRDefault="00AB6343" w:rsidP="005474DD">
      <w:pPr>
        <w:spacing w:after="0" w:line="240" w:lineRule="auto"/>
        <w:rPr>
          <w:rFonts w:ascii="Titillium" w:hAnsi="Titillium"/>
        </w:rPr>
      </w:pPr>
    </w:p>
    <w:p w14:paraId="16B5D89B" w14:textId="77777777" w:rsidR="00AB6343" w:rsidRPr="005474DD" w:rsidRDefault="00AB6343" w:rsidP="005474DD">
      <w:pPr>
        <w:spacing w:after="0" w:line="240" w:lineRule="auto"/>
        <w:rPr>
          <w:rFonts w:ascii="Titillium" w:hAnsi="Titillium"/>
        </w:rPr>
      </w:pPr>
      <w:r w:rsidRPr="005474DD">
        <w:rPr>
          <w:rFonts w:ascii="Titillium" w:hAnsi="Titillium"/>
        </w:rPr>
        <w:t xml:space="preserve">To be eligible for an additional payment, the staff member needs to have approval from their line manager (in advance of project starting and quote being issued) that the work is being undertaken out with WAM. </w:t>
      </w:r>
    </w:p>
    <w:p w14:paraId="0AAA35ED" w14:textId="77777777" w:rsidR="00AB6343" w:rsidRPr="005474DD" w:rsidRDefault="00AB6343" w:rsidP="005474DD">
      <w:pPr>
        <w:spacing w:after="0" w:line="240" w:lineRule="auto"/>
        <w:rPr>
          <w:rFonts w:ascii="Titillium" w:hAnsi="Titillium"/>
        </w:rPr>
      </w:pPr>
    </w:p>
    <w:p w14:paraId="47BC8363" w14:textId="77777777" w:rsidR="005474DD" w:rsidRDefault="00AB6343" w:rsidP="005474DD">
      <w:pPr>
        <w:spacing w:after="0" w:line="240" w:lineRule="auto"/>
        <w:rPr>
          <w:rFonts w:ascii="Titillium" w:hAnsi="Titillium"/>
        </w:rPr>
      </w:pPr>
      <w:r w:rsidRPr="005474DD">
        <w:rPr>
          <w:rFonts w:ascii="Titillium" w:hAnsi="Titillium"/>
        </w:rPr>
        <w:t xml:space="preserve">As part of this </w:t>
      </w:r>
      <w:r w:rsidR="00F63010" w:rsidRPr="005474DD">
        <w:rPr>
          <w:rFonts w:ascii="Titillium" w:hAnsi="Titillium"/>
        </w:rPr>
        <w:t>email</w:t>
      </w:r>
      <w:r w:rsidRPr="005474DD">
        <w:rPr>
          <w:rFonts w:ascii="Titillium" w:hAnsi="Titillium"/>
        </w:rPr>
        <w:t xml:space="preserve">, </w:t>
      </w:r>
      <w:r w:rsidR="00F63010" w:rsidRPr="005474DD">
        <w:rPr>
          <w:rFonts w:ascii="Titillium" w:hAnsi="Titillium"/>
        </w:rPr>
        <w:t xml:space="preserve">you must also </w:t>
      </w:r>
      <w:r w:rsidRPr="005474DD">
        <w:rPr>
          <w:rFonts w:ascii="Titillium" w:hAnsi="Titillium"/>
        </w:rPr>
        <w:t xml:space="preserve">provide </w:t>
      </w:r>
      <w:r w:rsidR="00F63010" w:rsidRPr="005474DD">
        <w:rPr>
          <w:rFonts w:ascii="Titillium" w:hAnsi="Titillium"/>
        </w:rPr>
        <w:t xml:space="preserve">justification </w:t>
      </w:r>
      <w:r w:rsidRPr="005474DD">
        <w:rPr>
          <w:rFonts w:ascii="Titillium" w:hAnsi="Titillium"/>
        </w:rPr>
        <w:t>about the proposed project and plan for delivery</w:t>
      </w:r>
      <w:r w:rsidR="00F63010" w:rsidRPr="005474DD">
        <w:rPr>
          <w:rFonts w:ascii="Titillium" w:hAnsi="Titillium"/>
        </w:rPr>
        <w:t xml:space="preserve">. This will </w:t>
      </w:r>
      <w:r w:rsidRPr="005474DD">
        <w:rPr>
          <w:rFonts w:ascii="Titillium" w:hAnsi="Titillium"/>
        </w:rPr>
        <w:t xml:space="preserve">help support your line manager in </w:t>
      </w:r>
      <w:proofErr w:type="gramStart"/>
      <w:r w:rsidRPr="005474DD">
        <w:rPr>
          <w:rFonts w:ascii="Titillium" w:hAnsi="Titillium"/>
        </w:rPr>
        <w:t>making a decision</w:t>
      </w:r>
      <w:proofErr w:type="gramEnd"/>
      <w:r w:rsidR="00F63010" w:rsidRPr="005474DD">
        <w:rPr>
          <w:rFonts w:ascii="Titillium" w:hAnsi="Titillium"/>
        </w:rPr>
        <w:t xml:space="preserve"> about whether this work can be conducted within</w:t>
      </w:r>
      <w:r w:rsidR="005474DD">
        <w:rPr>
          <w:rFonts w:ascii="Titillium" w:hAnsi="Titillium"/>
        </w:rPr>
        <w:t xml:space="preserve"> or </w:t>
      </w:r>
      <w:r w:rsidR="00F63010" w:rsidRPr="005474DD">
        <w:rPr>
          <w:rFonts w:ascii="Titillium" w:hAnsi="Titillium"/>
        </w:rPr>
        <w:t xml:space="preserve">out with WAM. </w:t>
      </w:r>
      <w:r w:rsidR="005474DD">
        <w:rPr>
          <w:rFonts w:ascii="Titillium" w:hAnsi="Titillium"/>
        </w:rPr>
        <w:t>Please u</w:t>
      </w:r>
      <w:r w:rsidRPr="005474DD">
        <w:rPr>
          <w:rFonts w:ascii="Titillium" w:hAnsi="Titillium"/>
        </w:rPr>
        <w:t xml:space="preserve">pload the email response to </w:t>
      </w:r>
      <w:r w:rsidR="005474DD">
        <w:rPr>
          <w:rFonts w:ascii="Titillium" w:hAnsi="Titillium"/>
        </w:rPr>
        <w:t xml:space="preserve">the </w:t>
      </w:r>
      <w:proofErr w:type="spellStart"/>
      <w:r w:rsidRPr="005474DD">
        <w:rPr>
          <w:rFonts w:ascii="Titillium" w:hAnsi="Titillium"/>
        </w:rPr>
        <w:t>Worktribe</w:t>
      </w:r>
      <w:proofErr w:type="spellEnd"/>
      <w:r w:rsidRPr="005474DD">
        <w:rPr>
          <w:rFonts w:ascii="Titillium" w:hAnsi="Titillium"/>
        </w:rPr>
        <w:t xml:space="preserve"> project record, in the documents tab.</w:t>
      </w:r>
    </w:p>
    <w:p w14:paraId="32CF5C5A" w14:textId="77777777" w:rsidR="005474DD" w:rsidRDefault="005474DD" w:rsidP="005474DD">
      <w:pPr>
        <w:spacing w:after="0" w:line="240" w:lineRule="auto"/>
        <w:rPr>
          <w:rFonts w:ascii="Titillium" w:hAnsi="Titillium"/>
        </w:rPr>
      </w:pPr>
    </w:p>
    <w:p w14:paraId="5E6D910F" w14:textId="5989FB11" w:rsidR="000D483D" w:rsidRDefault="005474DD" w:rsidP="005474DD">
      <w:pPr>
        <w:spacing w:after="0" w:line="240" w:lineRule="auto"/>
        <w:rPr>
          <w:rFonts w:ascii="Titillium" w:hAnsi="Titillium"/>
        </w:rPr>
      </w:pPr>
      <w:r w:rsidRPr="005474DD">
        <w:rPr>
          <w:rFonts w:ascii="Titillium" w:hAnsi="Titillium"/>
        </w:rPr>
        <w:t>Please email the following</w:t>
      </w:r>
      <w:r>
        <w:rPr>
          <w:rFonts w:ascii="Titillium" w:hAnsi="Titillium"/>
        </w:rPr>
        <w:t xml:space="preserve"> brief</w:t>
      </w:r>
      <w:r w:rsidRPr="005474DD">
        <w:rPr>
          <w:rFonts w:ascii="Titillium" w:hAnsi="Titillium"/>
        </w:rPr>
        <w:t xml:space="preserve"> questions to your line manager. </w:t>
      </w:r>
      <w:r w:rsidR="00AB6343" w:rsidRPr="005474DD">
        <w:rPr>
          <w:rFonts w:ascii="Titillium" w:hAnsi="Titillium"/>
        </w:rPr>
        <w:br/>
        <w:t xml:space="preserve"> </w:t>
      </w:r>
    </w:p>
    <w:p w14:paraId="11557A93" w14:textId="26D1278B" w:rsidR="00075797" w:rsidRDefault="005474DD" w:rsidP="005474DD">
      <w:pPr>
        <w:pStyle w:val="ListParagraph"/>
        <w:numPr>
          <w:ilvl w:val="0"/>
          <w:numId w:val="28"/>
        </w:numPr>
        <w:spacing w:after="0" w:line="240" w:lineRule="auto"/>
        <w:rPr>
          <w:rFonts w:ascii="Titillium" w:hAnsi="Titillium"/>
          <w:i/>
        </w:rPr>
      </w:pPr>
      <w:proofErr w:type="spellStart"/>
      <w:r>
        <w:rPr>
          <w:rFonts w:ascii="Titillium" w:hAnsi="Titillium"/>
          <w:i/>
        </w:rPr>
        <w:t>Worktribe</w:t>
      </w:r>
      <w:proofErr w:type="spellEnd"/>
      <w:r>
        <w:rPr>
          <w:rFonts w:ascii="Titillium" w:hAnsi="Titillium"/>
          <w:i/>
        </w:rPr>
        <w:t xml:space="preserve"> Reference for Project?</w:t>
      </w:r>
      <w:r w:rsidR="00075797" w:rsidRPr="005474DD">
        <w:rPr>
          <w:rFonts w:ascii="Titillium" w:hAnsi="Titillium"/>
          <w:i/>
        </w:rPr>
        <w:t xml:space="preserve"> </w:t>
      </w:r>
      <w:r w:rsidRPr="005474DD">
        <w:rPr>
          <w:rFonts w:ascii="Titillium" w:hAnsi="Titillium"/>
          <w:b/>
          <w:i/>
        </w:rPr>
        <w:t>Staff member to complete</w:t>
      </w:r>
    </w:p>
    <w:p w14:paraId="29F2C62D" w14:textId="3EF53C55" w:rsidR="005474DD" w:rsidRPr="005474DD" w:rsidRDefault="005474DD" w:rsidP="005474DD">
      <w:pPr>
        <w:pStyle w:val="ListParagraph"/>
        <w:numPr>
          <w:ilvl w:val="0"/>
          <w:numId w:val="28"/>
        </w:numPr>
        <w:spacing w:after="0" w:line="240" w:lineRule="auto"/>
        <w:rPr>
          <w:rFonts w:ascii="Titillium" w:hAnsi="Titillium"/>
          <w:i/>
        </w:rPr>
      </w:pPr>
      <w:r>
        <w:rPr>
          <w:rFonts w:ascii="Titillium" w:hAnsi="Titillium"/>
          <w:i/>
        </w:rPr>
        <w:t xml:space="preserve">Short Justification and Delivery Plan for Project? </w:t>
      </w:r>
      <w:r w:rsidRPr="005474DD">
        <w:rPr>
          <w:rFonts w:ascii="Titillium" w:hAnsi="Titillium"/>
          <w:b/>
          <w:i/>
        </w:rPr>
        <w:t>Staff member to complete</w:t>
      </w:r>
    </w:p>
    <w:p w14:paraId="4D86ED49" w14:textId="525B4222" w:rsidR="00075797" w:rsidRPr="005474DD" w:rsidRDefault="00075797" w:rsidP="005474DD">
      <w:pPr>
        <w:pStyle w:val="ListParagraph"/>
        <w:numPr>
          <w:ilvl w:val="0"/>
          <w:numId w:val="28"/>
        </w:numPr>
        <w:spacing w:after="0" w:line="240" w:lineRule="auto"/>
        <w:rPr>
          <w:rFonts w:ascii="Titillium" w:hAnsi="Titillium"/>
          <w:i/>
        </w:rPr>
      </w:pPr>
      <w:r w:rsidRPr="005474DD">
        <w:rPr>
          <w:rFonts w:ascii="Titillium" w:hAnsi="Titillium"/>
          <w:i/>
        </w:rPr>
        <w:t>Does the staff member have capacity to und</w:t>
      </w:r>
      <w:r w:rsidR="005474DD">
        <w:rPr>
          <w:rFonts w:ascii="Titillium" w:hAnsi="Titillium"/>
          <w:i/>
        </w:rPr>
        <w:t xml:space="preserve">ertake this work within WAM (Yes or No)? </w:t>
      </w:r>
      <w:r w:rsidR="005474DD" w:rsidRPr="005474DD">
        <w:rPr>
          <w:rFonts w:ascii="Titillium" w:hAnsi="Titillium"/>
          <w:b/>
          <w:i/>
        </w:rPr>
        <w:t>Line Manager to Complete</w:t>
      </w:r>
      <w:r w:rsidR="005474DD">
        <w:rPr>
          <w:rFonts w:ascii="Titillium" w:hAnsi="Titillium"/>
          <w:i/>
        </w:rPr>
        <w:t xml:space="preserve">  </w:t>
      </w:r>
    </w:p>
    <w:p w14:paraId="515B3511" w14:textId="3C368B7C" w:rsidR="00FD7CEC" w:rsidRDefault="00075797" w:rsidP="00FD7CEC">
      <w:pPr>
        <w:pStyle w:val="ListParagraph"/>
        <w:numPr>
          <w:ilvl w:val="0"/>
          <w:numId w:val="28"/>
        </w:numPr>
        <w:spacing w:after="0" w:line="240" w:lineRule="auto"/>
        <w:rPr>
          <w:rFonts w:ascii="Titillium" w:hAnsi="Titillium"/>
          <w:i/>
        </w:rPr>
      </w:pPr>
      <w:r w:rsidRPr="005474DD">
        <w:rPr>
          <w:rFonts w:ascii="Titillium" w:hAnsi="Titillium"/>
          <w:i/>
        </w:rPr>
        <w:t>Has it been discussed that the scope of work is deliverable with</w:t>
      </w:r>
      <w:r w:rsidR="00FD7CEC">
        <w:rPr>
          <w:rFonts w:ascii="Titillium" w:hAnsi="Titillium"/>
          <w:i/>
        </w:rPr>
        <w:t xml:space="preserve">in the </w:t>
      </w:r>
      <w:proofErr w:type="gramStart"/>
      <w:r w:rsidR="00FD7CEC">
        <w:rPr>
          <w:rFonts w:ascii="Titillium" w:hAnsi="Titillium"/>
          <w:i/>
        </w:rPr>
        <w:t>amount</w:t>
      </w:r>
      <w:proofErr w:type="gramEnd"/>
      <w:r w:rsidR="00FD7CEC">
        <w:rPr>
          <w:rFonts w:ascii="Titillium" w:hAnsi="Titillium"/>
          <w:i/>
        </w:rPr>
        <w:t xml:space="preserve"> of days proposed (Yes or No)? </w:t>
      </w:r>
      <w:r w:rsidR="00FD7CEC" w:rsidRPr="005474DD">
        <w:rPr>
          <w:rFonts w:ascii="Titillium" w:hAnsi="Titillium"/>
          <w:b/>
          <w:i/>
        </w:rPr>
        <w:t>Line Manager to Complete</w:t>
      </w:r>
      <w:r w:rsidR="00FD7CEC">
        <w:rPr>
          <w:rFonts w:ascii="Titillium" w:hAnsi="Titillium"/>
          <w:i/>
        </w:rPr>
        <w:t xml:space="preserve">  </w:t>
      </w:r>
    </w:p>
    <w:p w14:paraId="1391D96F" w14:textId="108EE4E7" w:rsidR="00203044" w:rsidRPr="005474DD" w:rsidRDefault="00203044" w:rsidP="00FD7CEC">
      <w:pPr>
        <w:pStyle w:val="ListParagraph"/>
        <w:numPr>
          <w:ilvl w:val="0"/>
          <w:numId w:val="28"/>
        </w:numPr>
        <w:spacing w:after="0" w:line="240" w:lineRule="auto"/>
        <w:rPr>
          <w:rFonts w:ascii="Titillium" w:hAnsi="Titillium"/>
          <w:i/>
        </w:rPr>
      </w:pPr>
      <w:r>
        <w:rPr>
          <w:rFonts w:ascii="Titillium" w:hAnsi="Titillium"/>
          <w:i/>
        </w:rPr>
        <w:t xml:space="preserve">Have you confirmed this project is within scope of the Commercial Activity framework (Yes or No)? </w:t>
      </w:r>
      <w:r w:rsidRPr="00203044">
        <w:rPr>
          <w:rFonts w:ascii="Titillium" w:hAnsi="Titillium"/>
          <w:b/>
          <w:bCs/>
          <w:i/>
        </w:rPr>
        <w:t>Line Manager to Complete</w:t>
      </w:r>
    </w:p>
    <w:p w14:paraId="41AAD08F" w14:textId="72A12CA0" w:rsidR="00075797" w:rsidRPr="00FD7CEC" w:rsidRDefault="00075797" w:rsidP="00FD7CEC">
      <w:pPr>
        <w:pStyle w:val="ListParagraph"/>
        <w:numPr>
          <w:ilvl w:val="0"/>
          <w:numId w:val="28"/>
        </w:numPr>
        <w:spacing w:after="0" w:line="240" w:lineRule="auto"/>
        <w:rPr>
          <w:rFonts w:ascii="Titillium" w:hAnsi="Titillium"/>
          <w:i/>
        </w:rPr>
      </w:pPr>
      <w:r w:rsidRPr="005474DD">
        <w:rPr>
          <w:rFonts w:ascii="Titillium" w:hAnsi="Titillium"/>
          <w:i/>
        </w:rPr>
        <w:t>Do you approve the staff member to undertake this project in the</w:t>
      </w:r>
      <w:r w:rsidR="00FD7CEC">
        <w:rPr>
          <w:rFonts w:ascii="Titillium" w:hAnsi="Titillium"/>
          <w:i/>
        </w:rPr>
        <w:t>ir own time (</w:t>
      </w:r>
      <w:proofErr w:type="gramStart"/>
      <w:r w:rsidR="00FD7CEC">
        <w:rPr>
          <w:rFonts w:ascii="Titillium" w:hAnsi="Titillium"/>
          <w:i/>
        </w:rPr>
        <w:t>i.e.</w:t>
      </w:r>
      <w:proofErr w:type="gramEnd"/>
      <w:r w:rsidR="00FD7CEC">
        <w:rPr>
          <w:rFonts w:ascii="Titillium" w:hAnsi="Titillium"/>
          <w:i/>
        </w:rPr>
        <w:t xml:space="preserve"> out with WAM) (Yes or No)? </w:t>
      </w:r>
      <w:r w:rsidR="00FD7CEC" w:rsidRPr="005474DD">
        <w:rPr>
          <w:rFonts w:ascii="Titillium" w:hAnsi="Titillium"/>
          <w:b/>
          <w:i/>
        </w:rPr>
        <w:t>Line Manager to Complete</w:t>
      </w:r>
      <w:r w:rsidR="00FD7CEC">
        <w:rPr>
          <w:rFonts w:ascii="Titillium" w:hAnsi="Titillium"/>
          <w:i/>
        </w:rPr>
        <w:t xml:space="preserve">  </w:t>
      </w:r>
    </w:p>
    <w:p w14:paraId="2238AD01" w14:textId="77777777" w:rsidR="005474DD" w:rsidRDefault="005474DD" w:rsidP="005474DD">
      <w:pPr>
        <w:spacing w:after="0" w:line="240" w:lineRule="auto"/>
        <w:rPr>
          <w:rFonts w:ascii="Titillium" w:hAnsi="Titillium"/>
          <w:b/>
          <w:i/>
        </w:rPr>
      </w:pPr>
    </w:p>
    <w:p w14:paraId="31CBCED2" w14:textId="56DEE0D8" w:rsidR="00075797" w:rsidRPr="005474DD" w:rsidRDefault="00075797" w:rsidP="005474DD">
      <w:pPr>
        <w:spacing w:after="0" w:line="240" w:lineRule="auto"/>
        <w:rPr>
          <w:rFonts w:ascii="Titillium" w:hAnsi="Titillium"/>
          <w:b/>
          <w:i/>
        </w:rPr>
      </w:pPr>
      <w:r w:rsidRPr="005474DD">
        <w:rPr>
          <w:rFonts w:ascii="Titillium" w:hAnsi="Titillium"/>
          <w:b/>
          <w:i/>
        </w:rPr>
        <w:t>By confirming that this work is conducted out with WAM, the staff will be eligible for additional payment</w:t>
      </w:r>
      <w:r w:rsidR="00FD7CEC">
        <w:rPr>
          <w:rFonts w:ascii="Titillium" w:hAnsi="Titillium"/>
          <w:b/>
          <w:i/>
        </w:rPr>
        <w:t>.</w:t>
      </w:r>
    </w:p>
    <w:sectPr w:rsidR="00075797" w:rsidRPr="005474DD" w:rsidSect="00D379FF">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91A7" w14:textId="77777777" w:rsidR="00473E05" w:rsidRDefault="00473E05" w:rsidP="00E75D24">
      <w:pPr>
        <w:spacing w:after="0" w:line="240" w:lineRule="auto"/>
      </w:pPr>
      <w:r>
        <w:separator/>
      </w:r>
    </w:p>
  </w:endnote>
  <w:endnote w:type="continuationSeparator" w:id="0">
    <w:p w14:paraId="1A7FE563" w14:textId="77777777" w:rsidR="00473E05" w:rsidRDefault="00473E05" w:rsidP="00E7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 Light">
    <w:panose1 w:val="0200050603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CB83" w14:textId="35480639" w:rsidR="005474DD" w:rsidRPr="00A540DC" w:rsidRDefault="005474DD" w:rsidP="00D2298D">
    <w:pPr>
      <w:pStyle w:val="Footer"/>
      <w:jc w:val="right"/>
      <w:rPr>
        <w:color w:val="859EA4"/>
      </w:rPr>
    </w:pPr>
    <w:r>
      <w:rPr>
        <w:color w:val="859EA4"/>
      </w:rPr>
      <w:t>Version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5981" w14:textId="77777777" w:rsidR="00473E05" w:rsidRDefault="00473E05" w:rsidP="00E75D24">
      <w:pPr>
        <w:spacing w:after="0" w:line="240" w:lineRule="auto"/>
      </w:pPr>
      <w:r>
        <w:separator/>
      </w:r>
    </w:p>
  </w:footnote>
  <w:footnote w:type="continuationSeparator" w:id="0">
    <w:p w14:paraId="289B9D09" w14:textId="77777777" w:rsidR="00473E05" w:rsidRDefault="00473E05" w:rsidP="00E75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5315FFA"/>
    <w:multiLevelType w:val="hybridMultilevel"/>
    <w:tmpl w:val="18B8C1F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791237"/>
    <w:multiLevelType w:val="hybridMultilevel"/>
    <w:tmpl w:val="D88A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C9502F"/>
    <w:multiLevelType w:val="hybridMultilevel"/>
    <w:tmpl w:val="A7C00A48"/>
    <w:lvl w:ilvl="0" w:tplc="3CD4FF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6096E"/>
    <w:multiLevelType w:val="hybridMultilevel"/>
    <w:tmpl w:val="ED4AE190"/>
    <w:lvl w:ilvl="0" w:tplc="0D6C2C18">
      <w:start w:val="1"/>
      <w:numFmt w:val="bullet"/>
      <w:lvlText w:val="•"/>
      <w:lvlJc w:val="left"/>
      <w:pPr>
        <w:tabs>
          <w:tab w:val="num" w:pos="720"/>
        </w:tabs>
        <w:ind w:left="720" w:hanging="360"/>
      </w:pPr>
      <w:rPr>
        <w:rFonts w:ascii="Times New Roman" w:hAnsi="Times New Roman" w:hint="default"/>
      </w:rPr>
    </w:lvl>
    <w:lvl w:ilvl="1" w:tplc="08A63780" w:tentative="1">
      <w:start w:val="1"/>
      <w:numFmt w:val="bullet"/>
      <w:lvlText w:val="•"/>
      <w:lvlJc w:val="left"/>
      <w:pPr>
        <w:tabs>
          <w:tab w:val="num" w:pos="1440"/>
        </w:tabs>
        <w:ind w:left="1440" w:hanging="360"/>
      </w:pPr>
      <w:rPr>
        <w:rFonts w:ascii="Times New Roman" w:hAnsi="Times New Roman" w:hint="default"/>
      </w:rPr>
    </w:lvl>
    <w:lvl w:ilvl="2" w:tplc="805250AC" w:tentative="1">
      <w:start w:val="1"/>
      <w:numFmt w:val="bullet"/>
      <w:lvlText w:val="•"/>
      <w:lvlJc w:val="left"/>
      <w:pPr>
        <w:tabs>
          <w:tab w:val="num" w:pos="2160"/>
        </w:tabs>
        <w:ind w:left="2160" w:hanging="360"/>
      </w:pPr>
      <w:rPr>
        <w:rFonts w:ascii="Times New Roman" w:hAnsi="Times New Roman" w:hint="default"/>
      </w:rPr>
    </w:lvl>
    <w:lvl w:ilvl="3" w:tplc="4274E75A" w:tentative="1">
      <w:start w:val="1"/>
      <w:numFmt w:val="bullet"/>
      <w:lvlText w:val="•"/>
      <w:lvlJc w:val="left"/>
      <w:pPr>
        <w:tabs>
          <w:tab w:val="num" w:pos="2880"/>
        </w:tabs>
        <w:ind w:left="2880" w:hanging="360"/>
      </w:pPr>
      <w:rPr>
        <w:rFonts w:ascii="Times New Roman" w:hAnsi="Times New Roman" w:hint="default"/>
      </w:rPr>
    </w:lvl>
    <w:lvl w:ilvl="4" w:tplc="F112C216" w:tentative="1">
      <w:start w:val="1"/>
      <w:numFmt w:val="bullet"/>
      <w:lvlText w:val="•"/>
      <w:lvlJc w:val="left"/>
      <w:pPr>
        <w:tabs>
          <w:tab w:val="num" w:pos="3600"/>
        </w:tabs>
        <w:ind w:left="3600" w:hanging="360"/>
      </w:pPr>
      <w:rPr>
        <w:rFonts w:ascii="Times New Roman" w:hAnsi="Times New Roman" w:hint="default"/>
      </w:rPr>
    </w:lvl>
    <w:lvl w:ilvl="5" w:tplc="6644DD2C" w:tentative="1">
      <w:start w:val="1"/>
      <w:numFmt w:val="bullet"/>
      <w:lvlText w:val="•"/>
      <w:lvlJc w:val="left"/>
      <w:pPr>
        <w:tabs>
          <w:tab w:val="num" w:pos="4320"/>
        </w:tabs>
        <w:ind w:left="4320" w:hanging="360"/>
      </w:pPr>
      <w:rPr>
        <w:rFonts w:ascii="Times New Roman" w:hAnsi="Times New Roman" w:hint="default"/>
      </w:rPr>
    </w:lvl>
    <w:lvl w:ilvl="6" w:tplc="894A3FCE" w:tentative="1">
      <w:start w:val="1"/>
      <w:numFmt w:val="bullet"/>
      <w:lvlText w:val="•"/>
      <w:lvlJc w:val="left"/>
      <w:pPr>
        <w:tabs>
          <w:tab w:val="num" w:pos="5040"/>
        </w:tabs>
        <w:ind w:left="5040" w:hanging="360"/>
      </w:pPr>
      <w:rPr>
        <w:rFonts w:ascii="Times New Roman" w:hAnsi="Times New Roman" w:hint="default"/>
      </w:rPr>
    </w:lvl>
    <w:lvl w:ilvl="7" w:tplc="568250FA" w:tentative="1">
      <w:start w:val="1"/>
      <w:numFmt w:val="bullet"/>
      <w:lvlText w:val="•"/>
      <w:lvlJc w:val="left"/>
      <w:pPr>
        <w:tabs>
          <w:tab w:val="num" w:pos="5760"/>
        </w:tabs>
        <w:ind w:left="5760" w:hanging="360"/>
      </w:pPr>
      <w:rPr>
        <w:rFonts w:ascii="Times New Roman" w:hAnsi="Times New Roman" w:hint="default"/>
      </w:rPr>
    </w:lvl>
    <w:lvl w:ilvl="8" w:tplc="EC507B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60C8D"/>
    <w:multiLevelType w:val="hybridMultilevel"/>
    <w:tmpl w:val="55F06DBA"/>
    <w:lvl w:ilvl="0" w:tplc="525AB5E2">
      <w:numFmt w:val="bullet"/>
      <w:lvlText w:val="-"/>
      <w:lvlJc w:val="left"/>
      <w:pPr>
        <w:ind w:left="360" w:hanging="360"/>
      </w:pPr>
      <w:rPr>
        <w:rFonts w:ascii="Interstate Light" w:eastAsia="Times New Roman" w:hAnsi="Interstate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2266B"/>
    <w:multiLevelType w:val="hybridMultilevel"/>
    <w:tmpl w:val="FBD4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4A5C24"/>
    <w:multiLevelType w:val="hybridMultilevel"/>
    <w:tmpl w:val="271CC7DE"/>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E5B41"/>
    <w:multiLevelType w:val="multilevel"/>
    <w:tmpl w:val="48427D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AD0733C"/>
    <w:multiLevelType w:val="hybridMultilevel"/>
    <w:tmpl w:val="1FE630B6"/>
    <w:lvl w:ilvl="0" w:tplc="5F1AFE66">
      <w:start w:val="2"/>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B5EEF"/>
    <w:multiLevelType w:val="hybridMultilevel"/>
    <w:tmpl w:val="65F4BC9E"/>
    <w:lvl w:ilvl="0" w:tplc="15441D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2718EC"/>
    <w:multiLevelType w:val="hybridMultilevel"/>
    <w:tmpl w:val="8A2AF126"/>
    <w:lvl w:ilvl="0" w:tplc="31363C20">
      <w:start w:val="1"/>
      <w:numFmt w:val="bullet"/>
      <w:lvlText w:val=""/>
      <w:lvlPicBulletId w:val="0"/>
      <w:lvlJc w:val="left"/>
      <w:pPr>
        <w:ind w:left="644" w:hanging="360"/>
      </w:pPr>
      <w:rPr>
        <w:rFonts w:ascii="Symbol" w:hAnsi="Symbol"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4A903137"/>
    <w:multiLevelType w:val="multilevel"/>
    <w:tmpl w:val="AD760378"/>
    <w:lvl w:ilvl="0">
      <w:numFmt w:val="bullet"/>
      <w:lvlText w:val="-"/>
      <w:lvlJc w:val="left"/>
      <w:pPr>
        <w:tabs>
          <w:tab w:val="num" w:pos="360"/>
        </w:tabs>
        <w:ind w:left="360" w:hanging="360"/>
      </w:pPr>
      <w:rPr>
        <w:rFonts w:ascii="Interstate Light" w:eastAsia="Times New Roman" w:hAnsi="Interstate Light"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EF2727A"/>
    <w:multiLevelType w:val="hybridMultilevel"/>
    <w:tmpl w:val="F2F2B124"/>
    <w:lvl w:ilvl="0" w:tplc="A61033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44CA5"/>
    <w:multiLevelType w:val="hybridMultilevel"/>
    <w:tmpl w:val="1624C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AD1781"/>
    <w:multiLevelType w:val="hybridMultilevel"/>
    <w:tmpl w:val="E6807E7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13140B"/>
    <w:multiLevelType w:val="multilevel"/>
    <w:tmpl w:val="2FC60D0A"/>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66644D37"/>
    <w:multiLevelType w:val="hybridMultilevel"/>
    <w:tmpl w:val="5A968C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91AF5"/>
    <w:multiLevelType w:val="multilevel"/>
    <w:tmpl w:val="A31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C93CD4"/>
    <w:multiLevelType w:val="hybridMultilevel"/>
    <w:tmpl w:val="BBC033C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F2FC7"/>
    <w:multiLevelType w:val="multilevel"/>
    <w:tmpl w:val="3B50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16A7D"/>
    <w:multiLevelType w:val="hybridMultilevel"/>
    <w:tmpl w:val="1472DBA8"/>
    <w:lvl w:ilvl="0" w:tplc="5F1AFE66">
      <w:start w:val="2"/>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E1D3E"/>
    <w:multiLevelType w:val="hybridMultilevel"/>
    <w:tmpl w:val="0DC80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63E7914"/>
    <w:multiLevelType w:val="hybridMultilevel"/>
    <w:tmpl w:val="A8D2F380"/>
    <w:lvl w:ilvl="0" w:tplc="460CAD04">
      <w:start w:val="2"/>
      <w:numFmt w:val="decimal"/>
      <w:lvlText w:val="%1."/>
      <w:lvlJc w:val="left"/>
      <w:pPr>
        <w:ind w:left="318"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F30A5"/>
    <w:multiLevelType w:val="multilevel"/>
    <w:tmpl w:val="CDC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893D17"/>
    <w:multiLevelType w:val="hybridMultilevel"/>
    <w:tmpl w:val="A90CC6E4"/>
    <w:lvl w:ilvl="0" w:tplc="525AB5E2">
      <w:numFmt w:val="bullet"/>
      <w:lvlText w:val="-"/>
      <w:lvlJc w:val="left"/>
      <w:pPr>
        <w:ind w:left="360" w:hanging="360"/>
      </w:pPr>
      <w:rPr>
        <w:rFonts w:ascii="Interstate Light" w:eastAsia="Times New Roman" w:hAnsi="Interstate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917077"/>
    <w:multiLevelType w:val="multilevel"/>
    <w:tmpl w:val="8C4A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7"/>
  </w:num>
  <w:num w:numId="3">
    <w:abstractNumId w:val="25"/>
  </w:num>
  <w:num w:numId="4">
    <w:abstractNumId w:val="1"/>
  </w:num>
  <w:num w:numId="5">
    <w:abstractNumId w:val="23"/>
  </w:num>
  <w:num w:numId="6">
    <w:abstractNumId w:val="6"/>
  </w:num>
  <w:num w:numId="7">
    <w:abstractNumId w:val="19"/>
  </w:num>
  <w:num w:numId="8">
    <w:abstractNumId w:val="8"/>
  </w:num>
  <w:num w:numId="9">
    <w:abstractNumId w:val="5"/>
  </w:num>
  <w:num w:numId="10">
    <w:abstractNumId w:val="12"/>
  </w:num>
  <w:num w:numId="11">
    <w:abstractNumId w:val="26"/>
  </w:num>
  <w:num w:numId="12">
    <w:abstractNumId w:val="0"/>
  </w:num>
  <w:num w:numId="13">
    <w:abstractNumId w:val="18"/>
  </w:num>
  <w:num w:numId="14">
    <w:abstractNumId w:val="11"/>
  </w:num>
  <w:num w:numId="15">
    <w:abstractNumId w:val="24"/>
  </w:num>
  <w:num w:numId="16">
    <w:abstractNumId w:val="14"/>
  </w:num>
  <w:num w:numId="17">
    <w:abstractNumId w:val="4"/>
  </w:num>
  <w:num w:numId="18">
    <w:abstractNumId w:val="3"/>
  </w:num>
  <w:num w:numId="19">
    <w:abstractNumId w:val="17"/>
  </w:num>
  <w:num w:numId="20">
    <w:abstractNumId w:val="16"/>
  </w:num>
  <w:num w:numId="21">
    <w:abstractNumId w:val="2"/>
  </w:num>
  <w:num w:numId="22">
    <w:abstractNumId w:val="10"/>
  </w:num>
  <w:num w:numId="23">
    <w:abstractNumId w:val="7"/>
  </w:num>
  <w:num w:numId="24">
    <w:abstractNumId w:val="9"/>
  </w:num>
  <w:num w:numId="25">
    <w:abstractNumId w:val="22"/>
  </w:num>
  <w:num w:numId="26">
    <w:abstractNumId w:val="13"/>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E2"/>
    <w:rsid w:val="00010225"/>
    <w:rsid w:val="00017929"/>
    <w:rsid w:val="00017AE8"/>
    <w:rsid w:val="00023278"/>
    <w:rsid w:val="0003188A"/>
    <w:rsid w:val="00033F94"/>
    <w:rsid w:val="00036F60"/>
    <w:rsid w:val="000438D8"/>
    <w:rsid w:val="00043977"/>
    <w:rsid w:val="00043C0F"/>
    <w:rsid w:val="00056595"/>
    <w:rsid w:val="000629AC"/>
    <w:rsid w:val="00070C81"/>
    <w:rsid w:val="00071BFE"/>
    <w:rsid w:val="0007526B"/>
    <w:rsid w:val="00075797"/>
    <w:rsid w:val="00076977"/>
    <w:rsid w:val="00080037"/>
    <w:rsid w:val="00086D58"/>
    <w:rsid w:val="00094A39"/>
    <w:rsid w:val="00096E08"/>
    <w:rsid w:val="000A2BF9"/>
    <w:rsid w:val="000A7920"/>
    <w:rsid w:val="000D47BD"/>
    <w:rsid w:val="000D483D"/>
    <w:rsid w:val="000D5926"/>
    <w:rsid w:val="000E732B"/>
    <w:rsid w:val="000F452D"/>
    <w:rsid w:val="00113DB7"/>
    <w:rsid w:val="001267F2"/>
    <w:rsid w:val="00144625"/>
    <w:rsid w:val="00144898"/>
    <w:rsid w:val="00155284"/>
    <w:rsid w:val="00166240"/>
    <w:rsid w:val="001720CE"/>
    <w:rsid w:val="00185643"/>
    <w:rsid w:val="00193D34"/>
    <w:rsid w:val="001A25DF"/>
    <w:rsid w:val="001A4400"/>
    <w:rsid w:val="001B0D39"/>
    <w:rsid w:val="001B23C8"/>
    <w:rsid w:val="001B3736"/>
    <w:rsid w:val="001B71BD"/>
    <w:rsid w:val="001B789A"/>
    <w:rsid w:val="001C1882"/>
    <w:rsid w:val="001E5DF7"/>
    <w:rsid w:val="001E739B"/>
    <w:rsid w:val="00203044"/>
    <w:rsid w:val="00206703"/>
    <w:rsid w:val="00222FA3"/>
    <w:rsid w:val="002243C1"/>
    <w:rsid w:val="002327EA"/>
    <w:rsid w:val="00236ED1"/>
    <w:rsid w:val="00240E6E"/>
    <w:rsid w:val="002417FC"/>
    <w:rsid w:val="002436E1"/>
    <w:rsid w:val="002437BB"/>
    <w:rsid w:val="00267145"/>
    <w:rsid w:val="00270D25"/>
    <w:rsid w:val="00271D2D"/>
    <w:rsid w:val="002760BB"/>
    <w:rsid w:val="00293B22"/>
    <w:rsid w:val="002A0EEC"/>
    <w:rsid w:val="002B74E3"/>
    <w:rsid w:val="002D2D10"/>
    <w:rsid w:val="002D64A0"/>
    <w:rsid w:val="002E0076"/>
    <w:rsid w:val="002E48A9"/>
    <w:rsid w:val="002E5DBA"/>
    <w:rsid w:val="002F1636"/>
    <w:rsid w:val="002F2E30"/>
    <w:rsid w:val="002F477E"/>
    <w:rsid w:val="003217D4"/>
    <w:rsid w:val="00330DFF"/>
    <w:rsid w:val="00333B1C"/>
    <w:rsid w:val="0033452C"/>
    <w:rsid w:val="0033687D"/>
    <w:rsid w:val="003433A0"/>
    <w:rsid w:val="00347270"/>
    <w:rsid w:val="00350895"/>
    <w:rsid w:val="00386FA3"/>
    <w:rsid w:val="00387333"/>
    <w:rsid w:val="003A4562"/>
    <w:rsid w:val="003B5F54"/>
    <w:rsid w:val="003C3018"/>
    <w:rsid w:val="003C661D"/>
    <w:rsid w:val="003D0FA0"/>
    <w:rsid w:val="003E0B4A"/>
    <w:rsid w:val="003F384F"/>
    <w:rsid w:val="003F7023"/>
    <w:rsid w:val="004078C0"/>
    <w:rsid w:val="00421BCF"/>
    <w:rsid w:val="00422636"/>
    <w:rsid w:val="00425B4A"/>
    <w:rsid w:val="00435478"/>
    <w:rsid w:val="00441863"/>
    <w:rsid w:val="00441DF2"/>
    <w:rsid w:val="0044424D"/>
    <w:rsid w:val="0045000C"/>
    <w:rsid w:val="00454775"/>
    <w:rsid w:val="00462911"/>
    <w:rsid w:val="00464353"/>
    <w:rsid w:val="00466D6F"/>
    <w:rsid w:val="0046750C"/>
    <w:rsid w:val="00471292"/>
    <w:rsid w:val="00473E05"/>
    <w:rsid w:val="00477666"/>
    <w:rsid w:val="00492F76"/>
    <w:rsid w:val="00496F98"/>
    <w:rsid w:val="004A0697"/>
    <w:rsid w:val="004A2ACD"/>
    <w:rsid w:val="004A54AF"/>
    <w:rsid w:val="004B3794"/>
    <w:rsid w:val="004C30DC"/>
    <w:rsid w:val="004C45D9"/>
    <w:rsid w:val="004C45E3"/>
    <w:rsid w:val="004E0C42"/>
    <w:rsid w:val="004E3437"/>
    <w:rsid w:val="004E4BA4"/>
    <w:rsid w:val="004E7F49"/>
    <w:rsid w:val="004F1A90"/>
    <w:rsid w:val="004F2C2B"/>
    <w:rsid w:val="00504804"/>
    <w:rsid w:val="00516FA7"/>
    <w:rsid w:val="00520C34"/>
    <w:rsid w:val="00531044"/>
    <w:rsid w:val="005348B5"/>
    <w:rsid w:val="00541741"/>
    <w:rsid w:val="00546CDB"/>
    <w:rsid w:val="005474DD"/>
    <w:rsid w:val="00547ECB"/>
    <w:rsid w:val="0055456F"/>
    <w:rsid w:val="00560AF9"/>
    <w:rsid w:val="00563E08"/>
    <w:rsid w:val="005649F6"/>
    <w:rsid w:val="00570E4E"/>
    <w:rsid w:val="00575866"/>
    <w:rsid w:val="0057693C"/>
    <w:rsid w:val="00584248"/>
    <w:rsid w:val="0058499D"/>
    <w:rsid w:val="00584DA0"/>
    <w:rsid w:val="00590CB2"/>
    <w:rsid w:val="00595E17"/>
    <w:rsid w:val="005A74EC"/>
    <w:rsid w:val="005B79EF"/>
    <w:rsid w:val="005C0659"/>
    <w:rsid w:val="005C4016"/>
    <w:rsid w:val="005D3CF9"/>
    <w:rsid w:val="005E21A1"/>
    <w:rsid w:val="005E6571"/>
    <w:rsid w:val="005F4BB4"/>
    <w:rsid w:val="00604422"/>
    <w:rsid w:val="00611B44"/>
    <w:rsid w:val="00616862"/>
    <w:rsid w:val="00626EBD"/>
    <w:rsid w:val="006325AA"/>
    <w:rsid w:val="00633634"/>
    <w:rsid w:val="00635043"/>
    <w:rsid w:val="006411FB"/>
    <w:rsid w:val="00650FC5"/>
    <w:rsid w:val="00652A43"/>
    <w:rsid w:val="00653ACD"/>
    <w:rsid w:val="0066287F"/>
    <w:rsid w:val="00663390"/>
    <w:rsid w:val="00672CE6"/>
    <w:rsid w:val="0067438B"/>
    <w:rsid w:val="00676066"/>
    <w:rsid w:val="006770F2"/>
    <w:rsid w:val="00682383"/>
    <w:rsid w:val="00683B35"/>
    <w:rsid w:val="006A367C"/>
    <w:rsid w:val="006A46CE"/>
    <w:rsid w:val="006B76A7"/>
    <w:rsid w:val="006C1DAB"/>
    <w:rsid w:val="006F2962"/>
    <w:rsid w:val="006F7241"/>
    <w:rsid w:val="007129A5"/>
    <w:rsid w:val="00713750"/>
    <w:rsid w:val="00717130"/>
    <w:rsid w:val="0073390C"/>
    <w:rsid w:val="00737B78"/>
    <w:rsid w:val="00742550"/>
    <w:rsid w:val="00745AB1"/>
    <w:rsid w:val="0074641F"/>
    <w:rsid w:val="007530D1"/>
    <w:rsid w:val="00754FD4"/>
    <w:rsid w:val="0076041F"/>
    <w:rsid w:val="0076057C"/>
    <w:rsid w:val="00762355"/>
    <w:rsid w:val="00762D6D"/>
    <w:rsid w:val="00795567"/>
    <w:rsid w:val="00796905"/>
    <w:rsid w:val="007A4907"/>
    <w:rsid w:val="007B16DB"/>
    <w:rsid w:val="007B583D"/>
    <w:rsid w:val="007B744F"/>
    <w:rsid w:val="007C42B3"/>
    <w:rsid w:val="007C5758"/>
    <w:rsid w:val="007E1CD6"/>
    <w:rsid w:val="007F18CB"/>
    <w:rsid w:val="007F553D"/>
    <w:rsid w:val="007F5656"/>
    <w:rsid w:val="00801669"/>
    <w:rsid w:val="0081191A"/>
    <w:rsid w:val="0081448D"/>
    <w:rsid w:val="008262F2"/>
    <w:rsid w:val="00831B2B"/>
    <w:rsid w:val="00832D8D"/>
    <w:rsid w:val="00841F46"/>
    <w:rsid w:val="00844EC7"/>
    <w:rsid w:val="00852E5A"/>
    <w:rsid w:val="00854099"/>
    <w:rsid w:val="00854E6C"/>
    <w:rsid w:val="00854F70"/>
    <w:rsid w:val="008636C4"/>
    <w:rsid w:val="0087143A"/>
    <w:rsid w:val="00873A54"/>
    <w:rsid w:val="008757B1"/>
    <w:rsid w:val="00875C93"/>
    <w:rsid w:val="00877709"/>
    <w:rsid w:val="0088464D"/>
    <w:rsid w:val="008855F3"/>
    <w:rsid w:val="00890784"/>
    <w:rsid w:val="00895B29"/>
    <w:rsid w:val="0089738C"/>
    <w:rsid w:val="008A2C11"/>
    <w:rsid w:val="008B4889"/>
    <w:rsid w:val="008E0138"/>
    <w:rsid w:val="008F6123"/>
    <w:rsid w:val="00902E6B"/>
    <w:rsid w:val="009112E3"/>
    <w:rsid w:val="009432F5"/>
    <w:rsid w:val="00953E70"/>
    <w:rsid w:val="0096792F"/>
    <w:rsid w:val="00972980"/>
    <w:rsid w:val="009846C0"/>
    <w:rsid w:val="0099572D"/>
    <w:rsid w:val="009965ED"/>
    <w:rsid w:val="009A3CEE"/>
    <w:rsid w:val="009A6640"/>
    <w:rsid w:val="009C1244"/>
    <w:rsid w:val="009C6DE7"/>
    <w:rsid w:val="009C7612"/>
    <w:rsid w:val="009D489D"/>
    <w:rsid w:val="009D4CE3"/>
    <w:rsid w:val="009D71F9"/>
    <w:rsid w:val="009E3425"/>
    <w:rsid w:val="009E3487"/>
    <w:rsid w:val="009E4F8F"/>
    <w:rsid w:val="009E760F"/>
    <w:rsid w:val="009F2049"/>
    <w:rsid w:val="009F5CA4"/>
    <w:rsid w:val="00A03FBA"/>
    <w:rsid w:val="00A04FBA"/>
    <w:rsid w:val="00A1248A"/>
    <w:rsid w:val="00A125A1"/>
    <w:rsid w:val="00A202ED"/>
    <w:rsid w:val="00A20831"/>
    <w:rsid w:val="00A256C1"/>
    <w:rsid w:val="00A32006"/>
    <w:rsid w:val="00A3284D"/>
    <w:rsid w:val="00A43B4B"/>
    <w:rsid w:val="00A540DC"/>
    <w:rsid w:val="00A558EE"/>
    <w:rsid w:val="00A67BC3"/>
    <w:rsid w:val="00A70AD4"/>
    <w:rsid w:val="00A824B2"/>
    <w:rsid w:val="00A824C2"/>
    <w:rsid w:val="00A874AA"/>
    <w:rsid w:val="00A9233E"/>
    <w:rsid w:val="00A95ADE"/>
    <w:rsid w:val="00A96602"/>
    <w:rsid w:val="00AA6746"/>
    <w:rsid w:val="00AA766A"/>
    <w:rsid w:val="00AA79F0"/>
    <w:rsid w:val="00AB6343"/>
    <w:rsid w:val="00AC4D06"/>
    <w:rsid w:val="00AD64E1"/>
    <w:rsid w:val="00AD72AE"/>
    <w:rsid w:val="00AE1F02"/>
    <w:rsid w:val="00AF1155"/>
    <w:rsid w:val="00AF225B"/>
    <w:rsid w:val="00B2205A"/>
    <w:rsid w:val="00B22E9E"/>
    <w:rsid w:val="00B243CB"/>
    <w:rsid w:val="00B27103"/>
    <w:rsid w:val="00B30F64"/>
    <w:rsid w:val="00B3144E"/>
    <w:rsid w:val="00B34766"/>
    <w:rsid w:val="00B35842"/>
    <w:rsid w:val="00B37DF2"/>
    <w:rsid w:val="00B425E4"/>
    <w:rsid w:val="00B5232A"/>
    <w:rsid w:val="00B52B46"/>
    <w:rsid w:val="00B53E78"/>
    <w:rsid w:val="00B54566"/>
    <w:rsid w:val="00B55992"/>
    <w:rsid w:val="00B56942"/>
    <w:rsid w:val="00B601D9"/>
    <w:rsid w:val="00B62F43"/>
    <w:rsid w:val="00B64873"/>
    <w:rsid w:val="00B675FF"/>
    <w:rsid w:val="00B72238"/>
    <w:rsid w:val="00B81E63"/>
    <w:rsid w:val="00B87159"/>
    <w:rsid w:val="00B9184E"/>
    <w:rsid w:val="00B92461"/>
    <w:rsid w:val="00BA38F6"/>
    <w:rsid w:val="00BB41EA"/>
    <w:rsid w:val="00BC1314"/>
    <w:rsid w:val="00BC14AB"/>
    <w:rsid w:val="00BD086C"/>
    <w:rsid w:val="00BD59A0"/>
    <w:rsid w:val="00BE0528"/>
    <w:rsid w:val="00BE2C3A"/>
    <w:rsid w:val="00BF2AAE"/>
    <w:rsid w:val="00C003DA"/>
    <w:rsid w:val="00C01D84"/>
    <w:rsid w:val="00C13FBD"/>
    <w:rsid w:val="00C148F6"/>
    <w:rsid w:val="00C25283"/>
    <w:rsid w:val="00C3464B"/>
    <w:rsid w:val="00C364B6"/>
    <w:rsid w:val="00C419B1"/>
    <w:rsid w:val="00C42747"/>
    <w:rsid w:val="00C51EBB"/>
    <w:rsid w:val="00C602F9"/>
    <w:rsid w:val="00C73453"/>
    <w:rsid w:val="00C80878"/>
    <w:rsid w:val="00C81289"/>
    <w:rsid w:val="00C83EE2"/>
    <w:rsid w:val="00C84CB4"/>
    <w:rsid w:val="00C86A3F"/>
    <w:rsid w:val="00C87C91"/>
    <w:rsid w:val="00C9388F"/>
    <w:rsid w:val="00C97295"/>
    <w:rsid w:val="00C97D09"/>
    <w:rsid w:val="00CA258D"/>
    <w:rsid w:val="00CA32CF"/>
    <w:rsid w:val="00CA5B01"/>
    <w:rsid w:val="00CC02E1"/>
    <w:rsid w:val="00CC7059"/>
    <w:rsid w:val="00CF535C"/>
    <w:rsid w:val="00D02AAF"/>
    <w:rsid w:val="00D03317"/>
    <w:rsid w:val="00D1182A"/>
    <w:rsid w:val="00D16F30"/>
    <w:rsid w:val="00D2298D"/>
    <w:rsid w:val="00D247ED"/>
    <w:rsid w:val="00D34FE9"/>
    <w:rsid w:val="00D36336"/>
    <w:rsid w:val="00D37454"/>
    <w:rsid w:val="00D379FF"/>
    <w:rsid w:val="00D37F82"/>
    <w:rsid w:val="00D44052"/>
    <w:rsid w:val="00D515C5"/>
    <w:rsid w:val="00D7121D"/>
    <w:rsid w:val="00D74DF9"/>
    <w:rsid w:val="00D8077B"/>
    <w:rsid w:val="00D86EEF"/>
    <w:rsid w:val="00D8732F"/>
    <w:rsid w:val="00D9317B"/>
    <w:rsid w:val="00D935F0"/>
    <w:rsid w:val="00D9788E"/>
    <w:rsid w:val="00DA7526"/>
    <w:rsid w:val="00DA7BAA"/>
    <w:rsid w:val="00DB28E7"/>
    <w:rsid w:val="00DB4953"/>
    <w:rsid w:val="00DB6F83"/>
    <w:rsid w:val="00DC47DC"/>
    <w:rsid w:val="00DC4D1E"/>
    <w:rsid w:val="00DC58BA"/>
    <w:rsid w:val="00DC66ED"/>
    <w:rsid w:val="00DE0405"/>
    <w:rsid w:val="00DE3D27"/>
    <w:rsid w:val="00DE7972"/>
    <w:rsid w:val="00DF7EF0"/>
    <w:rsid w:val="00E00066"/>
    <w:rsid w:val="00E046FD"/>
    <w:rsid w:val="00E11EBC"/>
    <w:rsid w:val="00E148A1"/>
    <w:rsid w:val="00E501BC"/>
    <w:rsid w:val="00E517FD"/>
    <w:rsid w:val="00E52E56"/>
    <w:rsid w:val="00E5555C"/>
    <w:rsid w:val="00E57A7D"/>
    <w:rsid w:val="00E70D49"/>
    <w:rsid w:val="00E75D24"/>
    <w:rsid w:val="00E85B1E"/>
    <w:rsid w:val="00E93EB5"/>
    <w:rsid w:val="00EA2128"/>
    <w:rsid w:val="00EC1E95"/>
    <w:rsid w:val="00ED0C14"/>
    <w:rsid w:val="00ED1136"/>
    <w:rsid w:val="00ED3267"/>
    <w:rsid w:val="00EE03FD"/>
    <w:rsid w:val="00EF1A17"/>
    <w:rsid w:val="00EF7A10"/>
    <w:rsid w:val="00F054E2"/>
    <w:rsid w:val="00F07617"/>
    <w:rsid w:val="00F10452"/>
    <w:rsid w:val="00F15769"/>
    <w:rsid w:val="00F3435B"/>
    <w:rsid w:val="00F4119F"/>
    <w:rsid w:val="00F4148A"/>
    <w:rsid w:val="00F47CEE"/>
    <w:rsid w:val="00F5072D"/>
    <w:rsid w:val="00F52B59"/>
    <w:rsid w:val="00F54E58"/>
    <w:rsid w:val="00F5569B"/>
    <w:rsid w:val="00F564EA"/>
    <w:rsid w:val="00F61519"/>
    <w:rsid w:val="00F63010"/>
    <w:rsid w:val="00F750EC"/>
    <w:rsid w:val="00F950FE"/>
    <w:rsid w:val="00FA3EDE"/>
    <w:rsid w:val="00FB052A"/>
    <w:rsid w:val="00FB461E"/>
    <w:rsid w:val="00FD14EF"/>
    <w:rsid w:val="00FD1FC3"/>
    <w:rsid w:val="00FD75DD"/>
    <w:rsid w:val="00FD7CEC"/>
    <w:rsid w:val="00FE05E9"/>
    <w:rsid w:val="00FF056B"/>
    <w:rsid w:val="00FF5928"/>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7DDB"/>
  <w15:chartTrackingRefBased/>
  <w15:docId w15:val="{11C5526F-6305-4E36-B2CB-8AA9456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4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244"/>
    <w:rPr>
      <w:color w:val="0563C1"/>
      <w:u w:val="single"/>
    </w:rPr>
  </w:style>
  <w:style w:type="paragraph" w:styleId="NormalWeb">
    <w:name w:val="Normal (Web)"/>
    <w:basedOn w:val="Normal"/>
    <w:uiPriority w:val="99"/>
    <w:semiHidden/>
    <w:unhideWhenUsed/>
    <w:rsid w:val="009112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7AE8"/>
    <w:rPr>
      <w:b/>
      <w:bCs/>
    </w:rPr>
  </w:style>
  <w:style w:type="paragraph" w:styleId="ListParagraph">
    <w:name w:val="List Paragraph"/>
    <w:basedOn w:val="Normal"/>
    <w:uiPriority w:val="34"/>
    <w:qFormat/>
    <w:rsid w:val="000D5926"/>
    <w:pPr>
      <w:spacing w:line="256" w:lineRule="auto"/>
      <w:ind w:left="720"/>
      <w:contextualSpacing/>
    </w:pPr>
  </w:style>
  <w:style w:type="paragraph" w:styleId="Header">
    <w:name w:val="header"/>
    <w:basedOn w:val="Normal"/>
    <w:link w:val="HeaderChar"/>
    <w:uiPriority w:val="99"/>
    <w:unhideWhenUsed/>
    <w:rsid w:val="00E7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D24"/>
  </w:style>
  <w:style w:type="paragraph" w:styleId="Footer">
    <w:name w:val="footer"/>
    <w:basedOn w:val="Normal"/>
    <w:link w:val="FooterChar"/>
    <w:uiPriority w:val="99"/>
    <w:unhideWhenUsed/>
    <w:rsid w:val="00E7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D24"/>
  </w:style>
  <w:style w:type="paragraph" w:styleId="FootnoteText">
    <w:name w:val="footnote text"/>
    <w:basedOn w:val="Normal"/>
    <w:link w:val="FootnoteTextChar"/>
    <w:uiPriority w:val="99"/>
    <w:semiHidden/>
    <w:unhideWhenUsed/>
    <w:rsid w:val="00967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92F"/>
    <w:rPr>
      <w:sz w:val="20"/>
      <w:szCs w:val="20"/>
    </w:rPr>
  </w:style>
  <w:style w:type="character" w:styleId="FootnoteReference">
    <w:name w:val="footnote reference"/>
    <w:basedOn w:val="DefaultParagraphFont"/>
    <w:uiPriority w:val="99"/>
    <w:semiHidden/>
    <w:unhideWhenUsed/>
    <w:rsid w:val="0096792F"/>
    <w:rPr>
      <w:vertAlign w:val="superscript"/>
    </w:rPr>
  </w:style>
  <w:style w:type="character" w:customStyle="1" w:styleId="Heading1Char">
    <w:name w:val="Heading 1 Char"/>
    <w:basedOn w:val="DefaultParagraphFont"/>
    <w:link w:val="Heading1"/>
    <w:uiPriority w:val="9"/>
    <w:rsid w:val="00155284"/>
    <w:rPr>
      <w:rFonts w:asciiTheme="majorHAnsi" w:eastAsiaTheme="majorEastAsia" w:hAnsiTheme="majorHAnsi" w:cstheme="majorBidi"/>
      <w:color w:val="2E74B5" w:themeColor="accent1" w:themeShade="BF"/>
      <w:sz w:val="32"/>
      <w:szCs w:val="32"/>
    </w:rPr>
  </w:style>
  <w:style w:type="paragraph" w:customStyle="1" w:styleId="NapierHeaders">
    <w:name w:val="Napier Headers"/>
    <w:basedOn w:val="Heading1"/>
    <w:qFormat/>
    <w:rsid w:val="00B30F64"/>
    <w:rPr>
      <w:rFonts w:ascii="Interstate Regular" w:hAnsi="Interstate Regular"/>
      <w:color w:val="E5233F"/>
    </w:rPr>
  </w:style>
  <w:style w:type="paragraph" w:styleId="NoSpacing">
    <w:name w:val="No Spacing"/>
    <w:link w:val="NoSpacingChar"/>
    <w:uiPriority w:val="1"/>
    <w:qFormat/>
    <w:rsid w:val="00A540DC"/>
    <w:pPr>
      <w:widowControl w:val="0"/>
      <w:spacing w:after="0" w:line="240" w:lineRule="auto"/>
    </w:pPr>
    <w:rPr>
      <w:lang w:val="en-US"/>
    </w:rPr>
  </w:style>
  <w:style w:type="character" w:customStyle="1" w:styleId="NoSpacingChar">
    <w:name w:val="No Spacing Char"/>
    <w:basedOn w:val="DefaultParagraphFont"/>
    <w:link w:val="NoSpacing"/>
    <w:uiPriority w:val="1"/>
    <w:rsid w:val="00A540DC"/>
    <w:rPr>
      <w:lang w:val="en-US"/>
    </w:rPr>
  </w:style>
  <w:style w:type="character" w:styleId="Emphasis">
    <w:name w:val="Emphasis"/>
    <w:basedOn w:val="DefaultParagraphFont"/>
    <w:uiPriority w:val="20"/>
    <w:qFormat/>
    <w:rsid w:val="00F61519"/>
    <w:rPr>
      <w:i/>
      <w:iCs/>
    </w:rPr>
  </w:style>
  <w:style w:type="paragraph" w:styleId="TOCHeading">
    <w:name w:val="TOC Heading"/>
    <w:basedOn w:val="Heading1"/>
    <w:next w:val="Normal"/>
    <w:uiPriority w:val="39"/>
    <w:unhideWhenUsed/>
    <w:qFormat/>
    <w:rsid w:val="00A558EE"/>
    <w:pPr>
      <w:outlineLvl w:val="9"/>
    </w:pPr>
    <w:rPr>
      <w:lang w:val="en-US"/>
    </w:rPr>
  </w:style>
  <w:style w:type="paragraph" w:styleId="TOC1">
    <w:name w:val="toc 1"/>
    <w:basedOn w:val="Normal"/>
    <w:next w:val="Normal"/>
    <w:autoRedefine/>
    <w:uiPriority w:val="39"/>
    <w:unhideWhenUsed/>
    <w:rsid w:val="00A558EE"/>
    <w:pPr>
      <w:spacing w:after="100"/>
    </w:pPr>
  </w:style>
  <w:style w:type="character" w:customStyle="1" w:styleId="Heading2Char">
    <w:name w:val="Heading 2 Char"/>
    <w:basedOn w:val="DefaultParagraphFont"/>
    <w:link w:val="Heading2"/>
    <w:uiPriority w:val="9"/>
    <w:rsid w:val="00FB461E"/>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FB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EBD"/>
    <w:rPr>
      <w:sz w:val="16"/>
      <w:szCs w:val="16"/>
    </w:rPr>
  </w:style>
  <w:style w:type="paragraph" w:styleId="CommentText">
    <w:name w:val="annotation text"/>
    <w:basedOn w:val="Normal"/>
    <w:link w:val="CommentTextChar"/>
    <w:uiPriority w:val="99"/>
    <w:unhideWhenUsed/>
    <w:rsid w:val="00626EBD"/>
    <w:pPr>
      <w:spacing w:line="240" w:lineRule="auto"/>
    </w:pPr>
    <w:rPr>
      <w:sz w:val="20"/>
      <w:szCs w:val="20"/>
    </w:rPr>
  </w:style>
  <w:style w:type="character" w:customStyle="1" w:styleId="CommentTextChar">
    <w:name w:val="Comment Text Char"/>
    <w:basedOn w:val="DefaultParagraphFont"/>
    <w:link w:val="CommentText"/>
    <w:uiPriority w:val="99"/>
    <w:rsid w:val="00626EBD"/>
    <w:rPr>
      <w:sz w:val="20"/>
      <w:szCs w:val="20"/>
    </w:rPr>
  </w:style>
  <w:style w:type="paragraph" w:customStyle="1" w:styleId="Style1">
    <w:name w:val="Style1"/>
    <w:basedOn w:val="Heading2"/>
    <w:link w:val="Style1Char"/>
    <w:qFormat/>
    <w:rsid w:val="00BE0528"/>
    <w:rPr>
      <w:rFonts w:ascii="Interstate Regular" w:hAnsi="Interstate Regular"/>
      <w:color w:val="E5233F"/>
    </w:rPr>
  </w:style>
  <w:style w:type="character" w:customStyle="1" w:styleId="Style1Char">
    <w:name w:val="Style1 Char"/>
    <w:basedOn w:val="Heading2Char"/>
    <w:link w:val="Style1"/>
    <w:rsid w:val="00BE0528"/>
    <w:rPr>
      <w:rFonts w:ascii="Interstate Regular" w:eastAsiaTheme="majorEastAsia" w:hAnsi="Interstate Regular" w:cstheme="majorBidi"/>
      <w:color w:val="E5233F"/>
      <w:sz w:val="26"/>
      <w:szCs w:val="26"/>
    </w:rPr>
  </w:style>
  <w:style w:type="paragraph" w:styleId="TOC2">
    <w:name w:val="toc 2"/>
    <w:basedOn w:val="Normal"/>
    <w:next w:val="Normal"/>
    <w:autoRedefine/>
    <w:uiPriority w:val="39"/>
    <w:unhideWhenUsed/>
    <w:rsid w:val="00DA7BAA"/>
    <w:pPr>
      <w:spacing w:after="100"/>
      <w:ind w:left="220"/>
    </w:pPr>
  </w:style>
  <w:style w:type="table" w:customStyle="1" w:styleId="TableGrid3">
    <w:name w:val="Table Grid3"/>
    <w:basedOn w:val="TableNormal"/>
    <w:next w:val="TableGrid"/>
    <w:uiPriority w:val="59"/>
    <w:rsid w:val="008777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5C9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2461"/>
    <w:rPr>
      <w:b/>
      <w:bCs/>
    </w:rPr>
  </w:style>
  <w:style w:type="character" w:customStyle="1" w:styleId="CommentSubjectChar">
    <w:name w:val="Comment Subject Char"/>
    <w:basedOn w:val="CommentTextChar"/>
    <w:link w:val="CommentSubject"/>
    <w:uiPriority w:val="99"/>
    <w:semiHidden/>
    <w:rsid w:val="00B92461"/>
    <w:rPr>
      <w:b/>
      <w:bCs/>
      <w:sz w:val="20"/>
      <w:szCs w:val="20"/>
    </w:rPr>
  </w:style>
  <w:style w:type="paragraph" w:styleId="BalloonText">
    <w:name w:val="Balloon Text"/>
    <w:basedOn w:val="Normal"/>
    <w:link w:val="BalloonTextChar"/>
    <w:uiPriority w:val="99"/>
    <w:semiHidden/>
    <w:unhideWhenUsed/>
    <w:rsid w:val="00B9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61"/>
    <w:rPr>
      <w:rFonts w:ascii="Segoe UI" w:hAnsi="Segoe UI" w:cs="Segoe UI"/>
      <w:sz w:val="18"/>
      <w:szCs w:val="18"/>
    </w:rPr>
  </w:style>
  <w:style w:type="paragraph" w:styleId="Revision">
    <w:name w:val="Revision"/>
    <w:hidden/>
    <w:uiPriority w:val="99"/>
    <w:semiHidden/>
    <w:rsid w:val="00C87C91"/>
    <w:pPr>
      <w:spacing w:after="0" w:line="240" w:lineRule="auto"/>
    </w:pPr>
  </w:style>
  <w:style w:type="character" w:styleId="UnresolvedMention">
    <w:name w:val="Unresolved Mention"/>
    <w:basedOn w:val="DefaultParagraphFont"/>
    <w:uiPriority w:val="99"/>
    <w:semiHidden/>
    <w:unhideWhenUsed/>
    <w:rsid w:val="00652A43"/>
    <w:rPr>
      <w:color w:val="605E5C"/>
      <w:shd w:val="clear" w:color="auto" w:fill="E1DFDD"/>
    </w:rPr>
  </w:style>
  <w:style w:type="character" w:styleId="FollowedHyperlink">
    <w:name w:val="FollowedHyperlink"/>
    <w:basedOn w:val="DefaultParagraphFont"/>
    <w:uiPriority w:val="99"/>
    <w:semiHidden/>
    <w:unhideWhenUsed/>
    <w:rsid w:val="00652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476">
      <w:bodyDiv w:val="1"/>
      <w:marLeft w:val="0"/>
      <w:marRight w:val="0"/>
      <w:marTop w:val="0"/>
      <w:marBottom w:val="0"/>
      <w:divBdr>
        <w:top w:val="none" w:sz="0" w:space="0" w:color="auto"/>
        <w:left w:val="none" w:sz="0" w:space="0" w:color="auto"/>
        <w:bottom w:val="none" w:sz="0" w:space="0" w:color="auto"/>
        <w:right w:val="none" w:sz="0" w:space="0" w:color="auto"/>
      </w:divBdr>
    </w:div>
    <w:div w:id="64037667">
      <w:bodyDiv w:val="1"/>
      <w:marLeft w:val="0"/>
      <w:marRight w:val="0"/>
      <w:marTop w:val="0"/>
      <w:marBottom w:val="0"/>
      <w:divBdr>
        <w:top w:val="none" w:sz="0" w:space="0" w:color="auto"/>
        <w:left w:val="none" w:sz="0" w:space="0" w:color="auto"/>
        <w:bottom w:val="none" w:sz="0" w:space="0" w:color="auto"/>
        <w:right w:val="none" w:sz="0" w:space="0" w:color="auto"/>
      </w:divBdr>
      <w:divsChild>
        <w:div w:id="736905778">
          <w:marLeft w:val="547"/>
          <w:marRight w:val="0"/>
          <w:marTop w:val="0"/>
          <w:marBottom w:val="0"/>
          <w:divBdr>
            <w:top w:val="none" w:sz="0" w:space="0" w:color="auto"/>
            <w:left w:val="none" w:sz="0" w:space="0" w:color="auto"/>
            <w:bottom w:val="none" w:sz="0" w:space="0" w:color="auto"/>
            <w:right w:val="none" w:sz="0" w:space="0" w:color="auto"/>
          </w:divBdr>
        </w:div>
        <w:div w:id="1683584823">
          <w:marLeft w:val="547"/>
          <w:marRight w:val="0"/>
          <w:marTop w:val="0"/>
          <w:marBottom w:val="0"/>
          <w:divBdr>
            <w:top w:val="none" w:sz="0" w:space="0" w:color="auto"/>
            <w:left w:val="none" w:sz="0" w:space="0" w:color="auto"/>
            <w:bottom w:val="none" w:sz="0" w:space="0" w:color="auto"/>
            <w:right w:val="none" w:sz="0" w:space="0" w:color="auto"/>
          </w:divBdr>
        </w:div>
        <w:div w:id="1105423618">
          <w:marLeft w:val="547"/>
          <w:marRight w:val="0"/>
          <w:marTop w:val="0"/>
          <w:marBottom w:val="0"/>
          <w:divBdr>
            <w:top w:val="none" w:sz="0" w:space="0" w:color="auto"/>
            <w:left w:val="none" w:sz="0" w:space="0" w:color="auto"/>
            <w:bottom w:val="none" w:sz="0" w:space="0" w:color="auto"/>
            <w:right w:val="none" w:sz="0" w:space="0" w:color="auto"/>
          </w:divBdr>
        </w:div>
        <w:div w:id="2009016300">
          <w:marLeft w:val="547"/>
          <w:marRight w:val="0"/>
          <w:marTop w:val="0"/>
          <w:marBottom w:val="0"/>
          <w:divBdr>
            <w:top w:val="none" w:sz="0" w:space="0" w:color="auto"/>
            <w:left w:val="none" w:sz="0" w:space="0" w:color="auto"/>
            <w:bottom w:val="none" w:sz="0" w:space="0" w:color="auto"/>
            <w:right w:val="none" w:sz="0" w:space="0" w:color="auto"/>
          </w:divBdr>
        </w:div>
        <w:div w:id="1844659098">
          <w:marLeft w:val="547"/>
          <w:marRight w:val="0"/>
          <w:marTop w:val="0"/>
          <w:marBottom w:val="0"/>
          <w:divBdr>
            <w:top w:val="none" w:sz="0" w:space="0" w:color="auto"/>
            <w:left w:val="none" w:sz="0" w:space="0" w:color="auto"/>
            <w:bottom w:val="none" w:sz="0" w:space="0" w:color="auto"/>
            <w:right w:val="none" w:sz="0" w:space="0" w:color="auto"/>
          </w:divBdr>
        </w:div>
        <w:div w:id="298070912">
          <w:marLeft w:val="547"/>
          <w:marRight w:val="0"/>
          <w:marTop w:val="0"/>
          <w:marBottom w:val="0"/>
          <w:divBdr>
            <w:top w:val="none" w:sz="0" w:space="0" w:color="auto"/>
            <w:left w:val="none" w:sz="0" w:space="0" w:color="auto"/>
            <w:bottom w:val="none" w:sz="0" w:space="0" w:color="auto"/>
            <w:right w:val="none" w:sz="0" w:space="0" w:color="auto"/>
          </w:divBdr>
        </w:div>
        <w:div w:id="1489638753">
          <w:marLeft w:val="547"/>
          <w:marRight w:val="0"/>
          <w:marTop w:val="0"/>
          <w:marBottom w:val="0"/>
          <w:divBdr>
            <w:top w:val="none" w:sz="0" w:space="0" w:color="auto"/>
            <w:left w:val="none" w:sz="0" w:space="0" w:color="auto"/>
            <w:bottom w:val="none" w:sz="0" w:space="0" w:color="auto"/>
            <w:right w:val="none" w:sz="0" w:space="0" w:color="auto"/>
          </w:divBdr>
        </w:div>
        <w:div w:id="367880854">
          <w:marLeft w:val="547"/>
          <w:marRight w:val="0"/>
          <w:marTop w:val="0"/>
          <w:marBottom w:val="0"/>
          <w:divBdr>
            <w:top w:val="none" w:sz="0" w:space="0" w:color="auto"/>
            <w:left w:val="none" w:sz="0" w:space="0" w:color="auto"/>
            <w:bottom w:val="none" w:sz="0" w:space="0" w:color="auto"/>
            <w:right w:val="none" w:sz="0" w:space="0" w:color="auto"/>
          </w:divBdr>
        </w:div>
        <w:div w:id="1604190361">
          <w:marLeft w:val="547"/>
          <w:marRight w:val="0"/>
          <w:marTop w:val="0"/>
          <w:marBottom w:val="0"/>
          <w:divBdr>
            <w:top w:val="none" w:sz="0" w:space="0" w:color="auto"/>
            <w:left w:val="none" w:sz="0" w:space="0" w:color="auto"/>
            <w:bottom w:val="none" w:sz="0" w:space="0" w:color="auto"/>
            <w:right w:val="none" w:sz="0" w:space="0" w:color="auto"/>
          </w:divBdr>
        </w:div>
      </w:divsChild>
    </w:div>
    <w:div w:id="92212285">
      <w:bodyDiv w:val="1"/>
      <w:marLeft w:val="0"/>
      <w:marRight w:val="0"/>
      <w:marTop w:val="0"/>
      <w:marBottom w:val="0"/>
      <w:divBdr>
        <w:top w:val="none" w:sz="0" w:space="0" w:color="auto"/>
        <w:left w:val="none" w:sz="0" w:space="0" w:color="auto"/>
        <w:bottom w:val="none" w:sz="0" w:space="0" w:color="auto"/>
        <w:right w:val="none" w:sz="0" w:space="0" w:color="auto"/>
      </w:divBdr>
    </w:div>
    <w:div w:id="260070901">
      <w:bodyDiv w:val="1"/>
      <w:marLeft w:val="0"/>
      <w:marRight w:val="0"/>
      <w:marTop w:val="0"/>
      <w:marBottom w:val="0"/>
      <w:divBdr>
        <w:top w:val="none" w:sz="0" w:space="0" w:color="auto"/>
        <w:left w:val="none" w:sz="0" w:space="0" w:color="auto"/>
        <w:bottom w:val="none" w:sz="0" w:space="0" w:color="auto"/>
        <w:right w:val="none" w:sz="0" w:space="0" w:color="auto"/>
      </w:divBdr>
    </w:div>
    <w:div w:id="348483505">
      <w:bodyDiv w:val="1"/>
      <w:marLeft w:val="0"/>
      <w:marRight w:val="0"/>
      <w:marTop w:val="0"/>
      <w:marBottom w:val="0"/>
      <w:divBdr>
        <w:top w:val="none" w:sz="0" w:space="0" w:color="auto"/>
        <w:left w:val="none" w:sz="0" w:space="0" w:color="auto"/>
        <w:bottom w:val="none" w:sz="0" w:space="0" w:color="auto"/>
        <w:right w:val="none" w:sz="0" w:space="0" w:color="auto"/>
      </w:divBdr>
    </w:div>
    <w:div w:id="561260738">
      <w:bodyDiv w:val="1"/>
      <w:marLeft w:val="0"/>
      <w:marRight w:val="0"/>
      <w:marTop w:val="0"/>
      <w:marBottom w:val="0"/>
      <w:divBdr>
        <w:top w:val="none" w:sz="0" w:space="0" w:color="auto"/>
        <w:left w:val="none" w:sz="0" w:space="0" w:color="auto"/>
        <w:bottom w:val="none" w:sz="0" w:space="0" w:color="auto"/>
        <w:right w:val="none" w:sz="0" w:space="0" w:color="auto"/>
      </w:divBdr>
    </w:div>
    <w:div w:id="607661725">
      <w:bodyDiv w:val="1"/>
      <w:marLeft w:val="0"/>
      <w:marRight w:val="0"/>
      <w:marTop w:val="0"/>
      <w:marBottom w:val="0"/>
      <w:divBdr>
        <w:top w:val="none" w:sz="0" w:space="0" w:color="auto"/>
        <w:left w:val="none" w:sz="0" w:space="0" w:color="auto"/>
        <w:bottom w:val="none" w:sz="0" w:space="0" w:color="auto"/>
        <w:right w:val="none" w:sz="0" w:space="0" w:color="auto"/>
      </w:divBdr>
      <w:divsChild>
        <w:div w:id="1903245870">
          <w:marLeft w:val="0"/>
          <w:marRight w:val="0"/>
          <w:marTop w:val="0"/>
          <w:marBottom w:val="0"/>
          <w:divBdr>
            <w:top w:val="none" w:sz="0" w:space="0" w:color="auto"/>
            <w:left w:val="none" w:sz="0" w:space="0" w:color="auto"/>
            <w:bottom w:val="none" w:sz="0" w:space="0" w:color="auto"/>
            <w:right w:val="none" w:sz="0" w:space="0" w:color="auto"/>
          </w:divBdr>
        </w:div>
      </w:divsChild>
    </w:div>
    <w:div w:id="611130646">
      <w:bodyDiv w:val="1"/>
      <w:marLeft w:val="0"/>
      <w:marRight w:val="0"/>
      <w:marTop w:val="0"/>
      <w:marBottom w:val="0"/>
      <w:divBdr>
        <w:top w:val="none" w:sz="0" w:space="0" w:color="auto"/>
        <w:left w:val="none" w:sz="0" w:space="0" w:color="auto"/>
        <w:bottom w:val="none" w:sz="0" w:space="0" w:color="auto"/>
        <w:right w:val="none" w:sz="0" w:space="0" w:color="auto"/>
      </w:divBdr>
    </w:div>
    <w:div w:id="723874726">
      <w:bodyDiv w:val="1"/>
      <w:marLeft w:val="0"/>
      <w:marRight w:val="0"/>
      <w:marTop w:val="0"/>
      <w:marBottom w:val="0"/>
      <w:divBdr>
        <w:top w:val="none" w:sz="0" w:space="0" w:color="auto"/>
        <w:left w:val="none" w:sz="0" w:space="0" w:color="auto"/>
        <w:bottom w:val="none" w:sz="0" w:space="0" w:color="auto"/>
        <w:right w:val="none" w:sz="0" w:space="0" w:color="auto"/>
      </w:divBdr>
    </w:div>
    <w:div w:id="943267157">
      <w:bodyDiv w:val="1"/>
      <w:marLeft w:val="0"/>
      <w:marRight w:val="0"/>
      <w:marTop w:val="0"/>
      <w:marBottom w:val="0"/>
      <w:divBdr>
        <w:top w:val="none" w:sz="0" w:space="0" w:color="auto"/>
        <w:left w:val="none" w:sz="0" w:space="0" w:color="auto"/>
        <w:bottom w:val="none" w:sz="0" w:space="0" w:color="auto"/>
        <w:right w:val="none" w:sz="0" w:space="0" w:color="auto"/>
      </w:divBdr>
    </w:div>
    <w:div w:id="1194076282">
      <w:bodyDiv w:val="1"/>
      <w:marLeft w:val="0"/>
      <w:marRight w:val="0"/>
      <w:marTop w:val="0"/>
      <w:marBottom w:val="0"/>
      <w:divBdr>
        <w:top w:val="none" w:sz="0" w:space="0" w:color="auto"/>
        <w:left w:val="none" w:sz="0" w:space="0" w:color="auto"/>
        <w:bottom w:val="none" w:sz="0" w:space="0" w:color="auto"/>
        <w:right w:val="none" w:sz="0" w:space="0" w:color="auto"/>
      </w:divBdr>
    </w:div>
    <w:div w:id="1227379846">
      <w:bodyDiv w:val="1"/>
      <w:marLeft w:val="0"/>
      <w:marRight w:val="0"/>
      <w:marTop w:val="0"/>
      <w:marBottom w:val="0"/>
      <w:divBdr>
        <w:top w:val="none" w:sz="0" w:space="0" w:color="auto"/>
        <w:left w:val="none" w:sz="0" w:space="0" w:color="auto"/>
        <w:bottom w:val="none" w:sz="0" w:space="0" w:color="auto"/>
        <w:right w:val="none" w:sz="0" w:space="0" w:color="auto"/>
      </w:divBdr>
    </w:div>
    <w:div w:id="1271428065">
      <w:bodyDiv w:val="1"/>
      <w:marLeft w:val="0"/>
      <w:marRight w:val="0"/>
      <w:marTop w:val="0"/>
      <w:marBottom w:val="0"/>
      <w:divBdr>
        <w:top w:val="none" w:sz="0" w:space="0" w:color="auto"/>
        <w:left w:val="none" w:sz="0" w:space="0" w:color="auto"/>
        <w:bottom w:val="none" w:sz="0" w:space="0" w:color="auto"/>
        <w:right w:val="none" w:sz="0" w:space="0" w:color="auto"/>
      </w:divBdr>
    </w:div>
    <w:div w:id="1328553555">
      <w:bodyDiv w:val="1"/>
      <w:marLeft w:val="0"/>
      <w:marRight w:val="0"/>
      <w:marTop w:val="0"/>
      <w:marBottom w:val="0"/>
      <w:divBdr>
        <w:top w:val="none" w:sz="0" w:space="0" w:color="auto"/>
        <w:left w:val="none" w:sz="0" w:space="0" w:color="auto"/>
        <w:bottom w:val="none" w:sz="0" w:space="0" w:color="auto"/>
        <w:right w:val="none" w:sz="0" w:space="0" w:color="auto"/>
      </w:divBdr>
    </w:div>
    <w:div w:id="1349330641">
      <w:bodyDiv w:val="1"/>
      <w:marLeft w:val="0"/>
      <w:marRight w:val="0"/>
      <w:marTop w:val="0"/>
      <w:marBottom w:val="0"/>
      <w:divBdr>
        <w:top w:val="none" w:sz="0" w:space="0" w:color="auto"/>
        <w:left w:val="none" w:sz="0" w:space="0" w:color="auto"/>
        <w:bottom w:val="none" w:sz="0" w:space="0" w:color="auto"/>
        <w:right w:val="none" w:sz="0" w:space="0" w:color="auto"/>
      </w:divBdr>
    </w:div>
    <w:div w:id="1353995604">
      <w:bodyDiv w:val="1"/>
      <w:marLeft w:val="0"/>
      <w:marRight w:val="0"/>
      <w:marTop w:val="0"/>
      <w:marBottom w:val="0"/>
      <w:divBdr>
        <w:top w:val="none" w:sz="0" w:space="0" w:color="auto"/>
        <w:left w:val="none" w:sz="0" w:space="0" w:color="auto"/>
        <w:bottom w:val="none" w:sz="0" w:space="0" w:color="auto"/>
        <w:right w:val="none" w:sz="0" w:space="0" w:color="auto"/>
      </w:divBdr>
    </w:div>
    <w:div w:id="1391689549">
      <w:bodyDiv w:val="1"/>
      <w:marLeft w:val="0"/>
      <w:marRight w:val="0"/>
      <w:marTop w:val="0"/>
      <w:marBottom w:val="0"/>
      <w:divBdr>
        <w:top w:val="none" w:sz="0" w:space="0" w:color="auto"/>
        <w:left w:val="none" w:sz="0" w:space="0" w:color="auto"/>
        <w:bottom w:val="none" w:sz="0" w:space="0" w:color="auto"/>
        <w:right w:val="none" w:sz="0" w:space="0" w:color="auto"/>
      </w:divBdr>
    </w:div>
    <w:div w:id="1517497985">
      <w:bodyDiv w:val="1"/>
      <w:marLeft w:val="0"/>
      <w:marRight w:val="0"/>
      <w:marTop w:val="0"/>
      <w:marBottom w:val="0"/>
      <w:divBdr>
        <w:top w:val="none" w:sz="0" w:space="0" w:color="auto"/>
        <w:left w:val="none" w:sz="0" w:space="0" w:color="auto"/>
        <w:bottom w:val="none" w:sz="0" w:space="0" w:color="auto"/>
        <w:right w:val="none" w:sz="0" w:space="0" w:color="auto"/>
      </w:divBdr>
    </w:div>
    <w:div w:id="1518693791">
      <w:bodyDiv w:val="1"/>
      <w:marLeft w:val="0"/>
      <w:marRight w:val="0"/>
      <w:marTop w:val="0"/>
      <w:marBottom w:val="0"/>
      <w:divBdr>
        <w:top w:val="none" w:sz="0" w:space="0" w:color="auto"/>
        <w:left w:val="none" w:sz="0" w:space="0" w:color="auto"/>
        <w:bottom w:val="none" w:sz="0" w:space="0" w:color="auto"/>
        <w:right w:val="none" w:sz="0" w:space="0" w:color="auto"/>
      </w:divBdr>
    </w:div>
    <w:div w:id="1573469274">
      <w:bodyDiv w:val="1"/>
      <w:marLeft w:val="0"/>
      <w:marRight w:val="0"/>
      <w:marTop w:val="0"/>
      <w:marBottom w:val="0"/>
      <w:divBdr>
        <w:top w:val="none" w:sz="0" w:space="0" w:color="auto"/>
        <w:left w:val="none" w:sz="0" w:space="0" w:color="auto"/>
        <w:bottom w:val="none" w:sz="0" w:space="0" w:color="auto"/>
        <w:right w:val="none" w:sz="0" w:space="0" w:color="auto"/>
      </w:divBdr>
    </w:div>
    <w:div w:id="1689216046">
      <w:bodyDiv w:val="1"/>
      <w:marLeft w:val="0"/>
      <w:marRight w:val="0"/>
      <w:marTop w:val="0"/>
      <w:marBottom w:val="0"/>
      <w:divBdr>
        <w:top w:val="none" w:sz="0" w:space="0" w:color="auto"/>
        <w:left w:val="none" w:sz="0" w:space="0" w:color="auto"/>
        <w:bottom w:val="none" w:sz="0" w:space="0" w:color="auto"/>
        <w:right w:val="none" w:sz="0" w:space="0" w:color="auto"/>
      </w:divBdr>
    </w:div>
    <w:div w:id="1853765753">
      <w:bodyDiv w:val="1"/>
      <w:marLeft w:val="0"/>
      <w:marRight w:val="0"/>
      <w:marTop w:val="0"/>
      <w:marBottom w:val="0"/>
      <w:divBdr>
        <w:top w:val="none" w:sz="0" w:space="0" w:color="auto"/>
        <w:left w:val="none" w:sz="0" w:space="0" w:color="auto"/>
        <w:bottom w:val="none" w:sz="0" w:space="0" w:color="auto"/>
        <w:right w:val="none" w:sz="0" w:space="0" w:color="auto"/>
      </w:divBdr>
    </w:div>
    <w:div w:id="21231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7.png"/><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diagramQuickStyle" Target="diagrams/quickStyle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yroll@napier.ac.uk" TargetMode="External"/><Relationship Id="rId20" Type="http://schemas.openxmlformats.org/officeDocument/2006/relationships/image" Target="media/image9.png"/><Relationship Id="rId29" Type="http://schemas.openxmlformats.org/officeDocument/2006/relationships/hyperlink" Target="https://staff.napier.ac.uk/services/hr/HRDocuments/Documents/Online%20Payment%20Claims%20Manager%20Guide%2029%20September%202020%20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ff.napier.ac.uk/services/research-innovation-office/contact/Pages/contact.aspx" TargetMode="External"/><Relationship Id="rId23" Type="http://schemas.openxmlformats.org/officeDocument/2006/relationships/diagramData" Target="diagrams/data1.xml"/><Relationship Id="rId28" Type="http://schemas.openxmlformats.org/officeDocument/2006/relationships/hyperlink" Target="https://staff.napier.ac.uk/services/research-innovation-office/research-data/Pages/introduction.aspx"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07/relationships/diagramDrawing" Target="diagrams/drawing1.xml"/><Relationship Id="rId30" Type="http://schemas.openxmlformats.org/officeDocument/2006/relationships/hyperlink" Target="mailto:externalprojects@napier.ac.uk"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56DA9-508F-4453-819B-442983520035}"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C98CE29-84B0-4612-8346-5CDF86F8A9C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Scoping:</a:t>
          </a:r>
          <a:r>
            <a:rPr lang="en-GB" sz="105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gm:t>
    </dgm:pt>
    <dgm:pt modelId="{872EDA85-BE66-4E01-BACB-375E4D65531F}" type="parTrans" cxnId="{07C5C9BD-9868-475B-9570-C961B38DB3A0}">
      <dgm:prSet/>
      <dgm:spPr/>
      <dgm:t>
        <a:bodyPr/>
        <a:lstStyle/>
        <a:p>
          <a:endParaRPr lang="en-GB"/>
        </a:p>
      </dgm:t>
    </dgm:pt>
    <dgm:pt modelId="{09386677-D89F-45DC-812C-A803B8E00724}" type="sibTrans" cxnId="{07C5C9BD-9868-475B-9570-C961B38DB3A0}">
      <dgm:prSet/>
      <dgm:spPr/>
      <dgm:t>
        <a:bodyPr/>
        <a:lstStyle/>
        <a:p>
          <a:endParaRPr lang="en-GB"/>
        </a:p>
      </dgm:t>
    </dgm:pt>
    <dgm:pt modelId="{2034BC0F-41E7-4F18-AD4C-747CF6DE04DD}">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Incentive Payment Claimed: </a:t>
          </a:r>
          <a:r>
            <a:rPr lang="en-GB" sz="1050" b="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a:solidFill>
              <a:schemeClr val="tx1"/>
            </a:solidFill>
            <a:latin typeface="Titillium" panose="00000500000000000000" pitchFamily="50" charset="0"/>
          </a:endParaRPr>
        </a:p>
      </dgm:t>
    </dgm:pt>
    <dgm:pt modelId="{31734E0E-04F2-4562-AAE8-F67A69AC31CF}" type="parTrans" cxnId="{70F7CF7E-9BFC-4DD3-B542-C1C60C1EC28C}">
      <dgm:prSet/>
      <dgm:spPr/>
      <dgm:t>
        <a:bodyPr/>
        <a:lstStyle/>
        <a:p>
          <a:endParaRPr lang="en-GB"/>
        </a:p>
      </dgm:t>
    </dgm:pt>
    <dgm:pt modelId="{2EBC8A8E-B9EA-44F0-A748-FD24251D1CA8}" type="sibTrans" cxnId="{70F7CF7E-9BFC-4DD3-B542-C1C60C1EC28C}">
      <dgm:prSet/>
      <dgm:spPr/>
      <dgm:t>
        <a:bodyPr/>
        <a:lstStyle/>
        <a:p>
          <a:endParaRPr lang="en-GB"/>
        </a:p>
      </dgm:t>
    </dgm:pt>
    <dgm:pt modelId="{A9960E6E-7B73-4793-90DD-43D4566575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Line Manager Discussion / Approval</a:t>
          </a:r>
          <a:r>
            <a:rPr lang="en-GB" sz="1050">
              <a:solidFill>
                <a:schemeClr val="tx1"/>
              </a:solidFill>
              <a:latin typeface="Titillium" panose="00000500000000000000" pitchFamily="50" charset="0"/>
            </a:rPr>
            <a:t>: Staff member to discuss activity with Line Manager to determine if project is feasible within, or is out with, WAM and upload Consultancy and Commercial Activity approval email to WT. Staff member to Raise awarness to key service leads of potential project and impact. </a:t>
          </a:r>
        </a:p>
      </dgm:t>
    </dgm:pt>
    <dgm:pt modelId="{3DEAA3CD-F3B0-48CE-B641-989E178CBCBF}" type="sibTrans" cxnId="{883F80E7-9289-4F57-B17B-A6FBA357EA3E}">
      <dgm:prSet/>
      <dgm:spPr/>
      <dgm:t>
        <a:bodyPr/>
        <a:lstStyle/>
        <a:p>
          <a:endParaRPr lang="en-GB"/>
        </a:p>
      </dgm:t>
    </dgm:pt>
    <dgm:pt modelId="{DC419614-E064-43A0-8E21-2F7556CD9F65}" type="parTrans" cxnId="{883F80E7-9289-4F57-B17B-A6FBA357EA3E}">
      <dgm:prSet/>
      <dgm:spPr/>
      <dgm:t>
        <a:bodyPr/>
        <a:lstStyle/>
        <a:p>
          <a:endParaRPr lang="en-GB"/>
        </a:p>
      </dgm:t>
    </dgm:pt>
    <dgm:pt modelId="{7F47E0DE-E766-412A-B042-EB4E6A072EA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Development</a:t>
          </a:r>
          <a:r>
            <a:rPr lang="en-GB" sz="105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gm:t>
    </dgm:pt>
    <dgm:pt modelId="{0F7F68C4-33C6-4106-A2E5-39584250AEB8}" type="sibTrans" cxnId="{C1EC501A-8247-4F94-868F-EF0505796903}">
      <dgm:prSet/>
      <dgm:spPr/>
      <dgm:t>
        <a:bodyPr/>
        <a:lstStyle/>
        <a:p>
          <a:endParaRPr lang="en-GB"/>
        </a:p>
      </dgm:t>
    </dgm:pt>
    <dgm:pt modelId="{C1D77A0C-4F7E-4A68-96DF-A026F53490C8}" type="parTrans" cxnId="{C1EC501A-8247-4F94-868F-EF0505796903}">
      <dgm:prSet/>
      <dgm:spPr/>
      <dgm:t>
        <a:bodyPr/>
        <a:lstStyle/>
        <a:p>
          <a:endParaRPr lang="en-GB"/>
        </a:p>
      </dgm:t>
    </dgm:pt>
    <dgm:pt modelId="{EEA45916-400D-478E-84D9-D5D29E62A105}">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Worktribe Approvals</a:t>
          </a:r>
          <a:r>
            <a:rPr lang="en-GB" sz="105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gm:t>
    </dgm:pt>
    <dgm:pt modelId="{CCCC28D0-9E74-4009-B621-61B3CD0BABA2}" type="sibTrans" cxnId="{52D1A034-BAEC-4249-A611-A74250AE4A47}">
      <dgm:prSet/>
      <dgm:spPr/>
      <dgm:t>
        <a:bodyPr/>
        <a:lstStyle/>
        <a:p>
          <a:endParaRPr lang="en-GB"/>
        </a:p>
      </dgm:t>
    </dgm:pt>
    <dgm:pt modelId="{7456F65F-58DA-4ABB-A377-6404ED938B73}" type="parTrans" cxnId="{52D1A034-BAEC-4249-A611-A74250AE4A47}">
      <dgm:prSet/>
      <dgm:spPr/>
      <dgm:t>
        <a:bodyPr/>
        <a:lstStyle/>
        <a:p>
          <a:endParaRPr lang="en-GB"/>
        </a:p>
      </dgm:t>
    </dgm:pt>
    <dgm:pt modelId="{6C029ED9-6B5D-486F-94E4-706A4442CF9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Client Accepts Quote: </a:t>
          </a:r>
          <a:r>
            <a:rPr lang="en-GB" sz="1050">
              <a:solidFill>
                <a:schemeClr val="tx1"/>
              </a:solidFill>
              <a:latin typeface="Titillium" panose="00000500000000000000" pitchFamily="50" charset="0"/>
            </a:rPr>
            <a:t>RIE will issue an ENU contract to client and support negotiation, if required.  </a:t>
          </a:r>
        </a:p>
      </dgm:t>
    </dgm:pt>
    <dgm:pt modelId="{3FD01FD6-45F4-4BA2-9FC1-074F18C1AFA2}" type="sibTrans" cxnId="{42A5C507-3D49-49C2-925A-EBD1559059F9}">
      <dgm:prSet/>
      <dgm:spPr/>
      <dgm:t>
        <a:bodyPr/>
        <a:lstStyle/>
        <a:p>
          <a:endParaRPr lang="en-GB"/>
        </a:p>
      </dgm:t>
    </dgm:pt>
    <dgm:pt modelId="{9A592A69-6EC0-46CE-BC7B-2AC1A311F7A9}" type="parTrans" cxnId="{42A5C507-3D49-49C2-925A-EBD1559059F9}">
      <dgm:prSet/>
      <dgm:spPr/>
      <dgm:t>
        <a:bodyPr/>
        <a:lstStyle/>
        <a:p>
          <a:endParaRPr lang="en-GB"/>
        </a:p>
      </dgm:t>
    </dgm:pt>
    <dgm:pt modelId="{6AF0CDFC-0268-4B1D-A8DA-B23AA5878438}">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Set Up: </a:t>
          </a:r>
          <a:r>
            <a:rPr lang="en-GB" sz="1050" b="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gm:t>
    </dgm:pt>
    <dgm:pt modelId="{AA3AFF37-567D-4137-B060-03C0E7608D72}" type="sibTrans" cxnId="{495AE8CC-57F4-4EAF-ADB5-7CAD4ADC078A}">
      <dgm:prSet/>
      <dgm:spPr/>
      <dgm:t>
        <a:bodyPr/>
        <a:lstStyle/>
        <a:p>
          <a:endParaRPr lang="en-GB"/>
        </a:p>
      </dgm:t>
    </dgm:pt>
    <dgm:pt modelId="{18919164-1729-43B1-BCBD-B273EC44B9BA}" type="parTrans" cxnId="{495AE8CC-57F4-4EAF-ADB5-7CAD4ADC078A}">
      <dgm:prSet/>
      <dgm:spPr/>
      <dgm:t>
        <a:bodyPr/>
        <a:lstStyle/>
        <a:p>
          <a:endParaRPr lang="en-GB"/>
        </a:p>
      </dgm:t>
    </dgm:pt>
    <dgm:pt modelId="{7896B231-CE1E-4E7B-AEA6-02D517C84EE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Delivery: </a:t>
          </a:r>
          <a:r>
            <a:rPr lang="en-GB" sz="1050" b="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a:solidFill>
              <a:schemeClr val="tx1"/>
            </a:solidFill>
            <a:latin typeface="Titillium" panose="00000500000000000000" pitchFamily="50" charset="0"/>
          </a:endParaRPr>
        </a:p>
      </dgm:t>
    </dgm:pt>
    <dgm:pt modelId="{7EE449DB-6CA8-4B05-AD15-CBFEDD0120AB}" type="sibTrans" cxnId="{6B7A7720-930D-459C-9045-195588E76DB2}">
      <dgm:prSet/>
      <dgm:spPr/>
      <dgm:t>
        <a:bodyPr/>
        <a:lstStyle/>
        <a:p>
          <a:endParaRPr lang="en-GB"/>
        </a:p>
      </dgm:t>
    </dgm:pt>
    <dgm:pt modelId="{CF8C2892-683A-41D0-BE45-95D1AD5BA145}" type="parTrans" cxnId="{6B7A7720-930D-459C-9045-195588E76DB2}">
      <dgm:prSet/>
      <dgm:spPr/>
      <dgm:t>
        <a:bodyPr/>
        <a:lstStyle/>
        <a:p>
          <a:endParaRPr lang="en-GB"/>
        </a:p>
      </dgm:t>
    </dgm:pt>
    <dgm:pt modelId="{9FD81FFE-F91E-48CB-B38F-720701C30F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Completion: </a:t>
          </a:r>
          <a:r>
            <a:rPr lang="en-GB" sz="1050" b="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a:solidFill>
              <a:schemeClr val="tx1"/>
            </a:solidFill>
            <a:latin typeface="Titillium" panose="00000500000000000000" pitchFamily="50" charset="0"/>
          </a:endParaRPr>
        </a:p>
      </dgm:t>
    </dgm:pt>
    <dgm:pt modelId="{19E47F95-36FB-4929-BFAD-5AADF6A0D728}" type="sibTrans" cxnId="{0D22FA1E-D9E0-41D9-A228-6340B5A6F584}">
      <dgm:prSet/>
      <dgm:spPr/>
      <dgm:t>
        <a:bodyPr/>
        <a:lstStyle/>
        <a:p>
          <a:endParaRPr lang="en-GB"/>
        </a:p>
      </dgm:t>
    </dgm:pt>
    <dgm:pt modelId="{3A021175-412A-40BB-972B-8F9E4075A90E}" type="parTrans" cxnId="{0D22FA1E-D9E0-41D9-A228-6340B5A6F584}">
      <dgm:prSet/>
      <dgm:spPr/>
      <dgm:t>
        <a:bodyPr/>
        <a:lstStyle/>
        <a:p>
          <a:endParaRPr lang="en-GB"/>
        </a:p>
      </dgm:t>
    </dgm:pt>
    <dgm:pt modelId="{F97AA647-E38A-46D8-A836-8C48EE3C4BE2}" type="pres">
      <dgm:prSet presAssocID="{9AF56DA9-508F-4453-819B-442983520035}" presName="Name0" presStyleCnt="0">
        <dgm:presLayoutVars>
          <dgm:dir/>
          <dgm:animLvl val="lvl"/>
          <dgm:resizeHandles val="exact"/>
        </dgm:presLayoutVars>
      </dgm:prSet>
      <dgm:spPr/>
    </dgm:pt>
    <dgm:pt modelId="{B672121E-A245-4B93-BE1D-F1517372E53A}" type="pres">
      <dgm:prSet presAssocID="{2034BC0F-41E7-4F18-AD4C-747CF6DE04DD}" presName="boxAndChildren" presStyleCnt="0"/>
      <dgm:spPr/>
    </dgm:pt>
    <dgm:pt modelId="{32EA0A8F-17BC-41B0-A0D8-8697D869F3C8}" type="pres">
      <dgm:prSet presAssocID="{2034BC0F-41E7-4F18-AD4C-747CF6DE04DD}" presName="parentTextBox" presStyleLbl="node1" presStyleIdx="0" presStyleCnt="9"/>
      <dgm:spPr/>
    </dgm:pt>
    <dgm:pt modelId="{0661E83B-CF48-4519-B387-9792A5319469}" type="pres">
      <dgm:prSet presAssocID="{19E47F95-36FB-4929-BFAD-5AADF6A0D728}" presName="sp" presStyleCnt="0"/>
      <dgm:spPr/>
    </dgm:pt>
    <dgm:pt modelId="{939CB79F-AF99-4C4A-9701-75988FD4921F}" type="pres">
      <dgm:prSet presAssocID="{9FD81FFE-F91E-48CB-B38F-720701C30F92}" presName="arrowAndChildren" presStyleCnt="0"/>
      <dgm:spPr/>
    </dgm:pt>
    <dgm:pt modelId="{33C957AE-E9E1-4A8B-B63E-379A68542595}" type="pres">
      <dgm:prSet presAssocID="{9FD81FFE-F91E-48CB-B38F-720701C30F92}" presName="parentTextArrow" presStyleLbl="node1" presStyleIdx="1" presStyleCnt="9" custLinFactNeighborX="112" custLinFactNeighborY="-803"/>
      <dgm:spPr/>
    </dgm:pt>
    <dgm:pt modelId="{16D1804E-89F7-4BAD-A1AF-2A2E5A824E6B}" type="pres">
      <dgm:prSet presAssocID="{7EE449DB-6CA8-4B05-AD15-CBFEDD0120AB}" presName="sp" presStyleCnt="0"/>
      <dgm:spPr/>
    </dgm:pt>
    <dgm:pt modelId="{60505A23-D302-4670-BE9C-F307AE1F1A3C}" type="pres">
      <dgm:prSet presAssocID="{7896B231-CE1E-4E7B-AEA6-02D517C84EE4}" presName="arrowAndChildren" presStyleCnt="0"/>
      <dgm:spPr/>
    </dgm:pt>
    <dgm:pt modelId="{4978791F-FD65-4FC7-8F1A-26C79676D2B3}" type="pres">
      <dgm:prSet presAssocID="{7896B231-CE1E-4E7B-AEA6-02D517C84EE4}" presName="parentTextArrow" presStyleLbl="node1" presStyleIdx="2" presStyleCnt="9"/>
      <dgm:spPr/>
    </dgm:pt>
    <dgm:pt modelId="{D94FD7B9-4C5E-416F-9DCA-65ABB45D24CA}" type="pres">
      <dgm:prSet presAssocID="{AA3AFF37-567D-4137-B060-03C0E7608D72}" presName="sp" presStyleCnt="0"/>
      <dgm:spPr/>
    </dgm:pt>
    <dgm:pt modelId="{9678DF36-A263-4E06-82FF-C26F47805A01}" type="pres">
      <dgm:prSet presAssocID="{6AF0CDFC-0268-4B1D-A8DA-B23AA5878438}" presName="arrowAndChildren" presStyleCnt="0"/>
      <dgm:spPr/>
    </dgm:pt>
    <dgm:pt modelId="{2A136EFD-4E0E-425D-BA2B-5324C890F8C2}" type="pres">
      <dgm:prSet presAssocID="{6AF0CDFC-0268-4B1D-A8DA-B23AA5878438}" presName="parentTextArrow" presStyleLbl="node1" presStyleIdx="3" presStyleCnt="9"/>
      <dgm:spPr/>
    </dgm:pt>
    <dgm:pt modelId="{C6ED6347-D115-48F0-A3F4-938CFB1D6DC8}" type="pres">
      <dgm:prSet presAssocID="{3FD01FD6-45F4-4BA2-9FC1-074F18C1AFA2}" presName="sp" presStyleCnt="0"/>
      <dgm:spPr/>
    </dgm:pt>
    <dgm:pt modelId="{2FD80C1E-F896-4038-96A2-22F432A30E84}" type="pres">
      <dgm:prSet presAssocID="{6C029ED9-6B5D-486F-94E4-706A4442CF96}" presName="arrowAndChildren" presStyleCnt="0"/>
      <dgm:spPr/>
    </dgm:pt>
    <dgm:pt modelId="{C8F8E02F-BBCA-48EF-95D8-D39A03FF0181}" type="pres">
      <dgm:prSet presAssocID="{6C029ED9-6B5D-486F-94E4-706A4442CF96}" presName="parentTextArrow" presStyleLbl="node1" presStyleIdx="4" presStyleCnt="9"/>
      <dgm:spPr/>
    </dgm:pt>
    <dgm:pt modelId="{F38C6459-16A0-4B7F-8009-22EB0FD84E96}" type="pres">
      <dgm:prSet presAssocID="{CCCC28D0-9E74-4009-B621-61B3CD0BABA2}" presName="sp" presStyleCnt="0"/>
      <dgm:spPr/>
    </dgm:pt>
    <dgm:pt modelId="{0716822F-3C02-4CA7-AB75-434EFDAFA5C3}" type="pres">
      <dgm:prSet presAssocID="{EEA45916-400D-478E-84D9-D5D29E62A105}" presName="arrowAndChildren" presStyleCnt="0"/>
      <dgm:spPr/>
    </dgm:pt>
    <dgm:pt modelId="{B07B1275-71A1-47EA-966A-0FD53104CF36}" type="pres">
      <dgm:prSet presAssocID="{EEA45916-400D-478E-84D9-D5D29E62A105}" presName="parentTextArrow" presStyleLbl="node1" presStyleIdx="5" presStyleCnt="9"/>
      <dgm:spPr/>
    </dgm:pt>
    <dgm:pt modelId="{C20CF2EF-E6C9-4070-8706-35D6C454A743}" type="pres">
      <dgm:prSet presAssocID="{0F7F68C4-33C6-4106-A2E5-39584250AEB8}" presName="sp" presStyleCnt="0"/>
      <dgm:spPr/>
    </dgm:pt>
    <dgm:pt modelId="{BA590EE2-692F-4AF6-B936-562B994283BB}" type="pres">
      <dgm:prSet presAssocID="{7F47E0DE-E766-412A-B042-EB4E6A072EA6}" presName="arrowAndChildren" presStyleCnt="0"/>
      <dgm:spPr/>
    </dgm:pt>
    <dgm:pt modelId="{518852FA-7C11-47BA-B7E3-9860B236525D}" type="pres">
      <dgm:prSet presAssocID="{7F47E0DE-E766-412A-B042-EB4E6A072EA6}" presName="parentTextArrow" presStyleLbl="node1" presStyleIdx="6" presStyleCnt="9"/>
      <dgm:spPr/>
    </dgm:pt>
    <dgm:pt modelId="{F33E5860-88CC-4F68-A686-04402D3FFE61}" type="pres">
      <dgm:prSet presAssocID="{3DEAA3CD-F3B0-48CE-B641-989E178CBCBF}" presName="sp" presStyleCnt="0"/>
      <dgm:spPr/>
    </dgm:pt>
    <dgm:pt modelId="{7B11EB82-24CD-46C7-9272-5541BCAFFBF8}" type="pres">
      <dgm:prSet presAssocID="{A9960E6E-7B73-4793-90DD-43D456657592}" presName="arrowAndChildren" presStyleCnt="0"/>
      <dgm:spPr/>
    </dgm:pt>
    <dgm:pt modelId="{AB51804F-6DD7-4601-BCED-D4CD4B293854}" type="pres">
      <dgm:prSet presAssocID="{A9960E6E-7B73-4793-90DD-43D456657592}" presName="parentTextArrow" presStyleLbl="node1" presStyleIdx="7" presStyleCnt="9"/>
      <dgm:spPr/>
    </dgm:pt>
    <dgm:pt modelId="{498343F0-D0BD-415C-9239-2856891F29A7}" type="pres">
      <dgm:prSet presAssocID="{09386677-D89F-45DC-812C-A803B8E00724}" presName="sp" presStyleCnt="0"/>
      <dgm:spPr/>
    </dgm:pt>
    <dgm:pt modelId="{C91526E3-9E20-4463-951A-AB2761B6454F}" type="pres">
      <dgm:prSet presAssocID="{6C98CE29-84B0-4612-8346-5CDF86F8A9C4}" presName="arrowAndChildren" presStyleCnt="0"/>
      <dgm:spPr/>
    </dgm:pt>
    <dgm:pt modelId="{367441CA-116F-4C01-A680-74FABF88B787}" type="pres">
      <dgm:prSet presAssocID="{6C98CE29-84B0-4612-8346-5CDF86F8A9C4}" presName="parentTextArrow" presStyleLbl="node1" presStyleIdx="8" presStyleCnt="9"/>
      <dgm:spPr/>
    </dgm:pt>
  </dgm:ptLst>
  <dgm:cxnLst>
    <dgm:cxn modelId="{42A5C507-3D49-49C2-925A-EBD1559059F9}" srcId="{9AF56DA9-508F-4453-819B-442983520035}" destId="{6C029ED9-6B5D-486F-94E4-706A4442CF96}" srcOrd="4" destOrd="0" parTransId="{9A592A69-6EC0-46CE-BC7B-2AC1A311F7A9}" sibTransId="{3FD01FD6-45F4-4BA2-9FC1-074F18C1AFA2}"/>
    <dgm:cxn modelId="{B5D3EE10-46C2-4CF0-A9C8-633426D540BF}" type="presOf" srcId="{EEA45916-400D-478E-84D9-D5D29E62A105}" destId="{B07B1275-71A1-47EA-966A-0FD53104CF36}" srcOrd="0" destOrd="0" presId="urn:microsoft.com/office/officeart/2005/8/layout/process4"/>
    <dgm:cxn modelId="{C1EC501A-8247-4F94-868F-EF0505796903}" srcId="{9AF56DA9-508F-4453-819B-442983520035}" destId="{7F47E0DE-E766-412A-B042-EB4E6A072EA6}" srcOrd="2" destOrd="0" parTransId="{C1D77A0C-4F7E-4A68-96DF-A026F53490C8}" sibTransId="{0F7F68C4-33C6-4106-A2E5-39584250AEB8}"/>
    <dgm:cxn modelId="{0D22FA1E-D9E0-41D9-A228-6340B5A6F584}" srcId="{9AF56DA9-508F-4453-819B-442983520035}" destId="{9FD81FFE-F91E-48CB-B38F-720701C30F92}" srcOrd="7" destOrd="0" parTransId="{3A021175-412A-40BB-972B-8F9E4075A90E}" sibTransId="{19E47F95-36FB-4929-BFAD-5AADF6A0D728}"/>
    <dgm:cxn modelId="{6B7A7720-930D-459C-9045-195588E76DB2}" srcId="{9AF56DA9-508F-4453-819B-442983520035}" destId="{7896B231-CE1E-4E7B-AEA6-02D517C84EE4}" srcOrd="6" destOrd="0" parTransId="{CF8C2892-683A-41D0-BE45-95D1AD5BA145}" sibTransId="{7EE449DB-6CA8-4B05-AD15-CBFEDD0120AB}"/>
    <dgm:cxn modelId="{9D144A2F-D5B2-42A6-A784-70D45FE161D0}" type="presOf" srcId="{6AF0CDFC-0268-4B1D-A8DA-B23AA5878438}" destId="{2A136EFD-4E0E-425D-BA2B-5324C890F8C2}" srcOrd="0" destOrd="0" presId="urn:microsoft.com/office/officeart/2005/8/layout/process4"/>
    <dgm:cxn modelId="{52D1A034-BAEC-4249-A611-A74250AE4A47}" srcId="{9AF56DA9-508F-4453-819B-442983520035}" destId="{EEA45916-400D-478E-84D9-D5D29E62A105}" srcOrd="3" destOrd="0" parTransId="{7456F65F-58DA-4ABB-A377-6404ED938B73}" sibTransId="{CCCC28D0-9E74-4009-B621-61B3CD0BABA2}"/>
    <dgm:cxn modelId="{A7C54846-D9CB-4694-96CB-818038850DEA}" type="presOf" srcId="{9FD81FFE-F91E-48CB-B38F-720701C30F92}" destId="{33C957AE-E9E1-4A8B-B63E-379A68542595}" srcOrd="0" destOrd="0" presId="urn:microsoft.com/office/officeart/2005/8/layout/process4"/>
    <dgm:cxn modelId="{43951E7B-01CD-49B6-AE4F-84CDE08A258D}" type="presOf" srcId="{6C029ED9-6B5D-486F-94E4-706A4442CF96}" destId="{C8F8E02F-BBCA-48EF-95D8-D39A03FF0181}" srcOrd="0" destOrd="0" presId="urn:microsoft.com/office/officeart/2005/8/layout/process4"/>
    <dgm:cxn modelId="{70F7CF7E-9BFC-4DD3-B542-C1C60C1EC28C}" srcId="{9AF56DA9-508F-4453-819B-442983520035}" destId="{2034BC0F-41E7-4F18-AD4C-747CF6DE04DD}" srcOrd="8" destOrd="0" parTransId="{31734E0E-04F2-4562-AAE8-F67A69AC31CF}" sibTransId="{2EBC8A8E-B9EA-44F0-A748-FD24251D1CA8}"/>
    <dgm:cxn modelId="{6143F4B7-8EA6-4D97-800B-FE3DB978A1D2}" type="presOf" srcId="{7896B231-CE1E-4E7B-AEA6-02D517C84EE4}" destId="{4978791F-FD65-4FC7-8F1A-26C79676D2B3}" srcOrd="0" destOrd="0" presId="urn:microsoft.com/office/officeart/2005/8/layout/process4"/>
    <dgm:cxn modelId="{DF21E1B9-0017-49F3-BB11-06538AA8E807}" type="presOf" srcId="{A9960E6E-7B73-4793-90DD-43D456657592}" destId="{AB51804F-6DD7-4601-BCED-D4CD4B293854}" srcOrd="0" destOrd="0" presId="urn:microsoft.com/office/officeart/2005/8/layout/process4"/>
    <dgm:cxn modelId="{07C5C9BD-9868-475B-9570-C961B38DB3A0}" srcId="{9AF56DA9-508F-4453-819B-442983520035}" destId="{6C98CE29-84B0-4612-8346-5CDF86F8A9C4}" srcOrd="0" destOrd="0" parTransId="{872EDA85-BE66-4E01-BACB-375E4D65531F}" sibTransId="{09386677-D89F-45DC-812C-A803B8E00724}"/>
    <dgm:cxn modelId="{8DA64DC1-09B8-44C2-9F33-FD3FE3E57FF4}" type="presOf" srcId="{7F47E0DE-E766-412A-B042-EB4E6A072EA6}" destId="{518852FA-7C11-47BA-B7E3-9860B236525D}" srcOrd="0" destOrd="0" presId="urn:microsoft.com/office/officeart/2005/8/layout/process4"/>
    <dgm:cxn modelId="{3EFC35C2-621F-41B8-83F5-861238F75A95}" type="presOf" srcId="{2034BC0F-41E7-4F18-AD4C-747CF6DE04DD}" destId="{32EA0A8F-17BC-41B0-A0D8-8697D869F3C8}" srcOrd="0" destOrd="0" presId="urn:microsoft.com/office/officeart/2005/8/layout/process4"/>
    <dgm:cxn modelId="{495AE8CC-57F4-4EAF-ADB5-7CAD4ADC078A}" srcId="{9AF56DA9-508F-4453-819B-442983520035}" destId="{6AF0CDFC-0268-4B1D-A8DA-B23AA5878438}" srcOrd="5" destOrd="0" parTransId="{18919164-1729-43B1-BCBD-B273EC44B9BA}" sibTransId="{AA3AFF37-567D-4137-B060-03C0E7608D72}"/>
    <dgm:cxn modelId="{DB63F8E0-56B0-4B1D-8500-33C1DF924630}" type="presOf" srcId="{9AF56DA9-508F-4453-819B-442983520035}" destId="{F97AA647-E38A-46D8-A836-8C48EE3C4BE2}" srcOrd="0" destOrd="0" presId="urn:microsoft.com/office/officeart/2005/8/layout/process4"/>
    <dgm:cxn modelId="{C7DCC3E3-068E-4DAB-A18B-59E299B8161C}" type="presOf" srcId="{6C98CE29-84B0-4612-8346-5CDF86F8A9C4}" destId="{367441CA-116F-4C01-A680-74FABF88B787}" srcOrd="0" destOrd="0" presId="urn:microsoft.com/office/officeart/2005/8/layout/process4"/>
    <dgm:cxn modelId="{883F80E7-9289-4F57-B17B-A6FBA357EA3E}" srcId="{9AF56DA9-508F-4453-819B-442983520035}" destId="{A9960E6E-7B73-4793-90DD-43D456657592}" srcOrd="1" destOrd="0" parTransId="{DC419614-E064-43A0-8E21-2F7556CD9F65}" sibTransId="{3DEAA3CD-F3B0-48CE-B641-989E178CBCBF}"/>
    <dgm:cxn modelId="{D7AFC739-59F1-4D2B-B314-E0CA649C3A1E}" type="presParOf" srcId="{F97AA647-E38A-46D8-A836-8C48EE3C4BE2}" destId="{B672121E-A245-4B93-BE1D-F1517372E53A}" srcOrd="0" destOrd="0" presId="urn:microsoft.com/office/officeart/2005/8/layout/process4"/>
    <dgm:cxn modelId="{3F9326FE-2961-43CB-B921-8999EC5CDF9D}" type="presParOf" srcId="{B672121E-A245-4B93-BE1D-F1517372E53A}" destId="{32EA0A8F-17BC-41B0-A0D8-8697D869F3C8}" srcOrd="0" destOrd="0" presId="urn:microsoft.com/office/officeart/2005/8/layout/process4"/>
    <dgm:cxn modelId="{B89BC39D-519B-41BD-BEDC-0FE0C759113F}" type="presParOf" srcId="{F97AA647-E38A-46D8-A836-8C48EE3C4BE2}" destId="{0661E83B-CF48-4519-B387-9792A5319469}" srcOrd="1" destOrd="0" presId="urn:microsoft.com/office/officeart/2005/8/layout/process4"/>
    <dgm:cxn modelId="{E06F1119-0435-48FD-AC34-857ABE4B2068}" type="presParOf" srcId="{F97AA647-E38A-46D8-A836-8C48EE3C4BE2}" destId="{939CB79F-AF99-4C4A-9701-75988FD4921F}" srcOrd="2" destOrd="0" presId="urn:microsoft.com/office/officeart/2005/8/layout/process4"/>
    <dgm:cxn modelId="{146C5F80-1F9F-4132-B96B-0E94F5CC6649}" type="presParOf" srcId="{939CB79F-AF99-4C4A-9701-75988FD4921F}" destId="{33C957AE-E9E1-4A8B-B63E-379A68542595}" srcOrd="0" destOrd="0" presId="urn:microsoft.com/office/officeart/2005/8/layout/process4"/>
    <dgm:cxn modelId="{7BE9A0FB-6F34-46D1-9CF5-9B7C5AE80F4A}" type="presParOf" srcId="{F97AA647-E38A-46D8-A836-8C48EE3C4BE2}" destId="{16D1804E-89F7-4BAD-A1AF-2A2E5A824E6B}" srcOrd="3" destOrd="0" presId="urn:microsoft.com/office/officeart/2005/8/layout/process4"/>
    <dgm:cxn modelId="{D115277B-234D-450C-A58F-9C5C75941CA8}" type="presParOf" srcId="{F97AA647-E38A-46D8-A836-8C48EE3C4BE2}" destId="{60505A23-D302-4670-BE9C-F307AE1F1A3C}" srcOrd="4" destOrd="0" presId="urn:microsoft.com/office/officeart/2005/8/layout/process4"/>
    <dgm:cxn modelId="{FBCC78F8-AF65-4BC6-A402-72B8B4815059}" type="presParOf" srcId="{60505A23-D302-4670-BE9C-F307AE1F1A3C}" destId="{4978791F-FD65-4FC7-8F1A-26C79676D2B3}" srcOrd="0" destOrd="0" presId="urn:microsoft.com/office/officeart/2005/8/layout/process4"/>
    <dgm:cxn modelId="{4EC40BA0-B61D-47FC-BCEB-976E85FECDB3}" type="presParOf" srcId="{F97AA647-E38A-46D8-A836-8C48EE3C4BE2}" destId="{D94FD7B9-4C5E-416F-9DCA-65ABB45D24CA}" srcOrd="5" destOrd="0" presId="urn:microsoft.com/office/officeart/2005/8/layout/process4"/>
    <dgm:cxn modelId="{8A7E43B0-00D0-414C-BC0E-4385A9A6349F}" type="presParOf" srcId="{F97AA647-E38A-46D8-A836-8C48EE3C4BE2}" destId="{9678DF36-A263-4E06-82FF-C26F47805A01}" srcOrd="6" destOrd="0" presId="urn:microsoft.com/office/officeart/2005/8/layout/process4"/>
    <dgm:cxn modelId="{D9721042-65AD-4D2C-84C2-1DBC27A07DB5}" type="presParOf" srcId="{9678DF36-A263-4E06-82FF-C26F47805A01}" destId="{2A136EFD-4E0E-425D-BA2B-5324C890F8C2}" srcOrd="0" destOrd="0" presId="urn:microsoft.com/office/officeart/2005/8/layout/process4"/>
    <dgm:cxn modelId="{09CA7479-2EA8-4F1C-A9B5-494A7C84E0B8}" type="presParOf" srcId="{F97AA647-E38A-46D8-A836-8C48EE3C4BE2}" destId="{C6ED6347-D115-48F0-A3F4-938CFB1D6DC8}" srcOrd="7" destOrd="0" presId="urn:microsoft.com/office/officeart/2005/8/layout/process4"/>
    <dgm:cxn modelId="{BD1C2C61-06F2-48F2-9660-983B71E8984A}" type="presParOf" srcId="{F97AA647-E38A-46D8-A836-8C48EE3C4BE2}" destId="{2FD80C1E-F896-4038-96A2-22F432A30E84}" srcOrd="8" destOrd="0" presId="urn:microsoft.com/office/officeart/2005/8/layout/process4"/>
    <dgm:cxn modelId="{163BC4E3-BF79-4F3C-BF5F-649C8169D46E}" type="presParOf" srcId="{2FD80C1E-F896-4038-96A2-22F432A30E84}" destId="{C8F8E02F-BBCA-48EF-95D8-D39A03FF0181}" srcOrd="0" destOrd="0" presId="urn:microsoft.com/office/officeart/2005/8/layout/process4"/>
    <dgm:cxn modelId="{ED50D301-5433-4635-9F8B-FC442478FE61}" type="presParOf" srcId="{F97AA647-E38A-46D8-A836-8C48EE3C4BE2}" destId="{F38C6459-16A0-4B7F-8009-22EB0FD84E96}" srcOrd="9" destOrd="0" presId="urn:microsoft.com/office/officeart/2005/8/layout/process4"/>
    <dgm:cxn modelId="{C914FBC4-0D21-4E79-9310-DDDBD06C6BB8}" type="presParOf" srcId="{F97AA647-E38A-46D8-A836-8C48EE3C4BE2}" destId="{0716822F-3C02-4CA7-AB75-434EFDAFA5C3}" srcOrd="10" destOrd="0" presId="urn:microsoft.com/office/officeart/2005/8/layout/process4"/>
    <dgm:cxn modelId="{3D7E3711-4681-4042-B926-1DFEFBBFBA9B}" type="presParOf" srcId="{0716822F-3C02-4CA7-AB75-434EFDAFA5C3}" destId="{B07B1275-71A1-47EA-966A-0FD53104CF36}" srcOrd="0" destOrd="0" presId="urn:microsoft.com/office/officeart/2005/8/layout/process4"/>
    <dgm:cxn modelId="{151DA3B2-E2B2-486E-82A4-46399DA3BA26}" type="presParOf" srcId="{F97AA647-E38A-46D8-A836-8C48EE3C4BE2}" destId="{C20CF2EF-E6C9-4070-8706-35D6C454A743}" srcOrd="11" destOrd="0" presId="urn:microsoft.com/office/officeart/2005/8/layout/process4"/>
    <dgm:cxn modelId="{DC99FACC-740B-4C7D-9F0D-BFA3DC3AA495}" type="presParOf" srcId="{F97AA647-E38A-46D8-A836-8C48EE3C4BE2}" destId="{BA590EE2-692F-4AF6-B936-562B994283BB}" srcOrd="12" destOrd="0" presId="urn:microsoft.com/office/officeart/2005/8/layout/process4"/>
    <dgm:cxn modelId="{E774DFD0-8905-4327-910F-B6D151684EF9}" type="presParOf" srcId="{BA590EE2-692F-4AF6-B936-562B994283BB}" destId="{518852FA-7C11-47BA-B7E3-9860B236525D}" srcOrd="0" destOrd="0" presId="urn:microsoft.com/office/officeart/2005/8/layout/process4"/>
    <dgm:cxn modelId="{34A206E9-192A-409E-AE0C-91C316103054}" type="presParOf" srcId="{F97AA647-E38A-46D8-A836-8C48EE3C4BE2}" destId="{F33E5860-88CC-4F68-A686-04402D3FFE61}" srcOrd="13" destOrd="0" presId="urn:microsoft.com/office/officeart/2005/8/layout/process4"/>
    <dgm:cxn modelId="{487BA822-C96E-4EA4-A8C0-6DD8A9380D70}" type="presParOf" srcId="{F97AA647-E38A-46D8-A836-8C48EE3C4BE2}" destId="{7B11EB82-24CD-46C7-9272-5541BCAFFBF8}" srcOrd="14" destOrd="0" presId="urn:microsoft.com/office/officeart/2005/8/layout/process4"/>
    <dgm:cxn modelId="{8AED4620-385D-457A-937F-5AEE89000E9E}" type="presParOf" srcId="{7B11EB82-24CD-46C7-9272-5541BCAFFBF8}" destId="{AB51804F-6DD7-4601-BCED-D4CD4B293854}" srcOrd="0" destOrd="0" presId="urn:microsoft.com/office/officeart/2005/8/layout/process4"/>
    <dgm:cxn modelId="{334D4D66-5523-424C-B197-BDE39001E6CE}" type="presParOf" srcId="{F97AA647-E38A-46D8-A836-8C48EE3C4BE2}" destId="{498343F0-D0BD-415C-9239-2856891F29A7}" srcOrd="15" destOrd="0" presId="urn:microsoft.com/office/officeart/2005/8/layout/process4"/>
    <dgm:cxn modelId="{C3578040-22C8-48D5-9CCE-86FAA771DB26}" type="presParOf" srcId="{F97AA647-E38A-46D8-A836-8C48EE3C4BE2}" destId="{C91526E3-9E20-4463-951A-AB2761B6454F}" srcOrd="16" destOrd="0" presId="urn:microsoft.com/office/officeart/2005/8/layout/process4"/>
    <dgm:cxn modelId="{3834D43F-0408-4E54-A895-A791BDCFD31B}" type="presParOf" srcId="{C91526E3-9E20-4463-951A-AB2761B6454F}" destId="{367441CA-116F-4C01-A680-74FABF88B787}"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A0A8F-17BC-41B0-A0D8-8697D869F3C8}">
      <dsp:nvSpPr>
        <dsp:cNvPr id="0" name=""/>
        <dsp:cNvSpPr/>
      </dsp:nvSpPr>
      <dsp:spPr>
        <a:xfrm>
          <a:off x="0" y="7219682"/>
          <a:ext cx="6544310" cy="592368"/>
        </a:xfrm>
        <a:prstGeom prst="rect">
          <a:avLst/>
        </a:prstGeom>
        <a:solidFill>
          <a:schemeClr val="accent3">
            <a:lumMod val="20000"/>
            <a:lumOff val="80000"/>
          </a:schemeClr>
        </a:solidFill>
        <a:ln w="12700" cap="flat" cmpd="sng" algn="ctr">
          <a:solidFill>
            <a:schemeClr val="accent3">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Incentive Payment Claimed: </a:t>
          </a:r>
          <a:r>
            <a:rPr lang="en-GB" sz="1050" b="0" kern="120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kern="1200">
            <a:solidFill>
              <a:schemeClr val="tx1"/>
            </a:solidFill>
            <a:latin typeface="Titillium" panose="00000500000000000000" pitchFamily="50" charset="0"/>
          </a:endParaRPr>
        </a:p>
      </dsp:txBody>
      <dsp:txXfrm>
        <a:off x="0" y="7219682"/>
        <a:ext cx="6544310" cy="592368"/>
      </dsp:txXfrm>
    </dsp:sp>
    <dsp:sp modelId="{33C957AE-E9E1-4A8B-B63E-379A68542595}">
      <dsp:nvSpPr>
        <dsp:cNvPr id="0" name=""/>
        <dsp:cNvSpPr/>
      </dsp:nvSpPr>
      <dsp:spPr>
        <a:xfrm rot="10800000">
          <a:off x="0" y="6310188"/>
          <a:ext cx="6544310" cy="911063"/>
        </a:xfrm>
        <a:prstGeom prst="upArrowCallout">
          <a:avLst/>
        </a:prstGeom>
        <a:solidFill>
          <a:srgbClr val="DDF2FF"/>
        </a:solidFill>
        <a:ln w="12700" cap="flat" cmpd="sng" algn="ctr">
          <a:solidFill>
            <a:srgbClr val="C1E7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Completion: </a:t>
          </a:r>
          <a:r>
            <a:rPr lang="en-GB" sz="1050" b="0" kern="120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kern="1200">
            <a:solidFill>
              <a:schemeClr val="tx1"/>
            </a:solidFill>
            <a:latin typeface="Titillium" panose="00000500000000000000" pitchFamily="50" charset="0"/>
          </a:endParaRPr>
        </a:p>
      </dsp:txBody>
      <dsp:txXfrm rot="10800000">
        <a:off x="0" y="6310188"/>
        <a:ext cx="6544310" cy="591981"/>
      </dsp:txXfrm>
    </dsp:sp>
    <dsp:sp modelId="{4978791F-FD65-4FC7-8F1A-26C79676D2B3}">
      <dsp:nvSpPr>
        <dsp:cNvPr id="0" name=""/>
        <dsp:cNvSpPr/>
      </dsp:nvSpPr>
      <dsp:spPr>
        <a:xfrm rot="10800000">
          <a:off x="0" y="5415326"/>
          <a:ext cx="6544310" cy="911063"/>
        </a:xfrm>
        <a:prstGeom prst="upArrowCallout">
          <a:avLst/>
        </a:prstGeom>
        <a:solidFill>
          <a:schemeClr val="accent3">
            <a:lumMod val="20000"/>
            <a:lumOff val="80000"/>
          </a:schemeClr>
        </a:solidFill>
        <a:ln w="12700" cap="flat" cmpd="sng" algn="ctr">
          <a:solidFill>
            <a:schemeClr val="accent3">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Delivery: </a:t>
          </a:r>
          <a:r>
            <a:rPr lang="en-GB" sz="1050" b="0" kern="120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kern="1200">
            <a:solidFill>
              <a:schemeClr val="tx1"/>
            </a:solidFill>
            <a:latin typeface="Titillium" panose="00000500000000000000" pitchFamily="50" charset="0"/>
          </a:endParaRPr>
        </a:p>
      </dsp:txBody>
      <dsp:txXfrm rot="10800000">
        <a:off x="0" y="5415326"/>
        <a:ext cx="6544310" cy="591981"/>
      </dsp:txXfrm>
    </dsp:sp>
    <dsp:sp modelId="{2A136EFD-4E0E-425D-BA2B-5324C890F8C2}">
      <dsp:nvSpPr>
        <dsp:cNvPr id="0" name=""/>
        <dsp:cNvSpPr/>
      </dsp:nvSpPr>
      <dsp:spPr>
        <a:xfrm rot="10800000">
          <a:off x="0" y="4513148"/>
          <a:ext cx="6544310" cy="911063"/>
        </a:xfrm>
        <a:prstGeom prst="upArrowCallout">
          <a:avLst/>
        </a:prstGeom>
        <a:solidFill>
          <a:srgbClr val="DDF2FF"/>
        </a:solidFill>
        <a:ln w="12700" cap="flat" cmpd="sng" algn="ctr">
          <a:solidFill>
            <a:srgbClr val="C1E7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Set Up: </a:t>
          </a:r>
          <a:r>
            <a:rPr lang="en-GB" sz="1050" b="0" kern="120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sp:txBody>
      <dsp:txXfrm rot="10800000">
        <a:off x="0" y="4513148"/>
        <a:ext cx="6544310" cy="591981"/>
      </dsp:txXfrm>
    </dsp:sp>
    <dsp:sp modelId="{C8F8E02F-BBCA-48EF-95D8-D39A03FF0181}">
      <dsp:nvSpPr>
        <dsp:cNvPr id="0" name=""/>
        <dsp:cNvSpPr/>
      </dsp:nvSpPr>
      <dsp:spPr>
        <a:xfrm rot="10800000">
          <a:off x="0" y="3610970"/>
          <a:ext cx="6544310" cy="911063"/>
        </a:xfrm>
        <a:prstGeom prst="upArrowCallout">
          <a:avLst/>
        </a:prstGeom>
        <a:solidFill>
          <a:schemeClr val="accent3">
            <a:lumMod val="20000"/>
            <a:lumOff val="80000"/>
          </a:schemeClr>
        </a:solidFill>
        <a:ln w="12700" cap="flat" cmpd="sng" algn="ctr">
          <a:solidFill>
            <a:schemeClr val="accent3">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Client Accepts Quote: </a:t>
          </a:r>
          <a:r>
            <a:rPr lang="en-GB" sz="1050" kern="1200">
              <a:solidFill>
                <a:schemeClr val="tx1"/>
              </a:solidFill>
              <a:latin typeface="Titillium" panose="00000500000000000000" pitchFamily="50" charset="0"/>
            </a:rPr>
            <a:t>RIE will issue an ENU contract to client and support negotiation, if required.  </a:t>
          </a:r>
        </a:p>
      </dsp:txBody>
      <dsp:txXfrm rot="10800000">
        <a:off x="0" y="3610970"/>
        <a:ext cx="6544310" cy="591981"/>
      </dsp:txXfrm>
    </dsp:sp>
    <dsp:sp modelId="{B07B1275-71A1-47EA-966A-0FD53104CF36}">
      <dsp:nvSpPr>
        <dsp:cNvPr id="0" name=""/>
        <dsp:cNvSpPr/>
      </dsp:nvSpPr>
      <dsp:spPr>
        <a:xfrm rot="10800000">
          <a:off x="0" y="2708792"/>
          <a:ext cx="6544310" cy="911063"/>
        </a:xfrm>
        <a:prstGeom prst="upArrowCallout">
          <a:avLst/>
        </a:prstGeom>
        <a:solidFill>
          <a:srgbClr val="DDF2FF"/>
        </a:solidFill>
        <a:ln w="12700" cap="flat" cmpd="sng" algn="ctr">
          <a:solidFill>
            <a:srgbClr val="C1E7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Worktribe Approvals</a:t>
          </a:r>
          <a:r>
            <a:rPr lang="en-GB" sz="1050" kern="120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sp:txBody>
      <dsp:txXfrm rot="10800000">
        <a:off x="0" y="2708792"/>
        <a:ext cx="6544310" cy="591981"/>
      </dsp:txXfrm>
    </dsp:sp>
    <dsp:sp modelId="{518852FA-7C11-47BA-B7E3-9860B236525D}">
      <dsp:nvSpPr>
        <dsp:cNvPr id="0" name=""/>
        <dsp:cNvSpPr/>
      </dsp:nvSpPr>
      <dsp:spPr>
        <a:xfrm rot="10800000">
          <a:off x="0" y="1806614"/>
          <a:ext cx="6544310" cy="911063"/>
        </a:xfrm>
        <a:prstGeom prst="upArrowCallout">
          <a:avLst/>
        </a:prstGeom>
        <a:solidFill>
          <a:schemeClr val="accent3">
            <a:lumMod val="20000"/>
            <a:lumOff val="80000"/>
          </a:schemeClr>
        </a:solidFill>
        <a:ln w="12700" cap="flat" cmpd="sng" algn="ctr">
          <a:solidFill>
            <a:schemeClr val="accent3">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Development</a:t>
          </a:r>
          <a:r>
            <a:rPr lang="en-GB" sz="1050" kern="120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sp:txBody>
      <dsp:txXfrm rot="10800000">
        <a:off x="0" y="1806614"/>
        <a:ext cx="6544310" cy="591981"/>
      </dsp:txXfrm>
    </dsp:sp>
    <dsp:sp modelId="{AB51804F-6DD7-4601-BCED-D4CD4B293854}">
      <dsp:nvSpPr>
        <dsp:cNvPr id="0" name=""/>
        <dsp:cNvSpPr/>
      </dsp:nvSpPr>
      <dsp:spPr>
        <a:xfrm rot="10800000">
          <a:off x="0" y="904436"/>
          <a:ext cx="6544310" cy="911063"/>
        </a:xfrm>
        <a:prstGeom prst="upArrowCallout">
          <a:avLst/>
        </a:prstGeom>
        <a:solidFill>
          <a:srgbClr val="DDF2FF"/>
        </a:solidFill>
        <a:ln w="12700" cap="flat" cmpd="sng" algn="ctr">
          <a:solidFill>
            <a:srgbClr val="C1E7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Line Manager Discussion / Approval</a:t>
          </a:r>
          <a:r>
            <a:rPr lang="en-GB" sz="1050" kern="1200">
              <a:solidFill>
                <a:schemeClr val="tx1"/>
              </a:solidFill>
              <a:latin typeface="Titillium" panose="00000500000000000000" pitchFamily="50" charset="0"/>
            </a:rPr>
            <a:t>: Staff member to discuss activity with Line Manager to determine if project is feasible within, or is out with, WAM and upload Consultancy and Commercial Activity approval email to WT. Staff member to Raise awarness to key service leads of potential project and impact. </a:t>
          </a:r>
        </a:p>
      </dsp:txBody>
      <dsp:txXfrm rot="10800000">
        <a:off x="0" y="904436"/>
        <a:ext cx="6544310" cy="591981"/>
      </dsp:txXfrm>
    </dsp:sp>
    <dsp:sp modelId="{367441CA-116F-4C01-A680-74FABF88B787}">
      <dsp:nvSpPr>
        <dsp:cNvPr id="0" name=""/>
        <dsp:cNvSpPr/>
      </dsp:nvSpPr>
      <dsp:spPr>
        <a:xfrm rot="10800000">
          <a:off x="0" y="2258"/>
          <a:ext cx="6544310" cy="911063"/>
        </a:xfrm>
        <a:prstGeom prst="upArrowCallout">
          <a:avLst/>
        </a:prstGeom>
        <a:solidFill>
          <a:schemeClr val="accent3">
            <a:lumMod val="20000"/>
            <a:lumOff val="80000"/>
          </a:schemeClr>
        </a:solidFill>
        <a:ln w="12700" cap="flat" cmpd="sng" algn="ctr">
          <a:solidFill>
            <a:schemeClr val="accent3">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Scoping:</a:t>
          </a:r>
          <a:r>
            <a:rPr lang="en-GB" sz="1050" kern="120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sp:txBody>
      <dsp:txXfrm rot="10800000">
        <a:off x="0" y="2258"/>
        <a:ext cx="6544310" cy="591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CFA2C1CCA48BEA849E207DEF19208"/>
        <w:category>
          <w:name w:val="General"/>
          <w:gallery w:val="placeholder"/>
        </w:category>
        <w:types>
          <w:type w:val="bbPlcHdr"/>
        </w:types>
        <w:behaviors>
          <w:behavior w:val="content"/>
        </w:behaviors>
        <w:guid w:val="{8450FD25-147E-4F34-98BC-6121C1C8FD1B}"/>
      </w:docPartPr>
      <w:docPartBody>
        <w:p w:rsidR="00BB1C0E" w:rsidRDefault="00BB1C0E" w:rsidP="00BB1C0E">
          <w:pPr>
            <w:pStyle w:val="CD2CFA2C1CCA48BEA849E207DEF19208"/>
          </w:pPr>
          <w:r>
            <w:rPr>
              <w:rFonts w:asciiTheme="majorHAnsi" w:eastAsiaTheme="majorEastAsia" w:hAnsiTheme="majorHAnsi" w:cstheme="majorBidi"/>
              <w:color w:val="4472C4" w:themeColor="accent1"/>
              <w:sz w:val="88"/>
              <w:szCs w:val="88"/>
            </w:rPr>
            <w:t>[Document title]</w:t>
          </w:r>
        </w:p>
      </w:docPartBody>
    </w:docPart>
    <w:docPart>
      <w:docPartPr>
        <w:name w:val="10A22AE9A21948A9A7DE5A67191A6439"/>
        <w:category>
          <w:name w:val="General"/>
          <w:gallery w:val="placeholder"/>
        </w:category>
        <w:types>
          <w:type w:val="bbPlcHdr"/>
        </w:types>
        <w:behaviors>
          <w:behavior w:val="content"/>
        </w:behaviors>
        <w:guid w:val="{C894AF00-24ED-4DCA-BF51-43C44F643971}"/>
      </w:docPartPr>
      <w:docPartBody>
        <w:p w:rsidR="00BB1C0E" w:rsidRDefault="00BB1C0E" w:rsidP="00BB1C0E">
          <w:pPr>
            <w:pStyle w:val="10A22AE9A21948A9A7DE5A67191A643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 Light">
    <w:panose1 w:val="0200050603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E"/>
    <w:rsid w:val="000711FD"/>
    <w:rsid w:val="00121855"/>
    <w:rsid w:val="00182049"/>
    <w:rsid w:val="001D4905"/>
    <w:rsid w:val="00234576"/>
    <w:rsid w:val="00283824"/>
    <w:rsid w:val="002C0AA0"/>
    <w:rsid w:val="00402E8B"/>
    <w:rsid w:val="00463503"/>
    <w:rsid w:val="00532C98"/>
    <w:rsid w:val="00533746"/>
    <w:rsid w:val="005C7A09"/>
    <w:rsid w:val="005E03B5"/>
    <w:rsid w:val="006A05B1"/>
    <w:rsid w:val="007871FA"/>
    <w:rsid w:val="008F2085"/>
    <w:rsid w:val="009C1055"/>
    <w:rsid w:val="00A24F59"/>
    <w:rsid w:val="00B4569A"/>
    <w:rsid w:val="00BB1C0E"/>
    <w:rsid w:val="00BB71ED"/>
    <w:rsid w:val="00BE5D43"/>
    <w:rsid w:val="00C53AC1"/>
    <w:rsid w:val="00D25225"/>
    <w:rsid w:val="00DD0319"/>
    <w:rsid w:val="00E33CFB"/>
    <w:rsid w:val="00EE0B13"/>
    <w:rsid w:val="00EF148A"/>
    <w:rsid w:val="00FC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CFA2C1CCA48BEA849E207DEF19208">
    <w:name w:val="CD2CFA2C1CCA48BEA849E207DEF19208"/>
    <w:rsid w:val="00BB1C0E"/>
  </w:style>
  <w:style w:type="paragraph" w:customStyle="1" w:styleId="10A22AE9A21948A9A7DE5A67191A6439">
    <w:name w:val="10A22AE9A21948A9A7DE5A67191A6439"/>
    <w:rsid w:val="00BB1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36CD-C929-4703-8A8C-C63E81F92F1A}"/>
</file>

<file path=customXml/itemProps2.xml><?xml version="1.0" encoding="utf-8"?>
<ds:datastoreItem xmlns:ds="http://schemas.openxmlformats.org/officeDocument/2006/customXml" ds:itemID="{C73F344C-6C59-4998-99DE-41CF91A643E7}">
  <ds:schemaRefs>
    <ds:schemaRef ds:uri="http://schemas.microsoft.com/sharepoint/v3/contenttype/forms"/>
  </ds:schemaRefs>
</ds:datastoreItem>
</file>

<file path=customXml/itemProps3.xml><?xml version="1.0" encoding="utf-8"?>
<ds:datastoreItem xmlns:ds="http://schemas.openxmlformats.org/officeDocument/2006/customXml" ds:itemID="{BBCCAEA9-698F-4B57-86E6-305812213A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284FA3-3078-4D6A-AFED-F0CBCB67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Consultancy and Commercial Activity Framework Guidance</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and Commercial Activity Framework Guidance</dc:title>
  <dc:subject>Full guidance for the development of consultancy and commercial activity and requesting associated incentives</dc:subject>
  <dc:creator>Jamieson, Georgina</dc:creator>
  <cp:keywords/>
  <dc:description/>
  <cp:lastModifiedBy>Burdge, Matthew</cp:lastModifiedBy>
  <cp:revision>2</cp:revision>
  <dcterms:created xsi:type="dcterms:W3CDTF">2022-05-19T09:28:00Z</dcterms:created>
  <dcterms:modified xsi:type="dcterms:W3CDTF">2022-05-19T09:28:00Z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