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9B" w:rsidRPr="007720D5" w:rsidRDefault="00DF6E50" w:rsidP="007720D5">
      <w:pPr>
        <w:jc w:val="center"/>
        <w:rPr>
          <w:rFonts w:ascii="Arial" w:hAnsi="Arial" w:cs="Arial"/>
          <w:b/>
          <w:sz w:val="24"/>
          <w:szCs w:val="24"/>
        </w:rPr>
      </w:pPr>
      <w:r w:rsidRPr="007720D5">
        <w:rPr>
          <w:rFonts w:ascii="Arial" w:hAnsi="Arial" w:cs="Arial"/>
          <w:b/>
          <w:sz w:val="24"/>
          <w:szCs w:val="24"/>
        </w:rPr>
        <w:t>PROFESSIONAL SERVICES SATISFACTION SURVEY</w:t>
      </w:r>
    </w:p>
    <w:p w:rsidR="00DF6E50" w:rsidRPr="007720D5" w:rsidRDefault="00F32A96" w:rsidP="00772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FINANCE, PLANNING &amp; COMMERCIAL SERVICES</w:t>
      </w:r>
    </w:p>
    <w:p w:rsidR="00DF6E50" w:rsidRPr="007720D5" w:rsidRDefault="00F32A96" w:rsidP="00772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DF6E50" w:rsidRPr="007720D5">
        <w:rPr>
          <w:rFonts w:ascii="Arial" w:hAnsi="Arial" w:cs="Arial"/>
          <w:b/>
          <w:sz w:val="24"/>
          <w:szCs w:val="24"/>
        </w:rPr>
        <w:t xml:space="preserve"> 2013</w:t>
      </w:r>
    </w:p>
    <w:p w:rsidR="00DF6E50" w:rsidRPr="007720D5" w:rsidRDefault="00E72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Finance, Planning &amp; Commercial Services, which by name alone, shows the broad range of activities under its umbrella, are a team all working together to provide a service to our customers through efficient, proactive, knowledgeable, approachable staff at all levels.  We discussed and </w:t>
      </w:r>
      <w:r w:rsidR="00364E01">
        <w:rPr>
          <w:rFonts w:ascii="Arial" w:hAnsi="Arial" w:cs="Arial"/>
          <w:sz w:val="24"/>
          <w:szCs w:val="24"/>
        </w:rPr>
        <w:t>have considered</w:t>
      </w:r>
      <w:r>
        <w:rPr>
          <w:rFonts w:ascii="Arial" w:hAnsi="Arial" w:cs="Arial"/>
          <w:sz w:val="24"/>
          <w:szCs w:val="24"/>
        </w:rPr>
        <w:t xml:space="preserve"> the content of the </w:t>
      </w:r>
      <w:r w:rsidR="00DF6E50" w:rsidRPr="007720D5">
        <w:rPr>
          <w:rFonts w:ascii="Arial" w:hAnsi="Arial" w:cs="Arial"/>
          <w:sz w:val="24"/>
          <w:szCs w:val="24"/>
        </w:rPr>
        <w:t>2011/12 Professional Services Satisfaction Survey</w:t>
      </w:r>
      <w:r w:rsidR="00F32A96">
        <w:rPr>
          <w:rFonts w:ascii="Arial" w:hAnsi="Arial" w:cs="Arial"/>
          <w:sz w:val="24"/>
          <w:szCs w:val="24"/>
        </w:rPr>
        <w:t xml:space="preserve"> in tandem with the results from the employee engagement action plan, the IiP work and </w:t>
      </w:r>
      <w:r w:rsidR="003355D8">
        <w:rPr>
          <w:rFonts w:ascii="Arial" w:hAnsi="Arial" w:cs="Arial"/>
          <w:sz w:val="24"/>
          <w:szCs w:val="24"/>
        </w:rPr>
        <w:t xml:space="preserve">the work on </w:t>
      </w:r>
      <w:r w:rsidR="00364E01">
        <w:rPr>
          <w:rFonts w:ascii="Arial" w:hAnsi="Arial" w:cs="Arial"/>
          <w:sz w:val="24"/>
          <w:szCs w:val="24"/>
        </w:rPr>
        <w:t>University values</w:t>
      </w:r>
      <w:r w:rsidR="00DF6E50" w:rsidRPr="007720D5">
        <w:rPr>
          <w:rFonts w:ascii="Arial" w:hAnsi="Arial" w:cs="Arial"/>
          <w:sz w:val="24"/>
          <w:szCs w:val="24"/>
        </w:rPr>
        <w:t xml:space="preserve">.  </w:t>
      </w:r>
    </w:p>
    <w:p w:rsidR="003355D8" w:rsidRDefault="00364E01" w:rsidP="0082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E4ACE">
        <w:rPr>
          <w:rFonts w:ascii="Arial" w:hAnsi="Arial" w:cs="Arial"/>
          <w:sz w:val="24"/>
          <w:szCs w:val="24"/>
        </w:rPr>
        <w:t xml:space="preserve"> Service Heads initial response to the survey results was very positive whilst recognising that there is always room for improvement and </w:t>
      </w:r>
      <w:r w:rsidR="003355D8">
        <w:rPr>
          <w:rFonts w:ascii="Arial" w:hAnsi="Arial" w:cs="Arial"/>
          <w:sz w:val="24"/>
          <w:szCs w:val="24"/>
        </w:rPr>
        <w:t xml:space="preserve">we </w:t>
      </w:r>
      <w:r w:rsidR="006E4ACE">
        <w:rPr>
          <w:rFonts w:ascii="Arial" w:hAnsi="Arial" w:cs="Arial"/>
          <w:sz w:val="24"/>
          <w:szCs w:val="24"/>
        </w:rPr>
        <w:t>understand th</w:t>
      </w:r>
      <w:r w:rsidR="003355D8">
        <w:rPr>
          <w:rFonts w:ascii="Arial" w:hAnsi="Arial" w:cs="Arial"/>
          <w:sz w:val="24"/>
          <w:szCs w:val="24"/>
        </w:rPr>
        <w:t>e</w:t>
      </w:r>
      <w:r w:rsidR="006E4ACE">
        <w:rPr>
          <w:rFonts w:ascii="Arial" w:hAnsi="Arial" w:cs="Arial"/>
          <w:sz w:val="24"/>
          <w:szCs w:val="24"/>
        </w:rPr>
        <w:t xml:space="preserve"> need to work </w:t>
      </w:r>
      <w:r w:rsidR="006E4ACE" w:rsidRPr="008524CD">
        <w:rPr>
          <w:rFonts w:ascii="Arial" w:hAnsi="Arial" w:cs="Arial"/>
          <w:sz w:val="24"/>
          <w:szCs w:val="24"/>
        </w:rPr>
        <w:t>effectively</w:t>
      </w:r>
      <w:r w:rsidR="006E4ACE" w:rsidRPr="00BE4FCD">
        <w:rPr>
          <w:rFonts w:ascii="Arial" w:hAnsi="Arial" w:cs="Arial"/>
          <w:color w:val="FF0000"/>
          <w:sz w:val="24"/>
          <w:szCs w:val="24"/>
        </w:rPr>
        <w:t xml:space="preserve"> </w:t>
      </w:r>
      <w:r w:rsidR="006E4ACE">
        <w:rPr>
          <w:rFonts w:ascii="Arial" w:hAnsi="Arial" w:cs="Arial"/>
          <w:sz w:val="24"/>
          <w:szCs w:val="24"/>
        </w:rPr>
        <w:t xml:space="preserve">together resulting in a more unified </w:t>
      </w:r>
      <w:r w:rsidR="008524CD">
        <w:rPr>
          <w:rFonts w:ascii="Arial" w:hAnsi="Arial" w:cs="Arial"/>
          <w:sz w:val="24"/>
          <w:szCs w:val="24"/>
        </w:rPr>
        <w:t>and cogent service.</w:t>
      </w:r>
      <w:r w:rsidR="006E4ACE">
        <w:rPr>
          <w:rFonts w:ascii="Arial" w:hAnsi="Arial" w:cs="Arial"/>
          <w:sz w:val="24"/>
          <w:szCs w:val="24"/>
        </w:rPr>
        <w:t xml:space="preserve"> </w:t>
      </w:r>
    </w:p>
    <w:p w:rsidR="006D4F4E" w:rsidRDefault="006E4ACE" w:rsidP="006D4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4F4E">
        <w:rPr>
          <w:rFonts w:ascii="Arial" w:hAnsi="Arial" w:cs="Arial"/>
          <w:sz w:val="24"/>
          <w:szCs w:val="24"/>
        </w:rPr>
        <w:t>Overall we are</w:t>
      </w:r>
      <w:r w:rsidR="003355D8">
        <w:rPr>
          <w:rFonts w:ascii="Arial" w:hAnsi="Arial" w:cs="Arial"/>
          <w:sz w:val="24"/>
          <w:szCs w:val="24"/>
        </w:rPr>
        <w:t xml:space="preserve"> </w:t>
      </w:r>
      <w:r w:rsidR="006D4F4E">
        <w:rPr>
          <w:rFonts w:ascii="Arial" w:hAnsi="Arial" w:cs="Arial"/>
          <w:sz w:val="24"/>
          <w:szCs w:val="24"/>
        </w:rPr>
        <w:t>pleased</w:t>
      </w:r>
      <w:r w:rsidR="003355D8">
        <w:rPr>
          <w:rFonts w:ascii="Arial" w:hAnsi="Arial" w:cs="Arial"/>
          <w:sz w:val="24"/>
          <w:szCs w:val="24"/>
        </w:rPr>
        <w:t xml:space="preserve"> with the feedback </w:t>
      </w:r>
      <w:r w:rsidR="006D4F4E">
        <w:rPr>
          <w:rFonts w:ascii="Arial" w:hAnsi="Arial" w:cs="Arial"/>
          <w:sz w:val="24"/>
          <w:szCs w:val="24"/>
        </w:rPr>
        <w:t>which showed</w:t>
      </w:r>
      <w:r w:rsidR="009A35CA">
        <w:rPr>
          <w:rFonts w:ascii="Arial" w:hAnsi="Arial" w:cs="Arial"/>
          <w:sz w:val="24"/>
          <w:szCs w:val="24"/>
        </w:rPr>
        <w:t xml:space="preserve"> that we are: </w:t>
      </w:r>
      <w:r w:rsidR="006D4F4E">
        <w:rPr>
          <w:rFonts w:ascii="Arial" w:hAnsi="Arial" w:cs="Arial"/>
          <w:sz w:val="24"/>
          <w:szCs w:val="24"/>
        </w:rPr>
        <w:t xml:space="preserve"> </w:t>
      </w:r>
    </w:p>
    <w:p w:rsidR="003355D8" w:rsidRDefault="006D4F4E" w:rsidP="006D4F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Efficient, willing staff</w:t>
      </w:r>
    </w:p>
    <w:p w:rsidR="006D4F4E" w:rsidRDefault="006D4F4E" w:rsidP="006D4F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Helpful and attentive to students</w:t>
      </w:r>
    </w:p>
    <w:p w:rsidR="006D4F4E" w:rsidRDefault="006D4F4E" w:rsidP="006D4F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Responsive and informative </w:t>
      </w:r>
    </w:p>
    <w:p w:rsidR="006D4F4E" w:rsidRDefault="006D4F4E" w:rsidP="006D4F4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Easy to find information on intranet </w:t>
      </w:r>
    </w:p>
    <w:p w:rsidR="006D4F4E" w:rsidRDefault="006D4F4E" w:rsidP="006D4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acknowledged that from the findings </w:t>
      </w:r>
      <w:r w:rsidR="009A35CA">
        <w:rPr>
          <w:rFonts w:ascii="Arial" w:hAnsi="Arial" w:cs="Arial"/>
          <w:sz w:val="24"/>
          <w:szCs w:val="24"/>
        </w:rPr>
        <w:t xml:space="preserve">of the survey </w:t>
      </w:r>
      <w:r>
        <w:rPr>
          <w:rFonts w:ascii="Arial" w:hAnsi="Arial" w:cs="Arial"/>
          <w:sz w:val="24"/>
          <w:szCs w:val="24"/>
        </w:rPr>
        <w:t>we have opportunities to improve our service and build on the above statements such as:</w:t>
      </w:r>
    </w:p>
    <w:p w:rsidR="006D4F4E" w:rsidRDefault="006D4F4E" w:rsidP="006D4F4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to review</w:t>
      </w:r>
      <w:r w:rsidR="00BE4FCD">
        <w:rPr>
          <w:rFonts w:ascii="Arial" w:hAnsi="Arial" w:cs="Arial"/>
          <w:sz w:val="24"/>
          <w:szCs w:val="24"/>
        </w:rPr>
        <w:t xml:space="preserve"> and streamline</w:t>
      </w:r>
      <w:r>
        <w:rPr>
          <w:rFonts w:ascii="Arial" w:hAnsi="Arial" w:cs="Arial"/>
          <w:sz w:val="24"/>
          <w:szCs w:val="24"/>
        </w:rPr>
        <w:t xml:space="preserve"> our processes and forms</w:t>
      </w:r>
    </w:p>
    <w:p w:rsidR="006D4F4E" w:rsidRDefault="006D4F4E" w:rsidP="006D4F4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to work with our colleagues in other Services and Faculties to improve systems and procedures</w:t>
      </w:r>
      <w:r w:rsidR="009A35CA">
        <w:rPr>
          <w:rFonts w:ascii="Arial" w:hAnsi="Arial" w:cs="Arial"/>
          <w:sz w:val="24"/>
          <w:szCs w:val="24"/>
        </w:rPr>
        <w:t>.</w:t>
      </w:r>
    </w:p>
    <w:p w:rsidR="003355D8" w:rsidRDefault="006D4F4E" w:rsidP="003355D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146C">
        <w:rPr>
          <w:rFonts w:ascii="Arial" w:hAnsi="Arial" w:cs="Arial"/>
          <w:sz w:val="24"/>
          <w:szCs w:val="24"/>
        </w:rPr>
        <w:t>The need to refresh our approach to customer service.</w:t>
      </w:r>
    </w:p>
    <w:p w:rsidR="007720D5" w:rsidRPr="007720D5" w:rsidRDefault="00B9146C" w:rsidP="0077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72BF4">
        <w:rPr>
          <w:rFonts w:ascii="Arial" w:hAnsi="Arial" w:cs="Arial"/>
          <w:sz w:val="24"/>
          <w:szCs w:val="24"/>
        </w:rPr>
        <w:t>noted points</w:t>
      </w:r>
      <w:r>
        <w:rPr>
          <w:rFonts w:ascii="Arial" w:hAnsi="Arial" w:cs="Arial"/>
          <w:sz w:val="24"/>
          <w:szCs w:val="24"/>
        </w:rPr>
        <w:t xml:space="preserve"> are a</w:t>
      </w:r>
      <w:r w:rsidR="000161AB">
        <w:rPr>
          <w:rFonts w:ascii="Arial" w:hAnsi="Arial" w:cs="Arial"/>
          <w:sz w:val="24"/>
          <w:szCs w:val="24"/>
        </w:rPr>
        <w:t xml:space="preserve"> base</w:t>
      </w:r>
      <w:r>
        <w:rPr>
          <w:rFonts w:ascii="Arial" w:hAnsi="Arial" w:cs="Arial"/>
          <w:sz w:val="24"/>
          <w:szCs w:val="24"/>
        </w:rPr>
        <w:t xml:space="preserve"> for us to take on board all </w:t>
      </w:r>
      <w:r w:rsidR="00072BF4">
        <w:rPr>
          <w:rFonts w:ascii="Arial" w:hAnsi="Arial" w:cs="Arial"/>
          <w:sz w:val="24"/>
          <w:szCs w:val="24"/>
        </w:rPr>
        <w:t>comments and observations</w:t>
      </w:r>
      <w:r w:rsidRPr="00072BF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whilst not forgetting </w:t>
      </w:r>
      <w:r w:rsidR="008524CD">
        <w:rPr>
          <w:rFonts w:ascii="Arial" w:hAnsi="Arial" w:cs="Arial"/>
          <w:sz w:val="24"/>
          <w:szCs w:val="24"/>
        </w:rPr>
        <w:t xml:space="preserve">to recognise </w:t>
      </w:r>
      <w:r>
        <w:rPr>
          <w:rFonts w:ascii="Arial" w:hAnsi="Arial" w:cs="Arial"/>
          <w:sz w:val="24"/>
          <w:szCs w:val="24"/>
        </w:rPr>
        <w:t xml:space="preserve">our own staff </w:t>
      </w:r>
      <w:r w:rsidR="008524CD">
        <w:rPr>
          <w:rFonts w:ascii="Arial" w:hAnsi="Arial" w:cs="Arial"/>
          <w:sz w:val="24"/>
          <w:szCs w:val="24"/>
        </w:rPr>
        <w:t>by encouraging contribution, recogn</w:t>
      </w:r>
      <w:r w:rsidR="00072BF4">
        <w:rPr>
          <w:rFonts w:ascii="Arial" w:hAnsi="Arial" w:cs="Arial"/>
          <w:sz w:val="24"/>
          <w:szCs w:val="24"/>
        </w:rPr>
        <w:t>ising</w:t>
      </w:r>
      <w:r w:rsidR="008524CD">
        <w:rPr>
          <w:rFonts w:ascii="Arial" w:hAnsi="Arial" w:cs="Arial"/>
          <w:sz w:val="24"/>
          <w:szCs w:val="24"/>
        </w:rPr>
        <w:t xml:space="preserve"> achievements and success thus giving a sense of ownership and pride in working for the University.</w:t>
      </w:r>
    </w:p>
    <w:p w:rsidR="0075526E" w:rsidRDefault="007720D5" w:rsidP="00FE234E">
      <w:pPr>
        <w:rPr>
          <w:rFonts w:ascii="Arial" w:hAnsi="Arial" w:cs="Arial"/>
          <w:sz w:val="24"/>
          <w:szCs w:val="24"/>
        </w:rPr>
      </w:pPr>
      <w:r w:rsidRPr="007720D5">
        <w:rPr>
          <w:rFonts w:ascii="Arial" w:hAnsi="Arial" w:cs="Arial"/>
          <w:sz w:val="24"/>
          <w:szCs w:val="24"/>
        </w:rPr>
        <w:t xml:space="preserve">As a department, we are committed to </w:t>
      </w:r>
      <w:r w:rsidR="00072BF4">
        <w:rPr>
          <w:rFonts w:ascii="Arial" w:hAnsi="Arial" w:cs="Arial"/>
          <w:sz w:val="24"/>
          <w:szCs w:val="24"/>
        </w:rPr>
        <w:t>continuous improvement benefiting all our customers as well as the staff within the department</w:t>
      </w:r>
      <w:r w:rsidR="000161AB">
        <w:rPr>
          <w:rFonts w:ascii="Arial" w:hAnsi="Arial" w:cs="Arial"/>
          <w:sz w:val="24"/>
          <w:szCs w:val="24"/>
        </w:rPr>
        <w:t>. W</w:t>
      </w:r>
      <w:r w:rsidR="00072BF4">
        <w:rPr>
          <w:rFonts w:ascii="Arial" w:hAnsi="Arial" w:cs="Arial"/>
          <w:sz w:val="24"/>
          <w:szCs w:val="24"/>
        </w:rPr>
        <w:t xml:space="preserve">e value the </w:t>
      </w:r>
      <w:r w:rsidR="003A7737">
        <w:rPr>
          <w:rFonts w:ascii="Arial" w:hAnsi="Arial" w:cs="Arial"/>
          <w:sz w:val="24"/>
          <w:szCs w:val="24"/>
        </w:rPr>
        <w:t xml:space="preserve">feedback and have shown in our action plan the first steps towards achieving </w:t>
      </w:r>
      <w:r w:rsidR="000161AB">
        <w:rPr>
          <w:rFonts w:ascii="Arial" w:hAnsi="Arial" w:cs="Arial"/>
          <w:sz w:val="24"/>
          <w:szCs w:val="24"/>
        </w:rPr>
        <w:t>a more responsive, interactive and supportive service.</w:t>
      </w:r>
    </w:p>
    <w:p w:rsidR="00DF533A" w:rsidRDefault="0075526E" w:rsidP="00BC79F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C79FE">
        <w:rPr>
          <w:rFonts w:ascii="Arial" w:hAnsi="Arial" w:cs="Arial"/>
          <w:b/>
          <w:sz w:val="24"/>
          <w:szCs w:val="24"/>
        </w:rPr>
        <w:t>Lynne Smith</w:t>
      </w:r>
    </w:p>
    <w:p w:rsidR="00DF533A" w:rsidRDefault="0075526E" w:rsidP="00BC79F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C79FE">
        <w:rPr>
          <w:rFonts w:ascii="Arial" w:hAnsi="Arial" w:cs="Arial"/>
          <w:b/>
          <w:sz w:val="24"/>
          <w:szCs w:val="24"/>
        </w:rPr>
        <w:t>Operations Support Manager</w:t>
      </w:r>
    </w:p>
    <w:p w:rsidR="0075526E" w:rsidRPr="00BC79FE" w:rsidRDefault="0075526E" w:rsidP="00BC79F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C79FE">
        <w:rPr>
          <w:rFonts w:ascii="Arial" w:hAnsi="Arial" w:cs="Arial"/>
          <w:b/>
          <w:sz w:val="24"/>
          <w:szCs w:val="24"/>
        </w:rPr>
        <w:t xml:space="preserve"> on behalf of</w:t>
      </w:r>
    </w:p>
    <w:p w:rsidR="0075526E" w:rsidRPr="00BC79FE" w:rsidRDefault="0075526E" w:rsidP="00BC79F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C79FE">
        <w:rPr>
          <w:rFonts w:ascii="Arial" w:hAnsi="Arial" w:cs="Arial"/>
          <w:b/>
          <w:sz w:val="24"/>
          <w:szCs w:val="24"/>
        </w:rPr>
        <w:t>Colin MacDonald</w:t>
      </w:r>
      <w:r w:rsidR="00BC79FE" w:rsidRPr="00BC79FE">
        <w:rPr>
          <w:rFonts w:ascii="Arial" w:hAnsi="Arial" w:cs="Arial"/>
          <w:b/>
          <w:sz w:val="24"/>
          <w:szCs w:val="24"/>
        </w:rPr>
        <w:t xml:space="preserve">, </w:t>
      </w:r>
      <w:r w:rsidRPr="00BC79FE">
        <w:rPr>
          <w:rFonts w:ascii="Arial" w:hAnsi="Arial" w:cs="Arial"/>
          <w:b/>
          <w:sz w:val="24"/>
          <w:szCs w:val="24"/>
        </w:rPr>
        <w:t>Acting Finance Director</w:t>
      </w:r>
    </w:p>
    <w:p w:rsidR="0075526E" w:rsidRPr="00BC79FE" w:rsidRDefault="0075526E" w:rsidP="0075526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C79FE">
        <w:rPr>
          <w:rFonts w:ascii="Arial" w:hAnsi="Arial" w:cs="Arial"/>
          <w:b/>
          <w:sz w:val="24"/>
          <w:szCs w:val="24"/>
        </w:rPr>
        <w:t>Finance, Planning &amp; Commercial Services</w:t>
      </w:r>
    </w:p>
    <w:p w:rsidR="00FE234E" w:rsidRPr="00BC79FE" w:rsidRDefault="0075526E" w:rsidP="00FE234E">
      <w:pPr>
        <w:rPr>
          <w:rFonts w:ascii="Arial" w:hAnsi="Arial" w:cs="Arial"/>
          <w:sz w:val="24"/>
          <w:szCs w:val="24"/>
        </w:rPr>
      </w:pP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Pr="00BC79FE">
        <w:rPr>
          <w:rFonts w:ascii="Arial" w:hAnsi="Arial" w:cs="Arial"/>
          <w:b/>
          <w:sz w:val="24"/>
          <w:szCs w:val="24"/>
        </w:rPr>
        <w:tab/>
      </w:r>
      <w:r w:rsidR="00BC79FE">
        <w:rPr>
          <w:rFonts w:ascii="Arial" w:hAnsi="Arial" w:cs="Arial"/>
          <w:b/>
          <w:sz w:val="24"/>
          <w:szCs w:val="24"/>
        </w:rPr>
        <w:t xml:space="preserve">  </w:t>
      </w:r>
      <w:r w:rsidRPr="00BC79FE">
        <w:rPr>
          <w:rFonts w:ascii="Arial" w:hAnsi="Arial" w:cs="Arial"/>
          <w:b/>
          <w:sz w:val="24"/>
          <w:szCs w:val="24"/>
        </w:rPr>
        <w:t xml:space="preserve"> 22 March 2013</w:t>
      </w:r>
    </w:p>
    <w:p w:rsidR="00FE234E" w:rsidRDefault="00FE234E">
      <w:r>
        <w:br w:type="page"/>
      </w:r>
    </w:p>
    <w:p w:rsidR="00FE234E" w:rsidRDefault="00FE234E">
      <w:pPr>
        <w:sectPr w:rsidR="00FE234E" w:rsidSect="00FE234E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</w:p>
    <w:tbl>
      <w:tblPr>
        <w:tblW w:w="15038" w:type="dxa"/>
        <w:tblInd w:w="-318" w:type="dxa"/>
        <w:tblLook w:val="04A0" w:firstRow="1" w:lastRow="0" w:firstColumn="1" w:lastColumn="0" w:noHBand="0" w:noVBand="1"/>
      </w:tblPr>
      <w:tblGrid>
        <w:gridCol w:w="4679"/>
        <w:gridCol w:w="1360"/>
        <w:gridCol w:w="1980"/>
        <w:gridCol w:w="1720"/>
        <w:gridCol w:w="5299"/>
      </w:tblGrid>
      <w:tr w:rsidR="004C1D5D" w:rsidRPr="00FA71FC" w:rsidTr="006D3508">
        <w:trPr>
          <w:trHeight w:val="315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</w:t>
            </w: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ROFESSIONAL SERVICES ACTION PLAN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315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 PERIOD OF: CALENDAR YEAR 2013</w:t>
            </w:r>
          </w:p>
        </w:tc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AREA: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FINANCE, PLANNING &amp; COMMERCIAL SERVICES</w:t>
            </w:r>
          </w:p>
        </w:tc>
      </w:tr>
      <w:tr w:rsidR="004C1D5D" w:rsidRPr="00FA71FC" w:rsidTr="006D3508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52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PRIORITY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 BE ACTIONED BY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DATE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(impact of effectiveness of actions)</w:t>
            </w:r>
          </w:p>
        </w:tc>
      </w:tr>
      <w:tr w:rsidR="004C1D5D" w:rsidRPr="00FA71FC" w:rsidTr="006D3508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C1D5D" w:rsidRPr="00FA71FC" w:rsidTr="006D3508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Contact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two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 who have raised specific issues regarding the service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Procurement/ Treasury &amp; Transactions Manager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positive reaction to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a greater understanding of processes. The second issue was not directly Finance, Planning &amp; Commercial Services related, however a proposed solution was put forward to be discussed with the areas concerned.</w:t>
            </w:r>
          </w:p>
        </w:tc>
      </w:tr>
      <w:tr w:rsidR="004C1D5D" w:rsidRPr="00FA71FC" w:rsidTr="006D3508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positive feedback to specific individuals and teams who have been mentioned in the Survey.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Heads of Department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22/02/2013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IiP framework and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employee engagement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areas of reward and recognition, involvement and empowerment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people management strategy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1D5D" w:rsidRPr="00FA71FC" w:rsidTr="006D3508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Continuous improvement of website 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 of Systems &amp; Assurance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4B03E9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03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Availability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clear, concise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accurate information reduc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issues with failure to find information or guidance therefor reducing staff queries.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Continue to build relationships and understanding of service areas and faculties needs and requirements through tailored forums, user groups, roadshows and regular meetings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Heads of Department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Strengthening understanding and relationships between Finance, Planning &amp; Commercial Services and its customers.</w:t>
            </w:r>
          </w:p>
        </w:tc>
      </w:tr>
      <w:tr w:rsidR="004C1D5D" w:rsidRPr="00FA71FC" w:rsidTr="006D3508">
        <w:trPr>
          <w:trHeight w:val="7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dissemination of information from PEG and other groups and committees to relevant staff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Acting Director of Finance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Increased awareness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amongst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Finance, Planning &amp; Commercial Services staff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1D5D" w:rsidRPr="00FA71FC" w:rsidTr="006D3508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Systems &amp; processes.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C1D5D" w:rsidRPr="00FA71FC" w:rsidTr="006D3508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Accelerated use of SharePoint</w:t>
            </w: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Treasury &amp; Transactions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Streamline processes of shared functions across the University avoiding unnecessary duplication and ensuring data is relevant, accurate and current. </w:t>
            </w: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55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PRIORITY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 BE ACTIONED BY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DATE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(impact of effectiveness of actions)</w:t>
            </w:r>
          </w:p>
        </w:tc>
      </w:tr>
      <w:tr w:rsidR="004C1D5D" w:rsidRPr="00FA71FC" w:rsidTr="006D3508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 of Treasury &amp; Transactions procedures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Treasury &amp; Transactions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Streamlining the Treasury &amp; Transaction procedures ensuring staff have a full clear understanding of our procedures thus giving a more effective service to our customers.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Streamline US Loans procedures</w:t>
            </w: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Treasury &amp; Transactions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627B31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01/07/2013</w:t>
            </w:r>
            <w:bookmarkStart w:id="0" w:name="_GoBack"/>
            <w:bookmarkEnd w:id="0"/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Improving administration service for Finance, Planning &amp; Commercial Services, Student and Academic Services and students.</w:t>
            </w: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6D3508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Student services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C1D5D" w:rsidRPr="00FA71FC" w:rsidTr="006D3508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Respond to comments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regarding staffing levels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627B31" w:rsidP="00627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Treasury &amp; Transactions Manager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27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</w:t>
            </w:r>
            <w:r w:rsidR="00627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Introduce multitasking within Treasury &amp; Transactions enabling certain tasks to be completed by other teams during a quieter period whilst maintaining an excellent standard of service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1D5D" w:rsidRPr="00FA71FC" w:rsidTr="006D3508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 all written correspondence to students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627B31" w:rsidP="00627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Treasury &amp; Transactions Manager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27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</w:t>
            </w:r>
            <w:r w:rsidR="00627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Increase understanding of the impact on the student of content i.e. debt cycle letters.</w:t>
            </w:r>
          </w:p>
        </w:tc>
      </w:tr>
      <w:tr w:rsidR="004C1D5D" w:rsidRPr="00FA71FC" w:rsidTr="006D3508">
        <w:trPr>
          <w:trHeight w:val="13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Continue to improve relationship with ISAS</w:t>
            </w:r>
          </w:p>
          <w:p w:rsidR="004C1D5D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Treasury &amp; Transactions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Ongoing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Referral of students at early stages of financial difficulties to negotiate and customise a revised and acceptable payment plan. </w:t>
            </w:r>
          </w:p>
        </w:tc>
      </w:tr>
      <w:tr w:rsidR="004C1D5D" w:rsidRPr="00FA71FC" w:rsidTr="006D3508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4C1D5D" w:rsidRPr="00FA71FC" w:rsidRDefault="004C1D5D" w:rsidP="006D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C1D5D" w:rsidRPr="00FA71FC" w:rsidTr="006D3508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Finance, Planning &amp; Commercial Services staff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 and contribute to a customer service training event</w:t>
            </w:r>
            <w:r w:rsidR="008E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Acting Finance Director &amp; 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Department</w:t>
            </w:r>
            <w:r w:rsidR="008E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Enhance the customer experience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both internally and externally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1D5D" w:rsidRPr="00FA71FC" w:rsidTr="006D3508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5D" w:rsidRPr="00FA71FC" w:rsidTr="00E40593">
        <w:trPr>
          <w:trHeight w:val="7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E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1D5D" w:rsidRPr="00FA71FC" w:rsidRDefault="004C1D5D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40593" w:rsidRPr="00FA71FC" w:rsidTr="00E40593">
        <w:trPr>
          <w:trHeight w:val="72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Reinstatement of Customer Focus Group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staff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DF5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8E0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Allowing all staff to contribute to </w:t>
            </w:r>
            <w:r w:rsidR="008E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continuous improvements,  effectiveness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E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reputation of the department</w:t>
            </w:r>
          </w:p>
        </w:tc>
      </w:tr>
      <w:tr w:rsidR="00E40593" w:rsidRPr="00FA71FC" w:rsidTr="00E40593">
        <w:trPr>
          <w:trHeight w:val="91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DF5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Initiation of a social group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6D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staff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DF53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0593" w:rsidRPr="00FA71FC" w:rsidRDefault="00DF533A" w:rsidP="00DF5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Initially giving the professional services staff based at Sighthill to attend social events outwith the working environment </w:t>
            </w:r>
          </w:p>
        </w:tc>
      </w:tr>
    </w:tbl>
    <w:p w:rsidR="00FE234E" w:rsidRDefault="00FE234E" w:rsidP="004C1D5D"/>
    <w:tbl>
      <w:tblPr>
        <w:tblW w:w="15038" w:type="dxa"/>
        <w:tblInd w:w="-318" w:type="dxa"/>
        <w:tblLook w:val="04A0" w:firstRow="1" w:lastRow="0" w:firstColumn="1" w:lastColumn="0" w:noHBand="0" w:noVBand="1"/>
      </w:tblPr>
      <w:tblGrid>
        <w:gridCol w:w="4679"/>
        <w:gridCol w:w="1360"/>
        <w:gridCol w:w="1980"/>
        <w:gridCol w:w="1720"/>
        <w:gridCol w:w="5299"/>
      </w:tblGrid>
      <w:tr w:rsidR="00FA71FC" w:rsidRPr="00FA71FC" w:rsidTr="007A07C8">
        <w:trPr>
          <w:trHeight w:val="315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71FC" w:rsidRPr="00FA71FC" w:rsidTr="007A07C8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F6E50" w:rsidRDefault="00DF6E50" w:rsidP="00FE234E">
      <w:pPr>
        <w:spacing w:after="0"/>
      </w:pPr>
    </w:p>
    <w:sectPr w:rsidR="00DF6E50" w:rsidSect="00FE234E">
      <w:pgSz w:w="16838" w:h="11906" w:orient="landscape" w:code="9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D1E"/>
    <w:multiLevelType w:val="hybridMultilevel"/>
    <w:tmpl w:val="6DD8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D90"/>
    <w:multiLevelType w:val="hybridMultilevel"/>
    <w:tmpl w:val="4B6E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0C0D"/>
    <w:multiLevelType w:val="hybridMultilevel"/>
    <w:tmpl w:val="071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F32"/>
    <w:multiLevelType w:val="hybridMultilevel"/>
    <w:tmpl w:val="CBA2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16EA"/>
    <w:multiLevelType w:val="hybridMultilevel"/>
    <w:tmpl w:val="83A6EC3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CCC3830"/>
    <w:multiLevelType w:val="hybridMultilevel"/>
    <w:tmpl w:val="A3EC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7A9B"/>
    <w:multiLevelType w:val="hybridMultilevel"/>
    <w:tmpl w:val="A248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D6517"/>
    <w:multiLevelType w:val="hybridMultilevel"/>
    <w:tmpl w:val="BDD673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50"/>
    <w:rsid w:val="000161AB"/>
    <w:rsid w:val="00072BF4"/>
    <w:rsid w:val="000C7DF6"/>
    <w:rsid w:val="000E65EF"/>
    <w:rsid w:val="00141C6B"/>
    <w:rsid w:val="001F46C8"/>
    <w:rsid w:val="003355D8"/>
    <w:rsid w:val="00364E01"/>
    <w:rsid w:val="00373DDA"/>
    <w:rsid w:val="003A7737"/>
    <w:rsid w:val="004C1D5D"/>
    <w:rsid w:val="005B208E"/>
    <w:rsid w:val="00627B31"/>
    <w:rsid w:val="006D4F4E"/>
    <w:rsid w:val="006E4ACE"/>
    <w:rsid w:val="0075526E"/>
    <w:rsid w:val="007720D5"/>
    <w:rsid w:val="007A07C8"/>
    <w:rsid w:val="00827580"/>
    <w:rsid w:val="008524CD"/>
    <w:rsid w:val="008E0421"/>
    <w:rsid w:val="009A35CA"/>
    <w:rsid w:val="00AE3BCC"/>
    <w:rsid w:val="00B9146C"/>
    <w:rsid w:val="00BC3F4B"/>
    <w:rsid w:val="00BC79FE"/>
    <w:rsid w:val="00BE4FCD"/>
    <w:rsid w:val="00C26F2A"/>
    <w:rsid w:val="00C54F2F"/>
    <w:rsid w:val="00D6179B"/>
    <w:rsid w:val="00DF533A"/>
    <w:rsid w:val="00DF6E50"/>
    <w:rsid w:val="00E40593"/>
    <w:rsid w:val="00E72170"/>
    <w:rsid w:val="00F32A96"/>
    <w:rsid w:val="00FA71FC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customXml" Target="/customXml/item3.xml"/>
  <Relationship Id="rId11" Type="http://schemas.openxmlformats.org/officeDocument/2006/relationships/customXml" Target="/customXml/item4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openxmlformats.org/officeDocument/2006/relationships/customXml" Target="/customXml/item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29A19EF97464144BB4650B7C9EFA63F2" ma:contentTypeVersion="64" ma:contentTypeDescription="Create a Word document" ma:contentTypeScope="" ma:versionID="bca43cbd9072749ee232d73b57446d59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f1d489f3ebe9cca5ee24c12fbe6c427e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Finance, Planning &amp; Commercial Services Action Plan</Document_x0020_Description>
    <Document_x0020_Keywords xmlns="bb28dcf0-6583-49ba-818a-f06c35ca2650">professional services, client services, survey, report, Finance, Planning, Commercial Services, Action Plan</Document_x0020_Keywords>
  </documentManagement>
</p:properties>
</file>

<file path=customXml/itemProps1.xml><?xml version="1.0" encoding="utf-8"?>
<ds:datastoreItem xmlns:ds="http://schemas.openxmlformats.org/officeDocument/2006/customXml" ds:itemID="{AAF6CBAC-C591-4CCE-B63D-F84AFA26791D}"/>
</file>

<file path=customXml/itemProps2.xml><?xml version="1.0" encoding="utf-8"?>
<ds:datastoreItem xmlns:ds="http://schemas.openxmlformats.org/officeDocument/2006/customXml" ds:itemID="{7D873E1B-F2F6-47CA-86BE-2CBC2213783F}"/>
</file>

<file path=customXml/itemProps3.xml><?xml version="1.0" encoding="utf-8"?>
<ds:datastoreItem xmlns:ds="http://schemas.openxmlformats.org/officeDocument/2006/customXml" ds:itemID="{BD2CA767-B44E-4F7F-84DD-BB4B4366C73B}"/>
</file>

<file path=customXml/itemProps4.xml><?xml version="1.0" encoding="utf-8"?>
<ds:datastoreItem xmlns:ds="http://schemas.openxmlformats.org/officeDocument/2006/customXml" ds:itemID="{75A550BD-B0FF-434E-B4C2-354141B88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Finance, Planning &amp; Commercial Services Action Plan</dc:title>
  <dc:creator>Lambert, Cathy (Staff)</dc:creator>
  <cp:lastModifiedBy>Smith, Lynne</cp:lastModifiedBy>
  <cp:revision>4</cp:revision>
  <dcterms:created xsi:type="dcterms:W3CDTF">2013-03-22T09:31:00Z</dcterms:created>
  <dcterms:modified xsi:type="dcterms:W3CDTF">2013-03-22T10:35:00Z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0x0101004BFA728FF20B7540AEA5BB5A7DB5AE6A0029A19EF97464144BB4650B7C9EFA63F2</vt:lpwstr>
  </property>
</Properties>
</file>