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37" w:rsidRPr="007720D5" w:rsidRDefault="00A01837" w:rsidP="00A0183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20D5">
        <w:rPr>
          <w:rFonts w:ascii="Arial" w:hAnsi="Arial" w:cs="Arial"/>
          <w:b/>
          <w:sz w:val="24"/>
          <w:szCs w:val="24"/>
        </w:rPr>
        <w:t>PROFESSIONAL SERVICES SATISFACTION SURVEY</w:t>
      </w:r>
    </w:p>
    <w:p w:rsidR="00A01837" w:rsidRPr="007720D5" w:rsidRDefault="00A01837" w:rsidP="00A01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HUMAN RESOURCES AND DEVELOPMENT</w:t>
      </w:r>
    </w:p>
    <w:p w:rsidR="00A01837" w:rsidRPr="007720D5" w:rsidRDefault="00A01837" w:rsidP="00A01837">
      <w:pPr>
        <w:jc w:val="center"/>
        <w:rPr>
          <w:rFonts w:ascii="Arial" w:hAnsi="Arial" w:cs="Arial"/>
          <w:b/>
          <w:sz w:val="24"/>
          <w:szCs w:val="24"/>
        </w:rPr>
      </w:pPr>
      <w:r w:rsidRPr="007720D5">
        <w:rPr>
          <w:rFonts w:ascii="Arial" w:hAnsi="Arial" w:cs="Arial"/>
          <w:b/>
          <w:sz w:val="24"/>
          <w:szCs w:val="24"/>
        </w:rPr>
        <w:t>FEBRUARY 2013</w:t>
      </w:r>
    </w:p>
    <w:p w:rsidR="00E608E7" w:rsidRDefault="00E608E7" w:rsidP="00AA66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608E7" w:rsidRDefault="00E608E7" w:rsidP="00AA66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E608E7" w:rsidRDefault="00E608E7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E608E7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Human</w:t>
      </w:r>
      <w:r w:rsidR="006F698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</w:t>
      </w:r>
      <w:r w:rsid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Resources and Development</w:t>
      </w:r>
      <w:r w:rsidR="006F698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</w:t>
      </w:r>
      <w:r w:rsidR="00EA47D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comprises </w:t>
      </w:r>
      <w:r w:rsidR="006F698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six teams – Human Resources, Payroll, Systems, Corporate Learning &amp; Development, Academic Professional Development and Health and Safety.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APD joined Human Resources and Developmen</w:t>
      </w:r>
      <w:r w:rsidR="00EA47D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t in spring 2012 and it was </w:t>
      </w:r>
      <w:r w:rsid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felt that</w:t>
      </w:r>
      <w:r w:rsidR="00EA47D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some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customers may not</w:t>
      </w:r>
      <w:r w:rsid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yet be aware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that</w:t>
      </w:r>
      <w:r w:rsidR="00EA47D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this team was now part of HR and D.</w:t>
      </w: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The senior HR and D management team have carefully reviewed the feedback from the survey and other relevant information from sources such as th</w:t>
      </w:r>
      <w:r w:rsidR="00EA47D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e Employee Engagement Survey,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Investors i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n People and customer feedback from our own surveys.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We have generated the attached action plan, which links with our operational plan and 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other relevant documents. We discussed the difficulty in interpreting some of the feedback because it was not clear which part of the service was being referred to.</w:t>
      </w: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We were pleased 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with the 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view 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that 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overall </w:t>
      </w:r>
      <w:r w:rsidR="00E43DC8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the service is seen as professional and friendly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. Our action plan is int</w:t>
      </w:r>
      <w:r w:rsid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ended to build on our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strengths and opportunities and take action to improve the areas where the service has been perceived as weak.</w:t>
      </w:r>
    </w:p>
    <w:p w:rsidR="00600E7B" w:rsidRDefault="00600E7B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00E7B" w:rsidRDefault="00D4065A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In summary we will prioritise</w:t>
      </w:r>
      <w:r w:rsidR="00600E7B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</w:t>
      </w:r>
      <w:r w:rsidR="00BA6A0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the following:</w:t>
      </w:r>
    </w:p>
    <w:p w:rsidR="0098067F" w:rsidRDefault="0098067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00E7B" w:rsidRPr="0098067F" w:rsidRDefault="00600E7B" w:rsidP="009806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Enhancing </w:t>
      </w:r>
      <w:r w:rsidR="0098067F"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and</w:t>
      </w: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simplifying communication from </w:t>
      </w:r>
      <w:r w:rsidR="0098067F"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Human</w:t>
      </w: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Resources and Development.</w:t>
      </w:r>
    </w:p>
    <w:p w:rsidR="00600E7B" w:rsidRPr="0098067F" w:rsidRDefault="00D4065A" w:rsidP="009806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Continue</w:t>
      </w:r>
      <w:r w:rsidR="0098067F"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to enhance the use of HR Connect</w:t>
      </w:r>
    </w:p>
    <w:p w:rsidR="0098067F" w:rsidRPr="0098067F" w:rsidRDefault="0098067F" w:rsidP="009806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Monitor the consistency, accuracy and timeliness of responses to customer enquiries</w:t>
      </w:r>
    </w:p>
    <w:p w:rsidR="0098067F" w:rsidRDefault="0098067F" w:rsidP="009806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Continu</w:t>
      </w:r>
      <w:r w:rsidR="00D4065A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e</w:t>
      </w:r>
      <w:r w:rsidRPr="0098067F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to review our development provision as per existing procedures.</w:t>
      </w:r>
    </w:p>
    <w:p w:rsidR="00BA6A0D" w:rsidRPr="0098067F" w:rsidRDefault="00D4065A" w:rsidP="0098067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Continue</w:t>
      </w:r>
      <w:r w:rsidR="00BA6A0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to develop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the skills and knowledge of</w:t>
      </w:r>
      <w:r w:rsidR="00BA6A0D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our own staff to ensure that a professional and inclusive service is provided to all our customers.</w:t>
      </w:r>
    </w:p>
    <w:p w:rsidR="00600E7B" w:rsidRDefault="00600E7B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00E7B" w:rsidRDefault="00600E7B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00E7B" w:rsidRDefault="00BA6A0D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Margaret Cook</w:t>
      </w:r>
    </w:p>
    <w:p w:rsidR="00BA6A0D" w:rsidRDefault="00BA6A0D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Director of Human Resources and Development</w:t>
      </w:r>
    </w:p>
    <w:p w:rsidR="00BA6A0D" w:rsidRDefault="00BA6A0D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April 2013</w:t>
      </w: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F698F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6F698F" w:rsidRPr="00E608E7" w:rsidRDefault="006F698F" w:rsidP="00E608E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sectPr w:rsidR="006F698F" w:rsidRPr="00E608E7" w:rsidSect="00141C6B">
          <w:pgSz w:w="11906" w:h="16838" w:code="9"/>
          <w:pgMar w:top="1134" w:right="992" w:bottom="1134" w:left="1134" w:header="709" w:footer="709" w:gutter="0"/>
          <w:cols w:space="708"/>
          <w:docGrid w:linePitch="360"/>
        </w:sectPr>
      </w:pPr>
    </w:p>
    <w:tbl>
      <w:tblPr>
        <w:tblW w:w="15038" w:type="dxa"/>
        <w:tblInd w:w="-318" w:type="dxa"/>
        <w:tblLook w:val="04A0"/>
      </w:tblPr>
      <w:tblGrid>
        <w:gridCol w:w="4679"/>
        <w:gridCol w:w="1360"/>
        <w:gridCol w:w="1980"/>
        <w:gridCol w:w="1720"/>
        <w:gridCol w:w="5299"/>
      </w:tblGrid>
      <w:tr w:rsidR="00FA71FC" w:rsidRPr="00FA71FC" w:rsidTr="00FA71FC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PROFESSIONAL SERVICES ACTION PLAN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71FC" w:rsidRPr="00FA71FC" w:rsidTr="00FA71FC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71FC" w:rsidRPr="00FA71FC" w:rsidTr="00CF1E9A">
        <w:trPr>
          <w:trHeight w:val="315"/>
        </w:trPr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 PERIOD OF: CALENDAR YEAR 2013</w:t>
            </w:r>
          </w:p>
        </w:tc>
        <w:tc>
          <w:tcPr>
            <w:tcW w:w="8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AA6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AREA: </w:t>
            </w:r>
            <w:r w:rsidR="00AA66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Human Resources and Development</w:t>
            </w:r>
          </w:p>
        </w:tc>
      </w:tr>
      <w:tr w:rsidR="00FA71FC" w:rsidRPr="00FA71FC" w:rsidTr="00FA71FC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A71FC" w:rsidRPr="00FA71FC" w:rsidTr="00FA71FC">
        <w:trPr>
          <w:trHeight w:val="52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 BE ACTIONED BY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DATE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(impact of effectiveness of actions)</w:t>
            </w:r>
          </w:p>
        </w:tc>
      </w:tr>
      <w:tr w:rsidR="00FA71FC" w:rsidRPr="00FA71FC" w:rsidTr="00FA71FC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Communication</w:t>
            </w:r>
          </w:p>
          <w:p w:rsidR="00E95842" w:rsidRPr="00FA71FC" w:rsidRDefault="00E95842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CE4D47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Respond to specific issues raised by named individuals in the Report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CE4D47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CE4D47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HRD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CE4D47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05.04.13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satisfaction with response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that all information available on the HRD site is accurate, relevant and presented in an easily accessible</w:t>
            </w:r>
            <w:r w:rsidR="00AE2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manner</w:t>
            </w:r>
          </w:p>
          <w:p w:rsidR="001027D9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AF5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HRD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April 2013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feedback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Default="00CE4D47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Improve understan</w:t>
            </w:r>
            <w:r w:rsidR="00326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ding of roles/responsibilities between departmental staff and customers through appropriate focus</w:t>
            </w:r>
            <w:r w:rsidRPr="00FA7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groups, joint training e</w:t>
            </w:r>
            <w:r w:rsidR="00AE2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vents and regular communication</w:t>
            </w:r>
          </w:p>
          <w:p w:rsidR="001027D9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High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HRD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On-going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Reduce negative </w:t>
            </w:r>
            <w:r w:rsidR="00060A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feedback and confusion of roles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all services are delivered in an accurate, </w:t>
            </w:r>
            <w:r w:rsidR="00AE2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consistent and effective manner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HRD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2610D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Initial review end May, then on-going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4780B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Reduce customer concerns</w:t>
            </w:r>
          </w:p>
        </w:tc>
      </w:tr>
      <w:tr w:rsidR="00FA71FC" w:rsidRPr="00FA71FC" w:rsidTr="00FA71FC">
        <w:trPr>
          <w:trHeight w:val="78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4780B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Undertake road shows on ‘what can HRD do you for?’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4780B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Medium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98067F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</w:t>
            </w:r>
            <w:r w:rsidR="0034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Director</w:t>
            </w:r>
            <w:r w:rsidR="00102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of HRD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34780B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Autumn 2013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Positive feedback</w:t>
            </w:r>
          </w:p>
        </w:tc>
      </w:tr>
      <w:tr w:rsidR="00FA71FC" w:rsidRPr="00FA71FC" w:rsidTr="001027D9">
        <w:trPr>
          <w:trHeight w:val="97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all communications are in ‘plain English’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AE241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4D52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edium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managers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On-going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Positive feedback</w:t>
            </w:r>
          </w:p>
        </w:tc>
      </w:tr>
      <w:tr w:rsidR="00FA71FC" w:rsidRPr="00FA71FC" w:rsidTr="00FA71FC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Systems &amp; processes.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Continue development in relation to HR Connect as per the implementation plan</w:t>
            </w:r>
            <w:r w:rsidR="00102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:rsidR="001027D9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027D9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027D9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027D9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027D9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AE241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  <w:r w:rsidR="004D52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Depute Director of HRD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per plan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Positive customer feedback</w:t>
            </w:r>
          </w:p>
        </w:tc>
      </w:tr>
      <w:tr w:rsidR="00FA71FC" w:rsidRPr="00FA71FC" w:rsidTr="00FA71FC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A71FC" w:rsidRPr="00FA71FC" w:rsidRDefault="00FA71FC" w:rsidP="00E24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A71FC" w:rsidRPr="00FA71FC" w:rsidRDefault="00FA71FC" w:rsidP="00E24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PRIORITY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A71FC" w:rsidRPr="00FA71FC" w:rsidRDefault="00FA71FC" w:rsidP="00E24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 BE ACTIONED BY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A71FC" w:rsidRPr="00FA71FC" w:rsidRDefault="00FA71FC" w:rsidP="00E24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DEADLINE DATE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FA71FC" w:rsidRPr="00FA71FC" w:rsidRDefault="00FA71FC" w:rsidP="00E24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REVIEW (impact of effectiveness of actions)</w:t>
            </w:r>
          </w:p>
        </w:tc>
      </w:tr>
      <w:tr w:rsidR="00FA71FC" w:rsidRPr="00FA71FC" w:rsidTr="00FA71FC">
        <w:trPr>
          <w:trHeight w:val="7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Improve navigation of intranet site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845AD2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845AD2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Depute Director of HRD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June 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4D5238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Fewer requests for assistance</w:t>
            </w:r>
          </w:p>
        </w:tc>
      </w:tr>
      <w:tr w:rsidR="00FA71FC" w:rsidRPr="00FA71FC" w:rsidTr="00FA71FC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information on intranet site accurate and up to date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CL&amp;D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June 2013 (done bi-annually as standard)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553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Customers given correct information to assist decision re: Learning &amp; Development priorities</w:t>
            </w:r>
          </w:p>
        </w:tc>
      </w:tr>
      <w:tr w:rsidR="00FA71FC" w:rsidRPr="00FA71FC" w:rsidTr="00FA71FC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Ensue that enquiry log kept up to date &amp; is monitored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CL&amp;D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553F7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Standard process; ensures customer enquiries answered in a timely fashion</w:t>
            </w:r>
          </w:p>
        </w:tc>
      </w:tr>
      <w:tr w:rsidR="00FA71FC" w:rsidRPr="00FA71FC" w:rsidTr="00FA71FC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services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FC" w:rsidRPr="00FA71FC" w:rsidTr="00FA71FC">
        <w:trPr>
          <w:trHeight w:val="102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FA71FC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FA71FC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A71FC" w:rsidRPr="00FA71FC" w:rsidTr="00FA71FC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6F698F" w:rsidP="00FA7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Learning</w:t>
            </w:r>
            <w:r w:rsidR="00FA71FC"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development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A71FC" w:rsidRPr="00FA71FC" w:rsidRDefault="00FA71FC" w:rsidP="00FA7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71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A71FC" w:rsidRPr="00FA71FC" w:rsidTr="00FA71FC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Review all development activities in all areas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7973E1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  <w:r w:rsidR="001027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CL&amp;D, APD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Pr="00FA71FC" w:rsidRDefault="001027D9" w:rsidP="00FA7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June 2013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71FC" w:rsidRDefault="001027D9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comments on relevance of development opportunities</w:t>
            </w:r>
          </w:p>
          <w:p w:rsidR="007973E1" w:rsidRPr="00FA71FC" w:rsidRDefault="007973E1" w:rsidP="00FA7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7D9" w:rsidRPr="00FA71FC" w:rsidTr="001027D9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Review mode of delivery of development activities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CL&amp;D, APD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Default="001027D9" w:rsidP="002A6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of June 2013</w:t>
            </w:r>
          </w:p>
          <w:p w:rsidR="007973E1" w:rsidRPr="00FA71FC" w:rsidRDefault="007973E1" w:rsidP="002A6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usage of new modes of delivery</w:t>
            </w:r>
          </w:p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7D9" w:rsidRPr="00FA71FC" w:rsidTr="001027D9">
        <w:trPr>
          <w:trHeight w:val="51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all departmental staff receive the appropriate development as per individual PDRs and departmental training plan</w:t>
            </w:r>
          </w:p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HRD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</w:t>
            </w:r>
            <w:r w:rsidR="00DB40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going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27D9" w:rsidRPr="00FA71FC" w:rsidRDefault="001027D9" w:rsidP="002A6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Greater staff capability</w:t>
            </w:r>
          </w:p>
        </w:tc>
      </w:tr>
    </w:tbl>
    <w:p w:rsidR="00DF6E50" w:rsidRDefault="00DF6E50" w:rsidP="00FA71FC">
      <w:pPr>
        <w:spacing w:after="0"/>
      </w:pPr>
    </w:p>
    <w:p w:rsidR="00553F79" w:rsidRDefault="00553F79" w:rsidP="00FA71FC">
      <w:pPr>
        <w:spacing w:after="0"/>
      </w:pPr>
    </w:p>
    <w:p w:rsidR="00553F79" w:rsidRDefault="00553F79" w:rsidP="00FA71FC">
      <w:pPr>
        <w:spacing w:after="0"/>
      </w:pPr>
    </w:p>
    <w:sectPr w:rsidR="00553F79" w:rsidSect="00FA71FC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D90"/>
    <w:multiLevelType w:val="hybridMultilevel"/>
    <w:tmpl w:val="4B6E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0C0D"/>
    <w:multiLevelType w:val="hybridMultilevel"/>
    <w:tmpl w:val="071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4F32"/>
    <w:multiLevelType w:val="hybridMultilevel"/>
    <w:tmpl w:val="CBA2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3830"/>
    <w:multiLevelType w:val="hybridMultilevel"/>
    <w:tmpl w:val="A3EC1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C7FA8"/>
    <w:multiLevelType w:val="hybridMultilevel"/>
    <w:tmpl w:val="6922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6517"/>
    <w:multiLevelType w:val="hybridMultilevel"/>
    <w:tmpl w:val="BDD6730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F6E50"/>
    <w:rsid w:val="00060AE9"/>
    <w:rsid w:val="000C7DF6"/>
    <w:rsid w:val="000E65EF"/>
    <w:rsid w:val="001027D9"/>
    <w:rsid w:val="00141C6B"/>
    <w:rsid w:val="0032610D"/>
    <w:rsid w:val="0034780B"/>
    <w:rsid w:val="00410B62"/>
    <w:rsid w:val="00471BC0"/>
    <w:rsid w:val="004D5238"/>
    <w:rsid w:val="00553F79"/>
    <w:rsid w:val="005B208E"/>
    <w:rsid w:val="00600E7B"/>
    <w:rsid w:val="00605FBA"/>
    <w:rsid w:val="006F698F"/>
    <w:rsid w:val="007720D5"/>
    <w:rsid w:val="007973E1"/>
    <w:rsid w:val="00827580"/>
    <w:rsid w:val="00845AD2"/>
    <w:rsid w:val="008C5D0F"/>
    <w:rsid w:val="0098067F"/>
    <w:rsid w:val="00A01837"/>
    <w:rsid w:val="00AA66F2"/>
    <w:rsid w:val="00AB0C24"/>
    <w:rsid w:val="00AE241C"/>
    <w:rsid w:val="00AF5AE0"/>
    <w:rsid w:val="00BA6A0D"/>
    <w:rsid w:val="00CC39C4"/>
    <w:rsid w:val="00CD3443"/>
    <w:rsid w:val="00CE4D47"/>
    <w:rsid w:val="00D4065A"/>
    <w:rsid w:val="00D6179B"/>
    <w:rsid w:val="00DB40CC"/>
    <w:rsid w:val="00DF6E50"/>
    <w:rsid w:val="00E43DC8"/>
    <w:rsid w:val="00E608E7"/>
    <w:rsid w:val="00E95842"/>
    <w:rsid w:val="00EA47D8"/>
    <w:rsid w:val="00FA71FC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3F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F79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3F7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F79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customXml" Target="/customXml/item3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microsoft.com/office/2007/relationships/stylesWithEffects" Target="stylesWithEffects.xml"/>
  <Relationship Id="rId8" Type="http://schemas.openxmlformats.org/officeDocument/2006/relationships/customXml" Target="/customXml/item1.xml"/>
  <Relationship Id="rId9" Type="http://schemas.openxmlformats.org/officeDocument/2006/relationships/customXml" Target="/customXml/item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Human Resources &amp; Development Action Plan</Document_x0020_Description>
    <Document_x0020_Keywords xmlns="bb28dcf0-6583-49ba-818a-f06c35ca2650">professional services, client services, survey, report, Human Resources, Development, Action Plan</Document_x0020_Keyword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29A19EF97464144BB4650B7C9EFA63F2" ma:contentTypeVersion="64" ma:contentTypeDescription="Create a Word document" ma:contentTypeScope="" ma:versionID="bca43cbd9072749ee232d73b57446d59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f1d489f3ebe9cca5ee24c12fbe6c427e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6C7DA-E78B-4959-973F-2EF5ADC5E19A}"/>
</file>

<file path=customXml/itemProps2.xml><?xml version="1.0" encoding="utf-8"?>
<ds:datastoreItem xmlns:ds="http://schemas.openxmlformats.org/officeDocument/2006/customXml" ds:itemID="{FE00B11A-29E1-474B-80BD-11E3CC3424E4}"/>
</file>

<file path=customXml/itemProps3.xml><?xml version="1.0" encoding="utf-8"?>
<ds:datastoreItem xmlns:ds="http://schemas.openxmlformats.org/officeDocument/2006/customXml" ds:itemID="{46815107-8E3B-48A5-9291-1FD3B4313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&amp; Development Action Plan</dc:title>
  <dc:creator>Lambert, Cathy (Staff)</dc:creator>
  <cp:lastModifiedBy>Jill Meighan</cp:lastModifiedBy>
  <cp:revision>7</cp:revision>
  <dcterms:created xsi:type="dcterms:W3CDTF">2013-04-05T21:50:00Z</dcterms:created>
  <dcterms:modified xsi:type="dcterms:W3CDTF">2013-04-06T09:03:00Z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0x0101004BFA728FF20B7540AEA5BB5A7DB5AE6A0029A19EF97464144BB4650B7C9EFA63F2</vt:lpwstr>
  </property>
</Properties>
</file>