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BB81" w14:textId="77777777" w:rsidR="0059245A" w:rsidRPr="000144BD" w:rsidRDefault="0059245A" w:rsidP="0059245A">
      <w:pPr>
        <w:tabs>
          <w:tab w:val="left" w:pos="567"/>
        </w:tabs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5DA0994D" wp14:editId="75261728">
            <wp:extent cx="1780925" cy="85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&amp;D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1793182" cy="86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6EBCE" w14:textId="77777777" w:rsidR="0059245A" w:rsidRDefault="0059245A" w:rsidP="0059245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14:paraId="77C0EA31" w14:textId="2F9EB9CD" w:rsidR="0059245A" w:rsidRDefault="0059245A" w:rsidP="0059245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Fixed-Term </w:t>
      </w:r>
      <w:r w:rsidR="00B30ECA">
        <w:rPr>
          <w:rFonts w:ascii="Arial" w:hAnsi="Arial" w:cs="Arial"/>
          <w:b/>
          <w:color w:val="FFFFFF" w:themeColor="background1"/>
          <w:sz w:val="32"/>
          <w:szCs w:val="32"/>
        </w:rPr>
        <w:t xml:space="preserve">Contract Policy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>Statement</w:t>
      </w:r>
    </w:p>
    <w:p w14:paraId="3EE54805" w14:textId="77777777" w:rsidR="0059245A" w:rsidRPr="000236CA" w:rsidRDefault="0059245A" w:rsidP="0059245A">
      <w:pPr>
        <w:pStyle w:val="Heading3"/>
        <w:shd w:val="clear" w:color="auto" w:fill="91C331"/>
        <w:spacing w:before="0" w:line="240" w:lineRule="auto"/>
        <w:ind w:right="238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</w:p>
    <w:p w14:paraId="7D08C925" w14:textId="77777777" w:rsidR="0059245A" w:rsidRPr="000144BD" w:rsidRDefault="0059245A" w:rsidP="0059245A">
      <w:pPr>
        <w:tabs>
          <w:tab w:val="center" w:pos="4513"/>
        </w:tabs>
        <w:rPr>
          <w:rFonts w:ascii="Arial" w:hAnsi="Arial" w:cs="Arial"/>
          <w:b/>
          <w:sz w:val="22"/>
          <w:szCs w:val="22"/>
        </w:rPr>
      </w:pPr>
    </w:p>
    <w:p w14:paraId="55198EC5" w14:textId="2774B53C" w:rsidR="0059245A" w:rsidRDefault="0059245A" w:rsidP="0059245A">
      <w:pPr>
        <w:rPr>
          <w:rFonts w:ascii="Arial" w:hAnsi="Arial" w:cs="Arial"/>
          <w:lang w:val="en-US"/>
        </w:rPr>
      </w:pPr>
      <w:r w:rsidRPr="00BA163F">
        <w:rPr>
          <w:rFonts w:ascii="Arial" w:hAnsi="Arial" w:cs="Arial"/>
          <w:lang w:val="en-US"/>
        </w:rPr>
        <w:t xml:space="preserve">This </w:t>
      </w:r>
      <w:r>
        <w:rPr>
          <w:rFonts w:ascii="Arial" w:hAnsi="Arial" w:cs="Arial"/>
          <w:lang w:val="en-US"/>
        </w:rPr>
        <w:t xml:space="preserve">statement is effective from </w:t>
      </w:r>
      <w:r w:rsidR="00A05917">
        <w:rPr>
          <w:rFonts w:ascii="Arial" w:hAnsi="Arial" w:cs="Arial"/>
          <w:lang w:val="en-US"/>
        </w:rPr>
        <w:t>1</w:t>
      </w:r>
      <w:r w:rsidR="00A05917" w:rsidRPr="00A05917">
        <w:rPr>
          <w:rFonts w:ascii="Arial" w:hAnsi="Arial" w:cs="Arial"/>
          <w:vertAlign w:val="superscript"/>
          <w:lang w:val="en-US"/>
        </w:rPr>
        <w:t>st</w:t>
      </w:r>
      <w:r w:rsidR="00A05917">
        <w:rPr>
          <w:rFonts w:ascii="Arial" w:hAnsi="Arial" w:cs="Arial"/>
          <w:lang w:val="en-US"/>
        </w:rPr>
        <w:t xml:space="preserve"> October </w:t>
      </w:r>
      <w:r>
        <w:rPr>
          <w:rFonts w:ascii="Arial" w:hAnsi="Arial" w:cs="Arial"/>
          <w:lang w:val="en-US"/>
        </w:rPr>
        <w:t>2015</w:t>
      </w:r>
      <w:r w:rsidRPr="00BA163F">
        <w:rPr>
          <w:rFonts w:ascii="Arial" w:hAnsi="Arial" w:cs="Arial"/>
          <w:lang w:val="en-US"/>
        </w:rPr>
        <w:t xml:space="preserve">.  </w:t>
      </w:r>
    </w:p>
    <w:p w14:paraId="5086FEFF" w14:textId="77777777" w:rsidR="0059245A" w:rsidRDefault="0059245A" w:rsidP="0059245A">
      <w:pPr>
        <w:rPr>
          <w:rFonts w:ascii="Arial" w:hAnsi="Arial" w:cs="Arial"/>
          <w:lang w:val="en-US"/>
        </w:rPr>
      </w:pPr>
    </w:p>
    <w:p w14:paraId="65F157E6" w14:textId="67C3055A" w:rsidR="0059245A" w:rsidRPr="00B8469B" w:rsidRDefault="0059245A" w:rsidP="00B8469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lang w:val="en-US"/>
        </w:rPr>
      </w:pPr>
      <w:r w:rsidRPr="00B8469B">
        <w:rPr>
          <w:rFonts w:ascii="Arial" w:hAnsi="Arial" w:cs="Arial"/>
          <w:b/>
          <w:lang w:val="en-US"/>
        </w:rPr>
        <w:t>Purpose</w:t>
      </w:r>
    </w:p>
    <w:p w14:paraId="76C5F588" w14:textId="77777777" w:rsidR="0059245A" w:rsidRPr="00BA163F" w:rsidRDefault="0059245A" w:rsidP="0059245A">
      <w:pPr>
        <w:rPr>
          <w:rFonts w:ascii="Arial" w:hAnsi="Arial" w:cs="Arial"/>
          <w:lang w:val="en-US"/>
        </w:rPr>
      </w:pPr>
    </w:p>
    <w:p w14:paraId="23696096" w14:textId="5597F3A4" w:rsidR="0059245A" w:rsidRPr="00BA163F" w:rsidRDefault="0059245A" w:rsidP="00FA24D5">
      <w:pPr>
        <w:spacing w:line="276" w:lineRule="auto"/>
        <w:rPr>
          <w:rFonts w:ascii="Arial" w:hAnsi="Arial" w:cs="Arial"/>
          <w:lang w:val="en-US"/>
        </w:rPr>
      </w:pPr>
      <w:r w:rsidRPr="00BA163F">
        <w:rPr>
          <w:rFonts w:ascii="Arial" w:hAnsi="Arial" w:cs="Arial"/>
          <w:lang w:val="en-US"/>
        </w:rPr>
        <w:t>Edi</w:t>
      </w:r>
      <w:r>
        <w:rPr>
          <w:rFonts w:ascii="Arial" w:hAnsi="Arial" w:cs="Arial"/>
          <w:lang w:val="en-US"/>
        </w:rPr>
        <w:t xml:space="preserve">nburgh Napier University is committed to ensuring that employees on a fixed-term contract of employment are treated no less favorably than comparable permanent employees in respect of </w:t>
      </w:r>
      <w:r w:rsidR="00EB3AAB">
        <w:rPr>
          <w:rFonts w:ascii="Arial" w:hAnsi="Arial" w:cs="Arial"/>
          <w:lang w:val="en-US"/>
        </w:rPr>
        <w:t xml:space="preserve">their terms and conditions of employment for example </w:t>
      </w:r>
      <w:r>
        <w:rPr>
          <w:rFonts w:ascii="Arial" w:hAnsi="Arial" w:cs="Arial"/>
          <w:lang w:val="en-US"/>
        </w:rPr>
        <w:t>pay, conditions and procedural fairness</w:t>
      </w:r>
      <w:r w:rsidR="00926C66">
        <w:rPr>
          <w:rFonts w:ascii="Arial" w:hAnsi="Arial" w:cs="Arial"/>
          <w:lang w:val="en-US"/>
        </w:rPr>
        <w:t>,</w:t>
      </w:r>
      <w:r w:rsidR="00EB3AAB">
        <w:rPr>
          <w:rFonts w:ascii="Arial" w:hAnsi="Arial" w:cs="Arial"/>
          <w:lang w:val="en-US"/>
        </w:rPr>
        <w:t xml:space="preserve"> unless differential treatment is appropriate and can be objectively justified</w:t>
      </w:r>
      <w:r>
        <w:rPr>
          <w:rFonts w:ascii="Arial" w:hAnsi="Arial" w:cs="Arial"/>
          <w:lang w:val="en-US"/>
        </w:rPr>
        <w:t>.  The aim of this policy statement is to ensure that the University adopts a fair, consistent and transparent approach in their use of fixed-term contracts and employment of fixed-term staff</w:t>
      </w:r>
      <w:r w:rsidR="001A75F6">
        <w:rPr>
          <w:rFonts w:ascii="Arial" w:hAnsi="Arial" w:cs="Arial"/>
          <w:lang w:val="en-US"/>
        </w:rPr>
        <w:t>, in-line with legislative requirements</w:t>
      </w:r>
      <w:r>
        <w:rPr>
          <w:rFonts w:ascii="Arial" w:hAnsi="Arial" w:cs="Arial"/>
          <w:lang w:val="en-US"/>
        </w:rPr>
        <w:t xml:space="preserve">. </w:t>
      </w:r>
    </w:p>
    <w:p w14:paraId="1CAB2FD7" w14:textId="77777777" w:rsidR="0059245A" w:rsidRDefault="0059245A" w:rsidP="00FA24D5">
      <w:pPr>
        <w:spacing w:line="276" w:lineRule="auto"/>
        <w:rPr>
          <w:rFonts w:ascii="Arial" w:hAnsi="Arial" w:cs="Arial"/>
          <w:lang w:val="en-US"/>
        </w:rPr>
      </w:pPr>
    </w:p>
    <w:p w14:paraId="6E56FA4F" w14:textId="7EBE475F" w:rsidR="0059245A" w:rsidRPr="00B8469B" w:rsidRDefault="0059245A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lang w:val="en-US"/>
        </w:rPr>
      </w:pPr>
      <w:r w:rsidRPr="00B8469B">
        <w:rPr>
          <w:rFonts w:ascii="Arial" w:hAnsi="Arial" w:cs="Arial"/>
          <w:b/>
          <w:lang w:val="en-US"/>
        </w:rPr>
        <w:t>Application of Statement</w:t>
      </w:r>
    </w:p>
    <w:p w14:paraId="19CD932D" w14:textId="77777777" w:rsidR="0059245A" w:rsidRPr="00BA163F" w:rsidRDefault="0059245A" w:rsidP="00FA24D5">
      <w:pPr>
        <w:pStyle w:val="BodyText"/>
        <w:spacing w:after="0" w:line="276" w:lineRule="auto"/>
        <w:rPr>
          <w:rFonts w:ascii="Arial" w:hAnsi="Arial" w:cs="Arial"/>
          <w:color w:val="000000" w:themeColor="text1"/>
        </w:rPr>
      </w:pPr>
      <w:bookmarkStart w:id="0" w:name="Paragraph_22"/>
    </w:p>
    <w:bookmarkEnd w:id="0"/>
    <w:p w14:paraId="7E93DD2A" w14:textId="7915966D" w:rsidR="0059245A" w:rsidRDefault="00926C66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This s</w:t>
      </w:r>
      <w:r w:rsidR="0059245A">
        <w:rPr>
          <w:rFonts w:ascii="Arial" w:hAnsi="Arial" w:cs="Arial"/>
          <w:bCs/>
          <w:iCs/>
          <w:color w:val="000000" w:themeColor="text1"/>
        </w:rPr>
        <w:t xml:space="preserve">tatement </w:t>
      </w:r>
      <w:r w:rsidR="0059245A" w:rsidRPr="002D5395">
        <w:rPr>
          <w:rFonts w:ascii="Arial" w:hAnsi="Arial" w:cs="Arial"/>
          <w:bCs/>
          <w:iCs/>
          <w:color w:val="000000" w:themeColor="text1"/>
        </w:rPr>
        <w:t>applies</w:t>
      </w:r>
      <w:r w:rsidR="0059245A">
        <w:rPr>
          <w:rFonts w:ascii="Arial" w:hAnsi="Arial" w:cs="Arial"/>
          <w:bCs/>
          <w:iCs/>
          <w:color w:val="000000" w:themeColor="text1"/>
        </w:rPr>
        <w:t xml:space="preserve"> to</w:t>
      </w:r>
      <w:r w:rsidR="0059245A" w:rsidRPr="002D5395">
        <w:rPr>
          <w:rFonts w:ascii="Arial" w:hAnsi="Arial" w:cs="Arial"/>
          <w:bCs/>
          <w:iCs/>
          <w:color w:val="000000" w:themeColor="text1"/>
        </w:rPr>
        <w:t xml:space="preserve"> all staff employed by </w:t>
      </w:r>
      <w:r w:rsidR="0059245A">
        <w:rPr>
          <w:rFonts w:ascii="Arial" w:hAnsi="Arial" w:cs="Arial"/>
          <w:bCs/>
          <w:iCs/>
          <w:color w:val="000000" w:themeColor="text1"/>
        </w:rPr>
        <w:t xml:space="preserve">the </w:t>
      </w:r>
      <w:r w:rsidR="0059245A" w:rsidRPr="002D5395">
        <w:rPr>
          <w:rFonts w:ascii="Arial" w:hAnsi="Arial" w:cs="Arial"/>
          <w:bCs/>
          <w:iCs/>
          <w:color w:val="000000" w:themeColor="text1"/>
        </w:rPr>
        <w:t>University on a fi</w:t>
      </w:r>
      <w:r w:rsidR="0059245A">
        <w:rPr>
          <w:rFonts w:ascii="Arial" w:hAnsi="Arial" w:cs="Arial"/>
          <w:bCs/>
          <w:iCs/>
          <w:color w:val="000000" w:themeColor="text1"/>
        </w:rPr>
        <w:t xml:space="preserve">xed-term contract of employment. </w:t>
      </w:r>
    </w:p>
    <w:p w14:paraId="0998A0D4" w14:textId="77777777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3F5E8F33" w14:textId="34872AD4" w:rsidR="0059245A" w:rsidRPr="002D5395" w:rsidRDefault="00926C66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Notably, this p</w:t>
      </w:r>
      <w:r w:rsidR="0059245A">
        <w:rPr>
          <w:rFonts w:ascii="Arial" w:hAnsi="Arial" w:cs="Arial"/>
          <w:bCs/>
          <w:iCs/>
          <w:color w:val="000000" w:themeColor="text1"/>
        </w:rPr>
        <w:t>olicy does not apply to agency staff as it is the agency that employs the individual and, therefore, the policies in place at the agency will apply</w:t>
      </w:r>
    </w:p>
    <w:p w14:paraId="29A87B7C" w14:textId="77777777" w:rsidR="0059245A" w:rsidRPr="00BA163F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3F96035D" w14:textId="4822582E" w:rsidR="0059245A" w:rsidRPr="00B8469B" w:rsidRDefault="0059245A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lang w:val="en-US"/>
        </w:rPr>
      </w:pPr>
      <w:r w:rsidRPr="00B8469B">
        <w:rPr>
          <w:rFonts w:ascii="Arial" w:hAnsi="Arial" w:cs="Arial"/>
          <w:b/>
          <w:lang w:val="en-US"/>
        </w:rPr>
        <w:t>Variations to this Statement</w:t>
      </w:r>
    </w:p>
    <w:p w14:paraId="790BCCEA" w14:textId="77777777" w:rsidR="0059245A" w:rsidRPr="00BA163F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54C12DCF" w14:textId="77777777" w:rsidR="0059245A" w:rsidRPr="00BA163F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lang w:val="en-US"/>
        </w:rPr>
        <w:t xml:space="preserve">The University </w:t>
      </w:r>
      <w:r w:rsidRPr="00BA163F">
        <w:rPr>
          <w:rFonts w:ascii="Arial" w:hAnsi="Arial" w:cs="Arial"/>
          <w:bCs/>
          <w:iCs/>
          <w:color w:val="000000" w:themeColor="text1"/>
        </w:rPr>
        <w:t>reserves the right to terminate, replace, or vary this policy from time to time.</w:t>
      </w:r>
    </w:p>
    <w:p w14:paraId="3B621945" w14:textId="77777777" w:rsidR="0059245A" w:rsidRDefault="0059245A" w:rsidP="00FA24D5">
      <w:pPr>
        <w:spacing w:line="276" w:lineRule="auto"/>
        <w:rPr>
          <w:rFonts w:ascii="Arial" w:hAnsi="Arial" w:cs="Arial"/>
          <w:lang w:val="en-US"/>
        </w:rPr>
      </w:pPr>
    </w:p>
    <w:p w14:paraId="3D70392B" w14:textId="17D51905" w:rsidR="0059245A" w:rsidRPr="00B8469B" w:rsidRDefault="0059245A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  <w:iCs/>
          <w:color w:val="000000" w:themeColor="text1"/>
        </w:rPr>
      </w:pPr>
      <w:r w:rsidRPr="00B8469B">
        <w:rPr>
          <w:rFonts w:ascii="Arial" w:hAnsi="Arial" w:cs="Arial"/>
          <w:b/>
          <w:bCs/>
          <w:iCs/>
          <w:color w:val="000000" w:themeColor="text1"/>
        </w:rPr>
        <w:t>Use of Fixed-Term Contracts</w:t>
      </w:r>
    </w:p>
    <w:p w14:paraId="154DFCF1" w14:textId="77777777" w:rsidR="0059245A" w:rsidRPr="00BA163F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6BED669D" w14:textId="33A927FE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It is appropriate to use fixed-term contracts</w:t>
      </w:r>
      <w:r w:rsidR="00926C66">
        <w:rPr>
          <w:rFonts w:ascii="Arial" w:hAnsi="Arial" w:cs="Arial"/>
          <w:bCs/>
          <w:iCs/>
          <w:color w:val="000000" w:themeColor="text1"/>
        </w:rPr>
        <w:t xml:space="preserve"> when,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EB3AAB">
        <w:rPr>
          <w:rFonts w:ascii="Arial" w:hAnsi="Arial" w:cs="Arial"/>
          <w:bCs/>
          <w:iCs/>
          <w:color w:val="000000" w:themeColor="text1"/>
        </w:rPr>
        <w:t>for example</w:t>
      </w:r>
      <w:r>
        <w:rPr>
          <w:rFonts w:ascii="Arial" w:hAnsi="Arial" w:cs="Arial"/>
          <w:bCs/>
          <w:iCs/>
          <w:color w:val="000000" w:themeColor="text1"/>
        </w:rPr>
        <w:t>:</w:t>
      </w:r>
    </w:p>
    <w:p w14:paraId="0D8696AA" w14:textId="77777777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7F4EB485" w14:textId="2CDDD743" w:rsidR="0059245A" w:rsidRDefault="0059245A" w:rsidP="00FA24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It is known in advance that a particular </w:t>
      </w:r>
      <w:r w:rsidR="00EB3AAB">
        <w:rPr>
          <w:rFonts w:ascii="Arial" w:hAnsi="Arial" w:cs="Arial"/>
          <w:bCs/>
          <w:iCs/>
          <w:color w:val="000000" w:themeColor="text1"/>
        </w:rPr>
        <w:t>role</w:t>
      </w:r>
      <w:r>
        <w:rPr>
          <w:rFonts w:ascii="Arial" w:hAnsi="Arial" w:cs="Arial"/>
          <w:bCs/>
          <w:iCs/>
          <w:color w:val="000000" w:themeColor="text1"/>
        </w:rPr>
        <w:t xml:space="preserve"> will come to an end on a specific date</w:t>
      </w:r>
      <w:r w:rsidR="00342252">
        <w:rPr>
          <w:rFonts w:ascii="Arial" w:hAnsi="Arial" w:cs="Arial"/>
          <w:bCs/>
          <w:iCs/>
          <w:color w:val="000000" w:themeColor="text1"/>
        </w:rPr>
        <w:t>.</w:t>
      </w:r>
    </w:p>
    <w:p w14:paraId="09705E70" w14:textId="10B3DF45" w:rsidR="0059245A" w:rsidRPr="0059245A" w:rsidRDefault="0059245A" w:rsidP="00FA24D5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bCs/>
          <w:iCs/>
          <w:color w:val="000000" w:themeColor="text1"/>
        </w:rPr>
      </w:pPr>
      <w:r w:rsidRPr="0059245A">
        <w:rPr>
          <w:rFonts w:ascii="Arial" w:hAnsi="Arial" w:cs="Arial"/>
          <w:bCs/>
          <w:iCs/>
          <w:color w:val="000000" w:themeColor="text1"/>
        </w:rPr>
        <w:t>The period of engagement is for the purpose of completi</w:t>
      </w:r>
      <w:r w:rsidR="001A75F6">
        <w:rPr>
          <w:rFonts w:ascii="Arial" w:hAnsi="Arial" w:cs="Arial"/>
          <w:bCs/>
          <w:iCs/>
          <w:color w:val="000000" w:themeColor="text1"/>
        </w:rPr>
        <w:t>ng a particular project or task</w:t>
      </w:r>
      <w:r w:rsidR="00342252">
        <w:rPr>
          <w:rFonts w:ascii="Arial" w:hAnsi="Arial" w:cs="Arial"/>
          <w:bCs/>
          <w:iCs/>
          <w:color w:val="000000" w:themeColor="text1"/>
        </w:rPr>
        <w:t>.</w:t>
      </w:r>
    </w:p>
    <w:p w14:paraId="36E39593" w14:textId="12BC2FAE" w:rsidR="0059245A" w:rsidRDefault="0059245A" w:rsidP="00FA24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The period of engagement is for the purpose of temporarily replacing an employee who is absent from work for a pe</w:t>
      </w:r>
      <w:r w:rsidR="008332A6">
        <w:rPr>
          <w:rFonts w:ascii="Arial" w:hAnsi="Arial" w:cs="Arial"/>
          <w:bCs/>
          <w:iCs/>
          <w:color w:val="000000" w:themeColor="text1"/>
        </w:rPr>
        <w:t>riod of more than four weeks (e.</w:t>
      </w:r>
      <w:r>
        <w:rPr>
          <w:rFonts w:ascii="Arial" w:hAnsi="Arial" w:cs="Arial"/>
          <w:bCs/>
          <w:iCs/>
          <w:color w:val="000000" w:themeColor="text1"/>
        </w:rPr>
        <w:t>g</w:t>
      </w:r>
      <w:r w:rsidR="008332A6">
        <w:rPr>
          <w:rFonts w:ascii="Arial" w:hAnsi="Arial" w:cs="Arial"/>
          <w:bCs/>
          <w:iCs/>
          <w:color w:val="000000" w:themeColor="text1"/>
        </w:rPr>
        <w:t>.</w:t>
      </w:r>
      <w:r>
        <w:rPr>
          <w:rFonts w:ascii="Arial" w:hAnsi="Arial" w:cs="Arial"/>
          <w:bCs/>
          <w:iCs/>
          <w:color w:val="000000" w:themeColor="text1"/>
        </w:rPr>
        <w:t xml:space="preserve"> maternity leave, long-term sickness, career break, </w:t>
      </w:r>
      <w:proofErr w:type="spellStart"/>
      <w:r>
        <w:rPr>
          <w:rFonts w:ascii="Arial" w:hAnsi="Arial" w:cs="Arial"/>
          <w:bCs/>
          <w:iCs/>
          <w:color w:val="000000" w:themeColor="text1"/>
        </w:rPr>
        <w:t>etc</w:t>
      </w:r>
      <w:proofErr w:type="spellEnd"/>
      <w:r>
        <w:rPr>
          <w:rFonts w:ascii="Arial" w:hAnsi="Arial" w:cs="Arial"/>
          <w:bCs/>
          <w:iCs/>
          <w:color w:val="000000" w:themeColor="text1"/>
        </w:rPr>
        <w:t>) but who retains the right to ret</w:t>
      </w:r>
      <w:r w:rsidR="00342252">
        <w:rPr>
          <w:rFonts w:ascii="Arial" w:hAnsi="Arial" w:cs="Arial"/>
          <w:bCs/>
          <w:iCs/>
          <w:color w:val="000000" w:themeColor="text1"/>
        </w:rPr>
        <w:t xml:space="preserve">urn to </w:t>
      </w:r>
      <w:r w:rsidR="002D752B">
        <w:rPr>
          <w:rFonts w:ascii="Arial" w:hAnsi="Arial" w:cs="Arial"/>
          <w:bCs/>
          <w:iCs/>
          <w:color w:val="000000" w:themeColor="text1"/>
        </w:rPr>
        <w:t xml:space="preserve">their </w:t>
      </w:r>
      <w:r w:rsidR="00342252">
        <w:rPr>
          <w:rFonts w:ascii="Arial" w:hAnsi="Arial" w:cs="Arial"/>
          <w:bCs/>
          <w:iCs/>
          <w:color w:val="000000" w:themeColor="text1"/>
        </w:rPr>
        <w:t>substantive post.</w:t>
      </w:r>
    </w:p>
    <w:p w14:paraId="53EE0CA8" w14:textId="77777777" w:rsidR="0059245A" w:rsidRPr="002D1466" w:rsidRDefault="0059245A" w:rsidP="00FA24D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lastRenderedPageBreak/>
        <w:t>The post is dependent on finite external funding, which has been provided for the purpose of completing a specified task or project.</w:t>
      </w:r>
    </w:p>
    <w:p w14:paraId="6E686437" w14:textId="77777777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35D9945B" w14:textId="287A57ED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When seeking approval to advertise a fixed-term post, the recruiting manager will be required to clearly state the rational</w:t>
      </w:r>
      <w:r w:rsidR="00342252">
        <w:rPr>
          <w:rFonts w:ascii="Arial" w:hAnsi="Arial" w:cs="Arial"/>
          <w:bCs/>
          <w:iCs/>
          <w:color w:val="000000" w:themeColor="text1"/>
        </w:rPr>
        <w:t>e</w:t>
      </w:r>
      <w:r>
        <w:rPr>
          <w:rFonts w:ascii="Arial" w:hAnsi="Arial" w:cs="Arial"/>
          <w:bCs/>
          <w:iCs/>
          <w:color w:val="000000" w:themeColor="text1"/>
        </w:rPr>
        <w:t xml:space="preserve"> for a fixed-term appointment. </w:t>
      </w:r>
    </w:p>
    <w:p w14:paraId="771D42FE" w14:textId="77777777" w:rsidR="0059245A" w:rsidRDefault="0059245A" w:rsidP="00FA24D5">
      <w:pPr>
        <w:spacing w:line="276" w:lineRule="auto"/>
        <w:rPr>
          <w:rFonts w:ascii="Arial" w:hAnsi="Arial" w:cs="Arial"/>
          <w:b/>
          <w:bCs/>
          <w:iCs/>
          <w:color w:val="000000" w:themeColor="text1"/>
        </w:rPr>
      </w:pPr>
    </w:p>
    <w:p w14:paraId="38A0059B" w14:textId="021AE099" w:rsidR="0059245A" w:rsidRPr="00B8469B" w:rsidRDefault="0059245A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  <w:iCs/>
          <w:color w:val="000000" w:themeColor="text1"/>
        </w:rPr>
      </w:pPr>
      <w:r w:rsidRPr="00B8469B">
        <w:rPr>
          <w:rFonts w:ascii="Arial" w:hAnsi="Arial" w:cs="Arial"/>
          <w:b/>
          <w:bCs/>
          <w:iCs/>
          <w:color w:val="000000" w:themeColor="text1"/>
        </w:rPr>
        <w:t xml:space="preserve">Length of </w:t>
      </w:r>
      <w:r w:rsidR="002D752B" w:rsidRPr="00B8469B">
        <w:rPr>
          <w:rFonts w:ascii="Arial" w:hAnsi="Arial" w:cs="Arial"/>
          <w:b/>
          <w:bCs/>
          <w:iCs/>
          <w:color w:val="000000" w:themeColor="text1"/>
        </w:rPr>
        <w:t xml:space="preserve">a </w:t>
      </w:r>
      <w:r w:rsidRPr="00B8469B">
        <w:rPr>
          <w:rFonts w:ascii="Arial" w:hAnsi="Arial" w:cs="Arial"/>
          <w:b/>
          <w:bCs/>
          <w:iCs/>
          <w:color w:val="000000" w:themeColor="text1"/>
        </w:rPr>
        <w:t>Fixed-Term Contract</w:t>
      </w:r>
    </w:p>
    <w:p w14:paraId="6E03E48C" w14:textId="77777777" w:rsidR="0059245A" w:rsidRDefault="0059245A" w:rsidP="00FA24D5">
      <w:pPr>
        <w:spacing w:line="276" w:lineRule="auto"/>
        <w:rPr>
          <w:rFonts w:ascii="Arial" w:hAnsi="Arial" w:cs="Arial"/>
          <w:b/>
          <w:bCs/>
          <w:iCs/>
          <w:color w:val="000000" w:themeColor="text1"/>
        </w:rPr>
      </w:pPr>
    </w:p>
    <w:p w14:paraId="2663B583" w14:textId="0327C95D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430C8E">
        <w:rPr>
          <w:rFonts w:ascii="Arial" w:hAnsi="Arial" w:cs="Arial"/>
          <w:bCs/>
          <w:iCs/>
          <w:color w:val="000000" w:themeColor="text1"/>
        </w:rPr>
        <w:t>Any employee who has been</w:t>
      </w:r>
      <w:r w:rsidR="00ED516E">
        <w:rPr>
          <w:rFonts w:ascii="Arial" w:hAnsi="Arial" w:cs="Arial"/>
          <w:bCs/>
          <w:iCs/>
          <w:color w:val="000000" w:themeColor="text1"/>
        </w:rPr>
        <w:t xml:space="preserve"> continuously employed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 on</w:t>
      </w:r>
      <w:r w:rsidR="00B04A24">
        <w:rPr>
          <w:rFonts w:ascii="Arial" w:hAnsi="Arial" w:cs="Arial"/>
          <w:bCs/>
          <w:iCs/>
          <w:color w:val="000000" w:themeColor="text1"/>
        </w:rPr>
        <w:t xml:space="preserve"> a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 fixed term contract </w:t>
      </w:r>
      <w:r>
        <w:rPr>
          <w:rFonts w:ascii="Arial" w:hAnsi="Arial" w:cs="Arial"/>
          <w:bCs/>
          <w:iCs/>
          <w:color w:val="000000" w:themeColor="text1"/>
        </w:rPr>
        <w:t xml:space="preserve">at the University 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for </w:t>
      </w:r>
      <w:r>
        <w:rPr>
          <w:rFonts w:ascii="Arial" w:hAnsi="Arial" w:cs="Arial"/>
          <w:bCs/>
          <w:iCs/>
          <w:color w:val="000000" w:themeColor="text1"/>
        </w:rPr>
        <w:t>four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 years or more </w:t>
      </w:r>
      <w:r w:rsidR="00ED516E">
        <w:rPr>
          <w:rFonts w:ascii="Arial" w:hAnsi="Arial" w:cs="Arial"/>
          <w:bCs/>
          <w:iCs/>
          <w:color w:val="000000" w:themeColor="text1"/>
        </w:rPr>
        <w:t>on a series of successive fixed term contract</w:t>
      </w:r>
      <w:r w:rsidR="00EB3AAB">
        <w:rPr>
          <w:rFonts w:ascii="Arial" w:hAnsi="Arial" w:cs="Arial"/>
          <w:bCs/>
          <w:iCs/>
          <w:color w:val="000000" w:themeColor="text1"/>
        </w:rPr>
        <w:t>s</w:t>
      </w:r>
      <w:r w:rsidR="00ED516E">
        <w:rPr>
          <w:rFonts w:ascii="Arial" w:hAnsi="Arial" w:cs="Arial"/>
          <w:bCs/>
          <w:iCs/>
          <w:color w:val="000000" w:themeColor="text1"/>
        </w:rPr>
        <w:t xml:space="preserve"> 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will </w:t>
      </w:r>
      <w:r w:rsidR="008730D0" w:rsidRPr="00430C8E">
        <w:rPr>
          <w:rFonts w:ascii="Arial" w:hAnsi="Arial" w:cs="Arial"/>
          <w:bCs/>
          <w:iCs/>
          <w:color w:val="000000" w:themeColor="text1"/>
        </w:rPr>
        <w:t xml:space="preserve">automatically </w:t>
      </w:r>
      <w:r w:rsidR="008730D0">
        <w:rPr>
          <w:rFonts w:ascii="Arial" w:hAnsi="Arial" w:cs="Arial"/>
          <w:bCs/>
          <w:iCs/>
          <w:color w:val="000000" w:themeColor="text1"/>
        </w:rPr>
        <w:t>be</w:t>
      </w:r>
      <w:r>
        <w:rPr>
          <w:rFonts w:ascii="Arial" w:hAnsi="Arial" w:cs="Arial"/>
          <w:bCs/>
          <w:iCs/>
          <w:color w:val="000000" w:themeColor="text1"/>
        </w:rPr>
        <w:t xml:space="preserve"> considered </w:t>
      </w:r>
      <w:r w:rsidR="00ED516E">
        <w:rPr>
          <w:rFonts w:ascii="Arial" w:hAnsi="Arial" w:cs="Arial"/>
          <w:bCs/>
          <w:iCs/>
          <w:color w:val="000000" w:themeColor="text1"/>
        </w:rPr>
        <w:t xml:space="preserve">to be </w:t>
      </w:r>
      <w:r>
        <w:rPr>
          <w:rFonts w:ascii="Arial" w:hAnsi="Arial" w:cs="Arial"/>
          <w:bCs/>
          <w:iCs/>
          <w:color w:val="000000" w:themeColor="text1"/>
        </w:rPr>
        <w:t xml:space="preserve">a </w:t>
      </w:r>
      <w:r w:rsidRPr="00430C8E">
        <w:rPr>
          <w:rFonts w:ascii="Arial" w:hAnsi="Arial" w:cs="Arial"/>
          <w:bCs/>
          <w:iCs/>
          <w:color w:val="000000" w:themeColor="text1"/>
        </w:rPr>
        <w:t>permanent employee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EB3AAB">
        <w:rPr>
          <w:rFonts w:ascii="Arial" w:hAnsi="Arial" w:cs="Arial"/>
          <w:bCs/>
          <w:iCs/>
          <w:color w:val="000000" w:themeColor="text1"/>
        </w:rPr>
        <w:t>(that is e</w:t>
      </w:r>
      <w:r w:rsidR="00926C66">
        <w:rPr>
          <w:rFonts w:ascii="Arial" w:hAnsi="Arial" w:cs="Arial"/>
          <w:bCs/>
          <w:iCs/>
          <w:color w:val="000000" w:themeColor="text1"/>
        </w:rPr>
        <w:t>mployed on an open ended basis)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, unless </w:t>
      </w:r>
      <w:r>
        <w:rPr>
          <w:rFonts w:ascii="Arial" w:hAnsi="Arial" w:cs="Arial"/>
          <w:bCs/>
          <w:iCs/>
          <w:color w:val="000000" w:themeColor="text1"/>
        </w:rPr>
        <w:t xml:space="preserve">the University 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can show that there is an objectively justifiable reason for </w:t>
      </w:r>
      <w:r w:rsidR="00ED516E">
        <w:rPr>
          <w:rFonts w:ascii="Arial" w:hAnsi="Arial" w:cs="Arial"/>
          <w:bCs/>
          <w:iCs/>
          <w:color w:val="000000" w:themeColor="text1"/>
        </w:rPr>
        <w:t>the continued use of a fixed term contract</w:t>
      </w:r>
      <w:r w:rsidRPr="00430C8E">
        <w:rPr>
          <w:rFonts w:ascii="Arial" w:hAnsi="Arial" w:cs="Arial"/>
          <w:bCs/>
          <w:iCs/>
          <w:color w:val="000000" w:themeColor="text1"/>
        </w:rPr>
        <w:t>.</w:t>
      </w:r>
      <w:r w:rsidR="00EB3AAB">
        <w:rPr>
          <w:rFonts w:ascii="Arial" w:hAnsi="Arial" w:cs="Arial"/>
          <w:bCs/>
          <w:iCs/>
          <w:color w:val="000000" w:themeColor="text1"/>
        </w:rPr>
        <w:t xml:space="preserve"> </w:t>
      </w:r>
      <w:r w:rsidRPr="00430C8E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5A3736BC" w14:textId="77777777" w:rsidR="0059245A" w:rsidRPr="00430C8E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133BA377" w14:textId="27C431D0" w:rsidR="0059245A" w:rsidRPr="00B8469B" w:rsidRDefault="0059245A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bCs/>
          <w:iCs/>
          <w:color w:val="000000" w:themeColor="text1"/>
        </w:rPr>
      </w:pPr>
      <w:r w:rsidRPr="00B8469B">
        <w:rPr>
          <w:rFonts w:ascii="Arial" w:hAnsi="Arial" w:cs="Arial"/>
          <w:b/>
          <w:bCs/>
          <w:iCs/>
          <w:color w:val="000000" w:themeColor="text1"/>
        </w:rPr>
        <w:t>Ending of a Fixed-Term Contract</w:t>
      </w:r>
    </w:p>
    <w:p w14:paraId="71FAC58C" w14:textId="77777777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3C798A57" w14:textId="16B1EE67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Where a fixed-term contract is reaching a natural end, the fixed-term employee’s Line Manager will speak to them </w:t>
      </w:r>
      <w:r w:rsidR="00B9266E">
        <w:rPr>
          <w:rFonts w:ascii="Arial" w:hAnsi="Arial" w:cs="Arial"/>
          <w:bCs/>
          <w:iCs/>
          <w:color w:val="000000" w:themeColor="text1"/>
        </w:rPr>
        <w:t xml:space="preserve">ahead of </w:t>
      </w:r>
      <w:r>
        <w:rPr>
          <w:rFonts w:ascii="Arial" w:hAnsi="Arial" w:cs="Arial"/>
          <w:bCs/>
          <w:iCs/>
          <w:color w:val="000000" w:themeColor="text1"/>
        </w:rPr>
        <w:t xml:space="preserve">the termination of the contract. </w:t>
      </w:r>
      <w:r w:rsidR="00FA24D5">
        <w:rPr>
          <w:rFonts w:ascii="Arial" w:hAnsi="Arial" w:cs="Arial"/>
          <w:bCs/>
          <w:iCs/>
          <w:color w:val="000000" w:themeColor="text1"/>
        </w:rPr>
        <w:t xml:space="preserve">The employee </w:t>
      </w:r>
      <w:r w:rsidR="00926C66">
        <w:rPr>
          <w:rFonts w:ascii="Arial" w:hAnsi="Arial" w:cs="Arial"/>
          <w:bCs/>
          <w:iCs/>
          <w:color w:val="000000" w:themeColor="text1"/>
        </w:rPr>
        <w:t>will</w:t>
      </w:r>
      <w:r>
        <w:rPr>
          <w:rFonts w:ascii="Arial" w:hAnsi="Arial" w:cs="Arial"/>
          <w:bCs/>
          <w:iCs/>
          <w:color w:val="000000" w:themeColor="text1"/>
        </w:rPr>
        <w:t xml:space="preserve"> be provided with </w:t>
      </w:r>
      <w:r w:rsidR="00EB3AAB">
        <w:rPr>
          <w:rFonts w:ascii="Arial" w:hAnsi="Arial" w:cs="Arial"/>
          <w:bCs/>
          <w:iCs/>
          <w:color w:val="000000" w:themeColor="text1"/>
        </w:rPr>
        <w:t xml:space="preserve">an </w:t>
      </w:r>
      <w:r>
        <w:rPr>
          <w:rFonts w:ascii="Arial" w:hAnsi="Arial" w:cs="Arial"/>
          <w:bCs/>
          <w:iCs/>
          <w:color w:val="000000" w:themeColor="text1"/>
        </w:rPr>
        <w:t xml:space="preserve">opportunity to </w:t>
      </w:r>
      <w:r w:rsidR="00926C66">
        <w:rPr>
          <w:rFonts w:ascii="Arial" w:hAnsi="Arial" w:cs="Arial"/>
          <w:bCs/>
          <w:iCs/>
          <w:color w:val="000000" w:themeColor="text1"/>
        </w:rPr>
        <w:t>suggest</w:t>
      </w:r>
      <w:r>
        <w:rPr>
          <w:rFonts w:ascii="Arial" w:hAnsi="Arial" w:cs="Arial"/>
          <w:bCs/>
          <w:iCs/>
          <w:color w:val="000000" w:themeColor="text1"/>
        </w:rPr>
        <w:t xml:space="preserve"> alternatives</w:t>
      </w:r>
      <w:r w:rsidR="00EB3AAB">
        <w:rPr>
          <w:rFonts w:ascii="Arial" w:hAnsi="Arial" w:cs="Arial"/>
          <w:bCs/>
          <w:iCs/>
          <w:color w:val="000000" w:themeColor="text1"/>
        </w:rPr>
        <w:t xml:space="preserve"> to </w:t>
      </w:r>
      <w:r w:rsidR="00822CDE">
        <w:rPr>
          <w:rFonts w:ascii="Arial" w:hAnsi="Arial" w:cs="Arial"/>
          <w:bCs/>
          <w:iCs/>
          <w:color w:val="000000" w:themeColor="text1"/>
        </w:rPr>
        <w:t xml:space="preserve">the </w:t>
      </w:r>
      <w:r w:rsidR="00EB3AAB">
        <w:rPr>
          <w:rFonts w:ascii="Arial" w:hAnsi="Arial" w:cs="Arial"/>
          <w:bCs/>
          <w:iCs/>
          <w:color w:val="000000" w:themeColor="text1"/>
        </w:rPr>
        <w:t xml:space="preserve">termination of </w:t>
      </w:r>
      <w:r w:rsidR="009044DC">
        <w:rPr>
          <w:rFonts w:ascii="Arial" w:hAnsi="Arial" w:cs="Arial"/>
          <w:bCs/>
          <w:iCs/>
          <w:color w:val="000000" w:themeColor="text1"/>
        </w:rPr>
        <w:t xml:space="preserve">their </w:t>
      </w:r>
      <w:r w:rsidR="00EB3AAB">
        <w:rPr>
          <w:rFonts w:ascii="Arial" w:hAnsi="Arial" w:cs="Arial"/>
          <w:bCs/>
          <w:iCs/>
          <w:color w:val="000000" w:themeColor="text1"/>
        </w:rPr>
        <w:t>employment</w:t>
      </w:r>
      <w:r>
        <w:rPr>
          <w:rFonts w:ascii="Arial" w:hAnsi="Arial" w:cs="Arial"/>
          <w:bCs/>
          <w:iCs/>
          <w:color w:val="000000" w:themeColor="text1"/>
        </w:rPr>
        <w:t xml:space="preserve">. The Line Manager will </w:t>
      </w:r>
      <w:r w:rsidR="009044DC">
        <w:rPr>
          <w:rFonts w:ascii="Arial" w:hAnsi="Arial" w:cs="Arial"/>
          <w:bCs/>
          <w:iCs/>
          <w:color w:val="000000" w:themeColor="text1"/>
        </w:rPr>
        <w:t>consider any such alternatives to dismissal including those suggested by the employee</w:t>
      </w:r>
      <w:r w:rsidR="00926C66">
        <w:rPr>
          <w:rFonts w:ascii="Arial" w:hAnsi="Arial" w:cs="Arial"/>
          <w:bCs/>
          <w:iCs/>
          <w:color w:val="000000" w:themeColor="text1"/>
        </w:rPr>
        <w:t xml:space="preserve">. 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822CDE">
        <w:rPr>
          <w:rFonts w:ascii="Arial" w:hAnsi="Arial" w:cs="Arial"/>
          <w:bCs/>
          <w:iCs/>
          <w:color w:val="000000" w:themeColor="text1"/>
        </w:rPr>
        <w:t>T</w:t>
      </w:r>
      <w:r>
        <w:rPr>
          <w:rFonts w:ascii="Arial" w:hAnsi="Arial" w:cs="Arial"/>
          <w:bCs/>
          <w:iCs/>
          <w:color w:val="000000" w:themeColor="text1"/>
        </w:rPr>
        <w:t xml:space="preserve">he employee will receive </w:t>
      </w:r>
      <w:r w:rsidR="00822CDE">
        <w:rPr>
          <w:rFonts w:ascii="Arial" w:hAnsi="Arial" w:cs="Arial"/>
          <w:bCs/>
          <w:iCs/>
          <w:color w:val="000000" w:themeColor="text1"/>
        </w:rPr>
        <w:t>written</w:t>
      </w:r>
      <w:r w:rsidR="00342252">
        <w:rPr>
          <w:rFonts w:ascii="Arial" w:hAnsi="Arial" w:cs="Arial"/>
          <w:bCs/>
          <w:iCs/>
          <w:color w:val="000000" w:themeColor="text1"/>
        </w:rPr>
        <w:t xml:space="preserve"> </w:t>
      </w:r>
      <w:r w:rsidR="00B04A24">
        <w:rPr>
          <w:rFonts w:ascii="Arial" w:hAnsi="Arial" w:cs="Arial"/>
          <w:bCs/>
          <w:iCs/>
          <w:color w:val="000000" w:themeColor="text1"/>
        </w:rPr>
        <w:t>confirmation</w:t>
      </w:r>
      <w:r>
        <w:rPr>
          <w:rFonts w:ascii="Arial" w:hAnsi="Arial" w:cs="Arial"/>
          <w:bCs/>
          <w:iCs/>
          <w:color w:val="000000" w:themeColor="text1"/>
        </w:rPr>
        <w:t xml:space="preserve"> of the end of their contract</w:t>
      </w:r>
      <w:r w:rsidR="00822CDE">
        <w:rPr>
          <w:rFonts w:ascii="Arial" w:hAnsi="Arial" w:cs="Arial"/>
          <w:bCs/>
          <w:iCs/>
          <w:color w:val="000000" w:themeColor="text1"/>
        </w:rPr>
        <w:t xml:space="preserve"> from HR&amp;D</w:t>
      </w:r>
      <w:r>
        <w:rPr>
          <w:rFonts w:ascii="Arial" w:hAnsi="Arial" w:cs="Arial"/>
          <w:bCs/>
          <w:iCs/>
          <w:color w:val="000000" w:themeColor="text1"/>
        </w:rPr>
        <w:t>.</w:t>
      </w:r>
    </w:p>
    <w:p w14:paraId="1DBCF676" w14:textId="77777777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5F4E433F" w14:textId="77777777" w:rsidR="0059245A" w:rsidRPr="00644DA1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  <w:u w:val="single"/>
        </w:rPr>
      </w:pPr>
      <w:r w:rsidRPr="00644DA1">
        <w:rPr>
          <w:rFonts w:ascii="Arial" w:hAnsi="Arial" w:cs="Arial"/>
          <w:bCs/>
          <w:iCs/>
          <w:color w:val="000000" w:themeColor="text1"/>
          <w:u w:val="single"/>
        </w:rPr>
        <w:t>Right to bring a contract to an end early</w:t>
      </w:r>
    </w:p>
    <w:p w14:paraId="5876BE59" w14:textId="60BD8AAF" w:rsidR="0059245A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The University reserves the right </w:t>
      </w:r>
      <w:r w:rsidR="009044DC">
        <w:rPr>
          <w:rFonts w:ascii="Arial" w:hAnsi="Arial" w:cs="Arial"/>
          <w:bCs/>
          <w:iCs/>
          <w:color w:val="000000" w:themeColor="text1"/>
        </w:rPr>
        <w:t xml:space="preserve">to give notice as set out in </w:t>
      </w:r>
      <w:r w:rsidR="00841167">
        <w:rPr>
          <w:rFonts w:ascii="Arial" w:hAnsi="Arial" w:cs="Arial"/>
          <w:bCs/>
          <w:iCs/>
          <w:color w:val="000000" w:themeColor="text1"/>
        </w:rPr>
        <w:t>employees’</w:t>
      </w:r>
      <w:r w:rsidR="009044DC">
        <w:rPr>
          <w:rFonts w:ascii="Arial" w:hAnsi="Arial" w:cs="Arial"/>
          <w:bCs/>
          <w:iCs/>
          <w:color w:val="000000" w:themeColor="text1"/>
        </w:rPr>
        <w:t xml:space="preserve"> contracts of employment </w:t>
      </w:r>
      <w:r>
        <w:rPr>
          <w:rFonts w:ascii="Arial" w:hAnsi="Arial" w:cs="Arial"/>
          <w:bCs/>
          <w:iCs/>
          <w:color w:val="000000" w:themeColor="text1"/>
        </w:rPr>
        <w:t>to terminate a fixed-term contract early</w:t>
      </w:r>
      <w:r w:rsidR="00342252">
        <w:rPr>
          <w:rFonts w:ascii="Arial" w:hAnsi="Arial" w:cs="Arial"/>
          <w:bCs/>
          <w:iCs/>
          <w:color w:val="000000" w:themeColor="text1"/>
        </w:rPr>
        <w:t xml:space="preserve"> in particular circumstances (</w:t>
      </w:r>
      <w:r>
        <w:rPr>
          <w:rFonts w:ascii="Arial" w:hAnsi="Arial" w:cs="Arial"/>
          <w:bCs/>
          <w:iCs/>
          <w:color w:val="000000" w:themeColor="text1"/>
        </w:rPr>
        <w:t>e.g</w:t>
      </w:r>
      <w:r w:rsidR="00342252">
        <w:rPr>
          <w:rFonts w:ascii="Arial" w:hAnsi="Arial" w:cs="Arial"/>
          <w:bCs/>
          <w:iCs/>
          <w:color w:val="000000" w:themeColor="text1"/>
        </w:rPr>
        <w:t>.</w:t>
      </w:r>
      <w:r>
        <w:rPr>
          <w:rFonts w:ascii="Arial" w:hAnsi="Arial" w:cs="Arial"/>
          <w:bCs/>
          <w:iCs/>
          <w:color w:val="000000" w:themeColor="text1"/>
        </w:rPr>
        <w:t xml:space="preserve"> the early return of the substantive post-holder, the early completion of a project, restructuring</w:t>
      </w:r>
      <w:r w:rsidR="00342252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="00342252">
        <w:rPr>
          <w:rFonts w:ascii="Arial" w:hAnsi="Arial" w:cs="Arial"/>
          <w:bCs/>
          <w:iCs/>
          <w:color w:val="000000" w:themeColor="text1"/>
        </w:rPr>
        <w:t>etc</w:t>
      </w:r>
      <w:proofErr w:type="spellEnd"/>
      <w:r>
        <w:rPr>
          <w:rFonts w:ascii="Arial" w:hAnsi="Arial" w:cs="Arial"/>
          <w:bCs/>
          <w:iCs/>
          <w:color w:val="000000" w:themeColor="text1"/>
        </w:rPr>
        <w:t>). In these situations, the Line Manager will consult with the fixed-term employee on the reasons for the decision to terminate the contract and if appropriate, will explore possible alternatives to allow employment to continue.</w:t>
      </w:r>
      <w:r w:rsidR="00B6799A">
        <w:rPr>
          <w:rFonts w:ascii="Arial" w:hAnsi="Arial" w:cs="Arial"/>
          <w:bCs/>
          <w:iCs/>
          <w:color w:val="000000" w:themeColor="text1"/>
        </w:rPr>
        <w:t xml:space="preserve"> In these circumstances the employee will receive formal written notice, within the </w:t>
      </w:r>
      <w:proofErr w:type="gramStart"/>
      <w:r w:rsidR="00B6799A">
        <w:rPr>
          <w:rFonts w:ascii="Arial" w:hAnsi="Arial" w:cs="Arial"/>
          <w:bCs/>
          <w:iCs/>
          <w:color w:val="000000" w:themeColor="text1"/>
        </w:rPr>
        <w:t>appropriate</w:t>
      </w:r>
      <w:proofErr w:type="gramEnd"/>
      <w:r w:rsidR="00B6799A">
        <w:rPr>
          <w:rFonts w:ascii="Arial" w:hAnsi="Arial" w:cs="Arial"/>
          <w:bCs/>
          <w:iCs/>
          <w:color w:val="000000" w:themeColor="text1"/>
        </w:rPr>
        <w:t xml:space="preserve"> notice period, of the early end of their fixed-term contract.</w:t>
      </w:r>
      <w:r>
        <w:rPr>
          <w:rFonts w:ascii="Arial" w:hAnsi="Arial" w:cs="Arial"/>
          <w:bCs/>
          <w:iCs/>
          <w:color w:val="000000" w:themeColor="text1"/>
        </w:rPr>
        <w:t xml:space="preserve">  </w:t>
      </w:r>
    </w:p>
    <w:p w14:paraId="5E713CD7" w14:textId="77777777" w:rsidR="0059245A" w:rsidRPr="00430C8E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3937DC26" w14:textId="77777777" w:rsidR="0059245A" w:rsidRPr="00926C66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  <w:u w:val="single"/>
        </w:rPr>
      </w:pPr>
      <w:r w:rsidRPr="00926C66">
        <w:rPr>
          <w:rFonts w:ascii="Arial" w:hAnsi="Arial" w:cs="Arial"/>
          <w:bCs/>
          <w:iCs/>
          <w:color w:val="000000" w:themeColor="text1"/>
          <w:u w:val="single"/>
        </w:rPr>
        <w:t>Redundancy</w:t>
      </w:r>
    </w:p>
    <w:p w14:paraId="2F0561B1" w14:textId="6CEE8B4E" w:rsidR="0059245A" w:rsidRPr="00926C66" w:rsidRDefault="0059245A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926C66">
        <w:rPr>
          <w:rFonts w:ascii="Arial" w:hAnsi="Arial" w:cs="Arial"/>
          <w:bCs/>
          <w:iCs/>
          <w:color w:val="000000" w:themeColor="text1"/>
        </w:rPr>
        <w:t xml:space="preserve">If a fixed-term position </w:t>
      </w:r>
      <w:r w:rsidR="00342252" w:rsidRPr="00926C66">
        <w:rPr>
          <w:rFonts w:ascii="Arial" w:hAnsi="Arial" w:cs="Arial"/>
          <w:bCs/>
          <w:iCs/>
          <w:color w:val="000000" w:themeColor="text1"/>
        </w:rPr>
        <w:t xml:space="preserve">is to become </w:t>
      </w:r>
      <w:r w:rsidRPr="00926C66">
        <w:rPr>
          <w:rFonts w:ascii="Arial" w:hAnsi="Arial" w:cs="Arial"/>
          <w:bCs/>
          <w:iCs/>
          <w:color w:val="000000" w:themeColor="text1"/>
        </w:rPr>
        <w:t>redundant</w:t>
      </w:r>
      <w:r w:rsidR="00BA1DD6" w:rsidRPr="00926C66">
        <w:rPr>
          <w:rFonts w:ascii="Arial" w:hAnsi="Arial" w:cs="Arial"/>
          <w:bCs/>
          <w:iCs/>
          <w:color w:val="000000" w:themeColor="text1"/>
        </w:rPr>
        <w:t xml:space="preserve"> a</w:t>
      </w:r>
      <w:r w:rsidR="0080643B">
        <w:rPr>
          <w:rFonts w:ascii="Arial" w:hAnsi="Arial" w:cs="Arial"/>
          <w:bCs/>
          <w:iCs/>
          <w:color w:val="000000" w:themeColor="text1"/>
        </w:rPr>
        <w:t xml:space="preserve">nd that employee has more than 2 </w:t>
      </w:r>
      <w:proofErr w:type="gramStart"/>
      <w:r w:rsidR="0080643B">
        <w:rPr>
          <w:rFonts w:ascii="Arial" w:hAnsi="Arial" w:cs="Arial"/>
          <w:bCs/>
          <w:iCs/>
          <w:color w:val="000000" w:themeColor="text1"/>
        </w:rPr>
        <w:t xml:space="preserve">years </w:t>
      </w:r>
      <w:bookmarkStart w:id="1" w:name="_GoBack"/>
      <w:bookmarkEnd w:id="1"/>
      <w:r w:rsidR="00BA1DD6" w:rsidRPr="00926C66">
        <w:rPr>
          <w:rFonts w:ascii="Arial" w:hAnsi="Arial" w:cs="Arial"/>
          <w:bCs/>
          <w:iCs/>
          <w:color w:val="000000" w:themeColor="text1"/>
        </w:rPr>
        <w:t xml:space="preserve"> continuous</w:t>
      </w:r>
      <w:proofErr w:type="gramEnd"/>
      <w:r w:rsidR="00BA1DD6" w:rsidRPr="00926C66">
        <w:rPr>
          <w:rFonts w:ascii="Arial" w:hAnsi="Arial" w:cs="Arial"/>
          <w:bCs/>
          <w:iCs/>
          <w:color w:val="000000" w:themeColor="text1"/>
        </w:rPr>
        <w:t xml:space="preserve"> service</w:t>
      </w:r>
      <w:r w:rsidRPr="00926C66">
        <w:rPr>
          <w:rFonts w:ascii="Arial" w:hAnsi="Arial" w:cs="Arial"/>
          <w:bCs/>
          <w:iCs/>
          <w:color w:val="000000" w:themeColor="text1"/>
        </w:rPr>
        <w:t xml:space="preserve">, the fixed-term employee will have the same opportunity to apply for alternative work within the University, as </w:t>
      </w:r>
      <w:r w:rsidR="00342252" w:rsidRPr="00926C66">
        <w:rPr>
          <w:rFonts w:ascii="Arial" w:hAnsi="Arial" w:cs="Arial"/>
          <w:bCs/>
          <w:iCs/>
          <w:color w:val="000000" w:themeColor="text1"/>
        </w:rPr>
        <w:t xml:space="preserve">a </w:t>
      </w:r>
      <w:r w:rsidRPr="00926C66">
        <w:rPr>
          <w:rFonts w:ascii="Arial" w:hAnsi="Arial" w:cs="Arial"/>
          <w:bCs/>
          <w:iCs/>
          <w:color w:val="000000" w:themeColor="text1"/>
        </w:rPr>
        <w:t>permanent employee</w:t>
      </w:r>
      <w:r w:rsidR="00BA1DD6" w:rsidRPr="00926C66">
        <w:rPr>
          <w:rFonts w:ascii="Arial" w:hAnsi="Arial" w:cs="Arial"/>
          <w:bCs/>
          <w:iCs/>
          <w:color w:val="000000" w:themeColor="text1"/>
        </w:rPr>
        <w:t xml:space="preserve"> and in particular be entitled to join the redeployment register </w:t>
      </w:r>
    </w:p>
    <w:p w14:paraId="6A0036DC" w14:textId="77777777" w:rsidR="00351456" w:rsidRPr="00926C66" w:rsidRDefault="00351456" w:rsidP="00FA24D5">
      <w:pPr>
        <w:spacing w:line="276" w:lineRule="auto"/>
        <w:rPr>
          <w:rFonts w:ascii="Arial" w:hAnsi="Arial" w:cs="Arial"/>
          <w:bCs/>
          <w:iCs/>
          <w:color w:val="000000" w:themeColor="text1"/>
        </w:rPr>
      </w:pPr>
    </w:p>
    <w:p w14:paraId="7A8ADA1A" w14:textId="02159648" w:rsidR="0059245A" w:rsidRPr="00B8469B" w:rsidRDefault="0059245A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eastAsia="Calibri" w:hAnsi="Arial" w:cs="Arial"/>
          <w:b/>
          <w:lang w:eastAsia="en-US"/>
        </w:rPr>
      </w:pPr>
      <w:r w:rsidRPr="00B8469B">
        <w:rPr>
          <w:rFonts w:ascii="Arial" w:eastAsia="Calibri" w:hAnsi="Arial" w:cs="Arial"/>
          <w:b/>
          <w:lang w:eastAsia="en-US"/>
        </w:rPr>
        <w:t>Questions</w:t>
      </w:r>
    </w:p>
    <w:p w14:paraId="3BDDFE79" w14:textId="77777777" w:rsidR="0059245A" w:rsidRPr="00BA163F" w:rsidRDefault="0059245A" w:rsidP="00FA24D5">
      <w:pPr>
        <w:spacing w:line="276" w:lineRule="auto"/>
        <w:rPr>
          <w:rFonts w:ascii="Arial" w:eastAsia="Calibri" w:hAnsi="Arial" w:cs="Arial"/>
          <w:lang w:eastAsia="en-US"/>
        </w:rPr>
      </w:pPr>
    </w:p>
    <w:p w14:paraId="4E783881" w14:textId="77777777" w:rsidR="0059245A" w:rsidRDefault="0059245A" w:rsidP="00FA24D5">
      <w:pPr>
        <w:spacing w:line="276" w:lineRule="auto"/>
        <w:rPr>
          <w:rFonts w:ascii="Arial" w:eastAsia="Calibri" w:hAnsi="Arial" w:cs="Arial"/>
          <w:lang w:eastAsia="en-US"/>
        </w:rPr>
      </w:pPr>
      <w:r w:rsidRPr="00BA163F">
        <w:rPr>
          <w:rFonts w:ascii="Arial" w:eastAsia="Calibri" w:hAnsi="Arial" w:cs="Arial"/>
          <w:lang w:eastAsia="en-US"/>
        </w:rPr>
        <w:t xml:space="preserve">If </w:t>
      </w:r>
      <w:r>
        <w:rPr>
          <w:rFonts w:ascii="Arial" w:eastAsia="Calibri" w:hAnsi="Arial" w:cs="Arial"/>
          <w:lang w:eastAsia="en-US"/>
        </w:rPr>
        <w:t xml:space="preserve">a staff member </w:t>
      </w:r>
      <w:r w:rsidRPr="00BA163F">
        <w:rPr>
          <w:rFonts w:ascii="Arial" w:eastAsia="Calibri" w:hAnsi="Arial" w:cs="Arial"/>
          <w:lang w:eastAsia="en-US"/>
        </w:rPr>
        <w:t xml:space="preserve">is unsure about any matter covered by this policy, </w:t>
      </w:r>
      <w:r>
        <w:rPr>
          <w:rFonts w:ascii="Arial" w:eastAsia="Calibri" w:hAnsi="Arial" w:cs="Arial"/>
          <w:lang w:eastAsia="en-US"/>
        </w:rPr>
        <w:t>please contact HR&amp;D</w:t>
      </w:r>
      <w:r w:rsidRPr="00BA163F">
        <w:rPr>
          <w:rFonts w:ascii="Arial" w:eastAsia="Calibri" w:hAnsi="Arial" w:cs="Arial"/>
          <w:lang w:eastAsia="en-US"/>
        </w:rPr>
        <w:t>.</w:t>
      </w:r>
    </w:p>
    <w:p w14:paraId="751C90D1" w14:textId="77777777" w:rsidR="0059245A" w:rsidRDefault="0059245A" w:rsidP="00FA24D5">
      <w:pPr>
        <w:spacing w:line="276" w:lineRule="auto"/>
        <w:rPr>
          <w:rFonts w:ascii="Arial" w:eastAsia="Calibri" w:hAnsi="Arial" w:cs="Arial"/>
          <w:lang w:eastAsia="en-US"/>
        </w:rPr>
      </w:pPr>
    </w:p>
    <w:p w14:paraId="0D0A8B9F" w14:textId="77777777" w:rsidR="000E7960" w:rsidRDefault="000E7960" w:rsidP="00FA24D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689B0629" w14:textId="77777777" w:rsidR="000E7960" w:rsidRDefault="000E7960" w:rsidP="00FA24D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63EC879A" w14:textId="5B7E1420" w:rsidR="0059245A" w:rsidRPr="00B8469B" w:rsidRDefault="00B8469B" w:rsidP="00B8469B">
      <w:pPr>
        <w:pStyle w:val="ListParagraph"/>
        <w:numPr>
          <w:ilvl w:val="0"/>
          <w:numId w:val="2"/>
        </w:numPr>
        <w:spacing w:line="276" w:lineRule="auto"/>
        <w:ind w:left="426"/>
        <w:rPr>
          <w:rFonts w:ascii="Arial" w:eastAsia="Calibri" w:hAnsi="Arial" w:cs="Arial"/>
          <w:b/>
          <w:lang w:eastAsia="en-US"/>
        </w:rPr>
      </w:pPr>
      <w:r w:rsidRPr="00B8469B">
        <w:rPr>
          <w:rFonts w:ascii="Arial" w:eastAsia="Calibri" w:hAnsi="Arial" w:cs="Arial"/>
          <w:b/>
          <w:lang w:eastAsia="en-US"/>
        </w:rPr>
        <w:lastRenderedPageBreak/>
        <w:t>Applicable L</w:t>
      </w:r>
      <w:r w:rsidR="0059245A" w:rsidRPr="00B8469B">
        <w:rPr>
          <w:rFonts w:ascii="Arial" w:eastAsia="Calibri" w:hAnsi="Arial" w:cs="Arial"/>
          <w:b/>
          <w:lang w:eastAsia="en-US"/>
        </w:rPr>
        <w:t xml:space="preserve">egislation </w:t>
      </w:r>
    </w:p>
    <w:p w14:paraId="041B0B85" w14:textId="77777777" w:rsidR="0059245A" w:rsidRPr="00BC6D45" w:rsidRDefault="0059245A" w:rsidP="00FA24D5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1C95A85D" w14:textId="77777777" w:rsidR="0059245A" w:rsidRPr="00BA163F" w:rsidRDefault="0059245A" w:rsidP="00FA24D5">
      <w:p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The Fixed-Term Employees (Prevention of less favourable treatment) regulations 2002. </w:t>
      </w:r>
    </w:p>
    <w:p w14:paraId="4E8339B2" w14:textId="77777777" w:rsidR="0059245A" w:rsidRPr="00BA163F" w:rsidRDefault="0059245A" w:rsidP="0059245A">
      <w:pPr>
        <w:pStyle w:val="Heading2"/>
        <w:spacing w:before="0"/>
        <w:rPr>
          <w:rFonts w:ascii="Arial" w:hAnsi="Arial" w:cs="Arial"/>
          <w:i/>
          <w:sz w:val="24"/>
          <w:szCs w:val="24"/>
        </w:rPr>
      </w:pPr>
    </w:p>
    <w:p w14:paraId="1B494A7E" w14:textId="17E2B983" w:rsidR="0059245A" w:rsidRDefault="00B8469B" w:rsidP="0059245A">
      <w:pPr>
        <w:pStyle w:val="Heading2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Policy Version and R</w:t>
      </w:r>
      <w:r w:rsidR="0059245A" w:rsidRPr="00BA163F">
        <w:rPr>
          <w:rFonts w:ascii="Arial" w:hAnsi="Arial" w:cs="Arial"/>
          <w:b/>
          <w:color w:val="000000" w:themeColor="text1"/>
          <w:sz w:val="24"/>
          <w:szCs w:val="24"/>
        </w:rPr>
        <w:t xml:space="preserve">evision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59245A" w:rsidRPr="00BA163F">
        <w:rPr>
          <w:rFonts w:ascii="Arial" w:hAnsi="Arial" w:cs="Arial"/>
          <w:b/>
          <w:color w:val="000000" w:themeColor="text1"/>
          <w:sz w:val="24"/>
          <w:szCs w:val="24"/>
        </w:rPr>
        <w:t>nformation</w:t>
      </w:r>
    </w:p>
    <w:p w14:paraId="33832DF5" w14:textId="77777777" w:rsidR="00F049C6" w:rsidRPr="00F049C6" w:rsidRDefault="00F049C6" w:rsidP="00F049C6"/>
    <w:tbl>
      <w:tblPr>
        <w:tblW w:w="908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6804"/>
      </w:tblGrid>
      <w:tr w:rsidR="0059245A" w:rsidRPr="00BA163F" w14:paraId="64843C4A" w14:textId="77777777" w:rsidTr="00644DA1">
        <w:trPr>
          <w:trHeight w:val="352"/>
        </w:trPr>
        <w:tc>
          <w:tcPr>
            <w:tcW w:w="9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7BAB" w14:textId="77777777" w:rsidR="0059245A" w:rsidRPr="00D85AB5" w:rsidRDefault="0059245A" w:rsidP="00644DA1">
            <w:pPr>
              <w:rPr>
                <w:rFonts w:ascii="Arial" w:hAnsi="Arial" w:cs="Arial"/>
                <w:bCs/>
                <w:color w:val="000000"/>
              </w:rPr>
            </w:pPr>
            <w:r w:rsidRPr="00D85AB5">
              <w:rPr>
                <w:rFonts w:ascii="Arial" w:hAnsi="Arial" w:cs="Arial"/>
                <w:bCs/>
                <w:color w:val="000000"/>
              </w:rPr>
              <w:t>Document Control Information</w:t>
            </w:r>
          </w:p>
        </w:tc>
      </w:tr>
      <w:tr w:rsidR="0059245A" w:rsidRPr="00BA163F" w14:paraId="2A6D0CB8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D5AC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BD0" w14:textId="496C0796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 </w:t>
            </w:r>
            <w:r w:rsidR="00E43987">
              <w:rPr>
                <w:rFonts w:ascii="Arial" w:hAnsi="Arial" w:cs="Arial"/>
                <w:color w:val="000000"/>
              </w:rPr>
              <w:t>Fixed-term contract statement</w:t>
            </w:r>
          </w:p>
        </w:tc>
      </w:tr>
      <w:tr w:rsidR="0059245A" w:rsidRPr="00BA163F" w14:paraId="38BA901F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C6BC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Version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F69C" w14:textId="28ECBB51" w:rsidR="0059245A" w:rsidRPr="00BA163F" w:rsidRDefault="00E43987" w:rsidP="00E439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V1</w:t>
            </w:r>
            <w:r w:rsidR="0059245A" w:rsidRPr="00BA163F">
              <w:rPr>
                <w:rFonts w:ascii="Arial" w:hAnsi="Arial" w:cs="Arial"/>
                <w:color w:val="000000"/>
              </w:rPr>
              <w:t>.0</w:t>
            </w:r>
          </w:p>
        </w:tc>
      </w:tr>
      <w:tr w:rsidR="0059245A" w:rsidRPr="00BA163F" w14:paraId="1F8E7774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B9BE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Author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AEFA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Resources and Development</w:t>
            </w:r>
          </w:p>
        </w:tc>
      </w:tr>
      <w:tr w:rsidR="0059245A" w:rsidRPr="00BA163F" w14:paraId="18F14BBE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4D52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Date First Approved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14C3" w14:textId="09BB72E5" w:rsidR="0059245A" w:rsidRPr="00BA163F" w:rsidRDefault="00A05917" w:rsidP="00644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A05917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October 2015</w:t>
            </w:r>
          </w:p>
        </w:tc>
      </w:tr>
      <w:tr w:rsidR="0059245A" w:rsidRPr="00BA163F" w14:paraId="16801F79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75C3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 xml:space="preserve">Last Review Date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AD74" w14:textId="216AF291" w:rsidR="0059245A" w:rsidRPr="00BA163F" w:rsidRDefault="00A05917" w:rsidP="00644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A05917">
              <w:rPr>
                <w:rFonts w:ascii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</w:rPr>
              <w:t xml:space="preserve"> October 2015</w:t>
            </w:r>
          </w:p>
        </w:tc>
      </w:tr>
      <w:tr w:rsidR="0059245A" w:rsidRPr="00BA163F" w14:paraId="33AE98E4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20C0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Review Frequency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3DA3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years</w:t>
            </w:r>
          </w:p>
        </w:tc>
      </w:tr>
      <w:tr w:rsidR="0059245A" w:rsidRPr="00BA163F" w14:paraId="29211A62" w14:textId="77777777" w:rsidTr="00644DA1">
        <w:trPr>
          <w:trHeight w:val="61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3446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Scope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4C47" w14:textId="77777777" w:rsidR="0059245A" w:rsidRPr="00BA163F" w:rsidRDefault="0059245A" w:rsidP="00644DA1">
            <w:pPr>
              <w:rPr>
                <w:rFonts w:ascii="Arial" w:hAnsi="Arial" w:cs="Arial"/>
                <w:color w:val="000000"/>
              </w:rPr>
            </w:pPr>
            <w:r w:rsidRPr="00BA163F">
              <w:rPr>
                <w:rFonts w:ascii="Arial" w:hAnsi="Arial" w:cs="Arial"/>
                <w:color w:val="000000"/>
              </w:rPr>
              <w:t>All University employees</w:t>
            </w:r>
          </w:p>
        </w:tc>
      </w:tr>
    </w:tbl>
    <w:p w14:paraId="295C69FA" w14:textId="77777777" w:rsidR="0059245A" w:rsidRPr="00BA163F" w:rsidRDefault="0059245A" w:rsidP="0059245A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14:paraId="595A6DDE" w14:textId="77777777" w:rsidR="0059245A" w:rsidRDefault="0059245A" w:rsidP="0059245A">
      <w:pPr>
        <w:pStyle w:val="Heading2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85AB5">
        <w:rPr>
          <w:rFonts w:ascii="Arial" w:hAnsi="Arial" w:cs="Arial"/>
          <w:b/>
          <w:color w:val="000000" w:themeColor="text1"/>
          <w:sz w:val="24"/>
          <w:szCs w:val="24"/>
        </w:rPr>
        <w:t>Change Record</w:t>
      </w:r>
    </w:p>
    <w:p w14:paraId="6FF3A6D6" w14:textId="77777777" w:rsidR="00B8469B" w:rsidRPr="00B8469B" w:rsidRDefault="00B8469B" w:rsidP="00B8469B"/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27"/>
        <w:gridCol w:w="1313"/>
        <w:gridCol w:w="5011"/>
      </w:tblGrid>
      <w:tr w:rsidR="0059245A" w:rsidRPr="00D85AB5" w14:paraId="6B1C3A15" w14:textId="77777777" w:rsidTr="00644DA1">
        <w:trPr>
          <w:trHeight w:val="3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35B383" w14:textId="77777777" w:rsidR="0059245A" w:rsidRPr="00D85AB5" w:rsidRDefault="0059245A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34AEF1" w14:textId="77777777" w:rsidR="0059245A" w:rsidRPr="00D85AB5" w:rsidRDefault="0059245A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27FAE3" w14:textId="77777777" w:rsidR="0059245A" w:rsidRPr="00D85AB5" w:rsidRDefault="0059245A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Version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D0BE2B" w14:textId="77777777" w:rsidR="0059245A" w:rsidRPr="00D85AB5" w:rsidRDefault="0059245A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Change reference</w:t>
            </w:r>
          </w:p>
        </w:tc>
      </w:tr>
      <w:tr w:rsidR="0059245A" w:rsidRPr="00D85AB5" w14:paraId="70911CD7" w14:textId="77777777" w:rsidTr="00644DA1">
        <w:trPr>
          <w:trHeight w:val="384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ED15E4" w14:textId="4A93DAE5" w:rsidR="0059245A" w:rsidRPr="00D85AB5" w:rsidRDefault="004354F5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6D92CA" w14:textId="0EC8DB5B" w:rsidR="0059245A" w:rsidRPr="00D85AB5" w:rsidRDefault="004354F5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A50362" w14:textId="1403F293" w:rsidR="0059245A" w:rsidRPr="00D85AB5" w:rsidRDefault="00E43987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8" w:space="0" w:color="999999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7FA2B0" w14:textId="77777777" w:rsidR="0059245A" w:rsidRPr="00D85AB5" w:rsidRDefault="0059245A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 w:rsidRPr="00D85AB5">
              <w:rPr>
                <w:rFonts w:ascii="Arial" w:hAnsi="Arial" w:cs="Arial"/>
                <w:sz w:val="24"/>
                <w:szCs w:val="24"/>
              </w:rPr>
              <w:t>Initial draft for review/discussion</w:t>
            </w:r>
          </w:p>
        </w:tc>
      </w:tr>
      <w:tr w:rsidR="0059245A" w:rsidRPr="00D85AB5" w14:paraId="5215581E" w14:textId="77777777" w:rsidTr="00644DA1">
        <w:trPr>
          <w:trHeight w:val="395"/>
        </w:trPr>
        <w:tc>
          <w:tcPr>
            <w:tcW w:w="1148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C5B52" w14:textId="1EE84A84" w:rsidR="0059245A" w:rsidRPr="00D85AB5" w:rsidRDefault="005F1F11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07/08/2015 </w:t>
            </w:r>
          </w:p>
        </w:tc>
        <w:tc>
          <w:tcPr>
            <w:tcW w:w="14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80BF8" w14:textId="507F7E95" w:rsidR="0059245A" w:rsidRPr="00D85AB5" w:rsidRDefault="005F1F11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</w:t>
            </w:r>
          </w:p>
        </w:tc>
        <w:tc>
          <w:tcPr>
            <w:tcW w:w="132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FDEE5" w14:textId="4FB7A00D" w:rsidR="0059245A" w:rsidRPr="00D85AB5" w:rsidRDefault="00E43987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5137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66BAB3" w14:textId="3A06313A" w:rsidR="0059245A" w:rsidRPr="00D85AB5" w:rsidRDefault="005F1F11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0E7900">
              <w:rPr>
                <w:rFonts w:ascii="Arial" w:hAnsi="Arial" w:cs="Arial"/>
                <w:sz w:val="24"/>
                <w:szCs w:val="24"/>
              </w:rPr>
              <w:t xml:space="preserve">Team </w:t>
            </w:r>
            <w:r>
              <w:rPr>
                <w:rFonts w:ascii="Arial" w:hAnsi="Arial" w:cs="Arial"/>
                <w:sz w:val="24"/>
                <w:szCs w:val="24"/>
              </w:rPr>
              <w:t xml:space="preserve">Amendments </w:t>
            </w:r>
          </w:p>
        </w:tc>
      </w:tr>
      <w:tr w:rsidR="0059245A" w:rsidRPr="00D85AB5" w14:paraId="5CB443FF" w14:textId="77777777" w:rsidTr="00644DA1">
        <w:trPr>
          <w:trHeight w:val="477"/>
        </w:trPr>
        <w:tc>
          <w:tcPr>
            <w:tcW w:w="1148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250BD" w14:textId="27D71C6F" w:rsidR="0059245A" w:rsidRPr="00D85AB5" w:rsidRDefault="00764790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13/08/2015 </w:t>
            </w:r>
          </w:p>
        </w:tc>
        <w:tc>
          <w:tcPr>
            <w:tcW w:w="145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03455" w14:textId="026AA23F" w:rsidR="0059245A" w:rsidRPr="00D85AB5" w:rsidRDefault="00764790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BN</w:t>
            </w:r>
          </w:p>
        </w:tc>
        <w:tc>
          <w:tcPr>
            <w:tcW w:w="1329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47A45" w14:textId="2D9239E5" w:rsidR="0059245A" w:rsidRPr="00D85AB5" w:rsidRDefault="00E43987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</w:p>
        </w:tc>
        <w:tc>
          <w:tcPr>
            <w:tcW w:w="51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73774C" w14:textId="4B06D2B6" w:rsidR="0059245A" w:rsidRPr="00D85AB5" w:rsidRDefault="00764790" w:rsidP="00644D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A&amp;S Amendments (legal)</w:t>
            </w:r>
          </w:p>
        </w:tc>
      </w:tr>
      <w:tr w:rsidR="0059245A" w:rsidRPr="00D85AB5" w14:paraId="526EF8F6" w14:textId="77777777" w:rsidTr="00644DA1">
        <w:trPr>
          <w:trHeight w:val="71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A17FFB" w14:textId="5F49F507" w:rsidR="0059245A" w:rsidRPr="00D85AB5" w:rsidRDefault="00A10F12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77AB3" w14:textId="3349F6F8" w:rsidR="0059245A" w:rsidRPr="00D85AB5" w:rsidRDefault="00A10F12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B1FE9" w14:textId="37945160" w:rsidR="0059245A" w:rsidRPr="00D85AB5" w:rsidRDefault="00A10F12" w:rsidP="00644DA1">
            <w:pPr>
              <w:pStyle w:val="TableNormal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29C14" w14:textId="0F2A7AB1" w:rsidR="0059245A" w:rsidRDefault="00A10F12" w:rsidP="00644D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</w:t>
            </w:r>
          </w:p>
          <w:p w14:paraId="5C340349" w14:textId="77777777" w:rsidR="00A10F12" w:rsidRPr="00D85AB5" w:rsidRDefault="00A10F12" w:rsidP="00644DA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651CF5C" w14:textId="77777777" w:rsidR="0059245A" w:rsidRPr="000144BD" w:rsidRDefault="0059245A" w:rsidP="0059245A">
      <w:pPr>
        <w:rPr>
          <w:rFonts w:ascii="Arial" w:hAnsi="Arial" w:cs="Arial"/>
          <w:sz w:val="22"/>
          <w:szCs w:val="22"/>
        </w:rPr>
      </w:pPr>
    </w:p>
    <w:p w14:paraId="0B8CB5AC" w14:textId="77777777" w:rsidR="00F83D77" w:rsidRDefault="00F83D77"/>
    <w:sectPr w:rsidR="00F83D77" w:rsidSect="00926C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3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E549" w14:textId="77777777" w:rsidR="00335CE3" w:rsidRDefault="00335CE3">
      <w:r>
        <w:separator/>
      </w:r>
    </w:p>
  </w:endnote>
  <w:endnote w:type="continuationSeparator" w:id="0">
    <w:p w14:paraId="3E2CBE9A" w14:textId="77777777" w:rsidR="00335CE3" w:rsidRDefault="0033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23C8" w14:textId="77777777" w:rsidR="00B02D62" w:rsidRDefault="00B02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C00000"/>
        <w:sz w:val="20"/>
        <w:szCs w:val="20"/>
      </w:rPr>
      <w:id w:val="428944300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14:paraId="557B59A7" w14:textId="430F19C1" w:rsidR="000144BD" w:rsidRPr="00D85AB5" w:rsidRDefault="00B13388" w:rsidP="000144BD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color w:val="92D050"/>
            <w:sz w:val="20"/>
            <w:szCs w:val="20"/>
          </w:rPr>
        </w:pPr>
        <w:r w:rsidRPr="000144BD">
          <w:rPr>
            <w:rFonts w:ascii="Arial" w:hAnsi="Arial" w:cs="Arial"/>
            <w:sz w:val="20"/>
            <w:szCs w:val="20"/>
          </w:rPr>
          <w:t>Human Resources and Development</w:t>
        </w:r>
        <w:r w:rsidRPr="000144BD">
          <w:rPr>
            <w:rFonts w:ascii="Arial" w:hAnsi="Arial" w:cs="Arial"/>
            <w:sz w:val="20"/>
            <w:szCs w:val="20"/>
          </w:rPr>
          <w:tab/>
        </w:r>
        <w:r w:rsidRPr="000144BD">
          <w:rPr>
            <w:rFonts w:ascii="Arial" w:hAnsi="Arial" w:cs="Arial"/>
            <w:sz w:val="20"/>
            <w:szCs w:val="20"/>
          </w:rPr>
          <w:tab/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fldChar w:fldCharType="begin"/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instrText xml:space="preserve"> PAGE   \* MERGEFORMAT </w:instrText>
        </w:r>
        <w:r w:rsidRPr="00D85AB5">
          <w:rPr>
            <w:rFonts w:ascii="Arial" w:hAnsi="Arial" w:cs="Arial"/>
            <w:b/>
            <w:color w:val="92D050"/>
            <w:sz w:val="20"/>
            <w:szCs w:val="20"/>
          </w:rPr>
          <w:fldChar w:fldCharType="separate"/>
        </w:r>
        <w:r w:rsidR="0080643B">
          <w:rPr>
            <w:rFonts w:ascii="Arial" w:hAnsi="Arial" w:cs="Arial"/>
            <w:b/>
            <w:noProof/>
            <w:color w:val="92D050"/>
            <w:sz w:val="20"/>
            <w:szCs w:val="20"/>
          </w:rPr>
          <w:t>3</w:t>
        </w:r>
        <w:r w:rsidRPr="00D85AB5">
          <w:rPr>
            <w:rFonts w:ascii="Arial" w:hAnsi="Arial" w:cs="Arial"/>
            <w:b/>
            <w:noProof/>
            <w:color w:val="92D050"/>
            <w:sz w:val="20"/>
            <w:szCs w:val="20"/>
          </w:rPr>
          <w:fldChar w:fldCharType="end"/>
        </w:r>
      </w:p>
    </w:sdtContent>
  </w:sdt>
  <w:p w14:paraId="782B42D8" w14:textId="77777777" w:rsidR="000144BD" w:rsidRDefault="00335C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ECE0C" w14:textId="77777777" w:rsidR="00B02D62" w:rsidRDefault="00B0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5A2A" w14:textId="77777777" w:rsidR="00335CE3" w:rsidRDefault="00335CE3">
      <w:r>
        <w:separator/>
      </w:r>
    </w:p>
  </w:footnote>
  <w:footnote w:type="continuationSeparator" w:id="0">
    <w:p w14:paraId="5B00E2B3" w14:textId="77777777" w:rsidR="00335CE3" w:rsidRDefault="0033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7D72" w14:textId="77777777" w:rsidR="00B02D62" w:rsidRDefault="00B0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58AC" w14:textId="77777777" w:rsidR="00B02D62" w:rsidRDefault="00B02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ED9C" w14:textId="77777777" w:rsidR="00B02D62" w:rsidRDefault="00B0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F85"/>
    <w:multiLevelType w:val="hybridMultilevel"/>
    <w:tmpl w:val="1066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0AAD"/>
    <w:multiLevelType w:val="hybridMultilevel"/>
    <w:tmpl w:val="C6368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A"/>
    <w:rsid w:val="000E7900"/>
    <w:rsid w:val="000E7960"/>
    <w:rsid w:val="00136DD9"/>
    <w:rsid w:val="001530EC"/>
    <w:rsid w:val="001A75F6"/>
    <w:rsid w:val="001E0125"/>
    <w:rsid w:val="002D752B"/>
    <w:rsid w:val="00335CE3"/>
    <w:rsid w:val="00342252"/>
    <w:rsid w:val="00351456"/>
    <w:rsid w:val="003C201F"/>
    <w:rsid w:val="004354F5"/>
    <w:rsid w:val="004B20F6"/>
    <w:rsid w:val="005455E5"/>
    <w:rsid w:val="00577EC2"/>
    <w:rsid w:val="0059245A"/>
    <w:rsid w:val="005B61E7"/>
    <w:rsid w:val="005F1F11"/>
    <w:rsid w:val="00621C23"/>
    <w:rsid w:val="006F0527"/>
    <w:rsid w:val="00752631"/>
    <w:rsid w:val="00764790"/>
    <w:rsid w:val="007D78DE"/>
    <w:rsid w:val="0080643B"/>
    <w:rsid w:val="00822CDE"/>
    <w:rsid w:val="008332A6"/>
    <w:rsid w:val="00841167"/>
    <w:rsid w:val="00861857"/>
    <w:rsid w:val="008730D0"/>
    <w:rsid w:val="00891047"/>
    <w:rsid w:val="009044DC"/>
    <w:rsid w:val="00926C66"/>
    <w:rsid w:val="009517FB"/>
    <w:rsid w:val="0099307D"/>
    <w:rsid w:val="00A05917"/>
    <w:rsid w:val="00A10F12"/>
    <w:rsid w:val="00A30D5D"/>
    <w:rsid w:val="00A30E69"/>
    <w:rsid w:val="00AB2D3E"/>
    <w:rsid w:val="00AF2598"/>
    <w:rsid w:val="00B02D62"/>
    <w:rsid w:val="00B04A24"/>
    <w:rsid w:val="00B13388"/>
    <w:rsid w:val="00B30ECA"/>
    <w:rsid w:val="00B6799A"/>
    <w:rsid w:val="00B8469B"/>
    <w:rsid w:val="00B9266E"/>
    <w:rsid w:val="00BA1DD6"/>
    <w:rsid w:val="00E43987"/>
    <w:rsid w:val="00E43E7A"/>
    <w:rsid w:val="00E442CF"/>
    <w:rsid w:val="00EB3AAB"/>
    <w:rsid w:val="00ED516E"/>
    <w:rsid w:val="00F049C6"/>
    <w:rsid w:val="00F83D77"/>
    <w:rsid w:val="00FA24D5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71D8"/>
  <w15:docId w15:val="{F1E3C931-A214-4760-979D-12416FE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4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24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4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245A"/>
    <w:pPr>
      <w:spacing w:after="120"/>
    </w:pPr>
    <w:rPr>
      <w:rFonts w:eastAsia="Batang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9245A"/>
    <w:rPr>
      <w:rFonts w:ascii="Times New Roman" w:eastAsia="Batang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924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Normal1">
    <w:name w:val="Table Normal1"/>
    <w:basedOn w:val="Normal"/>
    <w:rsid w:val="0059245A"/>
    <w:pPr>
      <w:spacing w:before="60" w:after="60" w:line="264" w:lineRule="auto"/>
    </w:pPr>
    <w:rPr>
      <w:rFonts w:ascii="Arial Narrow" w:eastAsia="MS PGothic" w:hAnsi="Arial Narrow" w:cs="MS PGothic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9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4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5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searchword1">
    <w:name w:val="searchword1"/>
    <w:basedOn w:val="DefaultParagraphFont"/>
    <w:rsid w:val="00ED516E"/>
    <w:rPr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B0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6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BF81B-33C2-4180-B03F-70C02D3BBA41}"/>
</file>

<file path=customXml/itemProps2.xml><?xml version="1.0" encoding="utf-8"?>
<ds:datastoreItem xmlns:ds="http://schemas.openxmlformats.org/officeDocument/2006/customXml" ds:itemID="{9ECE12D8-14E0-4C4D-B445-0DE1D0BD9E09}"/>
</file>

<file path=customXml/itemProps3.xml><?xml version="1.0" encoding="utf-8"?>
<ds:datastoreItem xmlns:ds="http://schemas.openxmlformats.org/officeDocument/2006/customXml" ds:itemID="{B3694898-104E-49DB-8841-5A3D95D9B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Fixed-Term Contract Policy Statement </vt:lpstr>
    </vt:vector>
  </TitlesOfParts>
  <Company/>
  <LinksUpToDate>false</LinksUpToDate>
  <CharactersWithSpaces>4633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Fixed-Term Contract Policy Statement</dc:title>
  <dc:creator>Goodall, Tara</dc:creator>
  <cp:lastModifiedBy>Ramsay, Anna</cp:lastModifiedBy>
  <cp:revision>3</cp:revision>
  <dcterms:created xsi:type="dcterms:W3CDTF">2018-02-23T10:30:00Z</dcterms:created>
  <dcterms:modified xsi:type="dcterms:W3CDTF">2018-02-23T10:31:00Z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9" name="PublishingContactName">
    <vt:lpwstr/>
  </property>
  <property fmtid="{D5CDD505-2E9C-101B-9397-08002B2CF9AE}" pid="10" name="PublishingPageLayout">
    <vt:lpwstr/>
  </property>
  <property fmtid="{D5CDD505-2E9C-101B-9397-08002B2CF9AE}" pid="11" name="Comment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PublishingContactPicture">
    <vt:lpwstr/>
  </property>
  <property fmtid="{D5CDD505-2E9C-101B-9397-08002B2CF9AE}" pid="16" name="Document Keywords">
    <vt:lpwstr/>
  </property>
  <property fmtid="{D5CDD505-2E9C-101B-9397-08002B2CF9AE}" pid="17" name="Document Description">
    <vt:lpwstr/>
  </property>
</Properties>
</file>