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F96B" w14:textId="33E31AB8" w:rsidR="008434C5" w:rsidRDefault="00BD06D5" w:rsidP="006F10C7">
      <w:pPr>
        <w:shd w:val="clear" w:color="auto" w:fill="FFFFFF"/>
        <w:spacing w:before="100" w:beforeAutospacing="1" w:after="180"/>
        <w:jc w:val="both"/>
        <w:rPr>
          <w:rFonts w:ascii="Titillium" w:hAnsi="Titillium"/>
          <w:b/>
          <w:color w:val="579FBB"/>
          <w:sz w:val="32"/>
          <w:szCs w:val="32"/>
          <w:lang w:eastAsia="en-GB"/>
        </w:rPr>
      </w:pPr>
      <w:r>
        <w:rPr>
          <w:rFonts w:ascii="Titillium" w:hAnsi="Titillium"/>
          <w:b/>
          <w:color w:val="579FBB"/>
          <w:sz w:val="32"/>
          <w:szCs w:val="32"/>
          <w:lang w:eastAsia="en-GB"/>
        </w:rPr>
        <w:t>Conducting a</w:t>
      </w:r>
      <w:r w:rsidR="008434C5">
        <w:rPr>
          <w:rFonts w:ascii="Titillium" w:hAnsi="Titillium"/>
          <w:b/>
          <w:color w:val="579FBB"/>
          <w:sz w:val="32"/>
          <w:szCs w:val="32"/>
          <w:lang w:eastAsia="en-GB"/>
        </w:rPr>
        <w:t xml:space="preserve"> </w:t>
      </w:r>
      <w:r w:rsidR="004E30B9">
        <w:rPr>
          <w:rFonts w:ascii="Titillium" w:hAnsi="Titillium"/>
          <w:b/>
          <w:color w:val="579FBB"/>
          <w:sz w:val="32"/>
          <w:szCs w:val="32"/>
          <w:lang w:eastAsia="en-GB"/>
        </w:rPr>
        <w:t>Return to Work Meeting</w:t>
      </w:r>
      <w:r w:rsidR="008434C5">
        <w:rPr>
          <w:rFonts w:ascii="Titillium" w:hAnsi="Titillium"/>
          <w:b/>
          <w:color w:val="579FBB"/>
          <w:sz w:val="32"/>
          <w:szCs w:val="32"/>
          <w:lang w:eastAsia="en-GB"/>
        </w:rPr>
        <w:t xml:space="preserve"> </w:t>
      </w:r>
    </w:p>
    <w:tbl>
      <w:tblPr>
        <w:tblStyle w:val="TableGrid"/>
        <w:tblW w:w="9923" w:type="dxa"/>
        <w:tblInd w:w="-142" w:type="dxa"/>
        <w:tblLook w:val="04A0" w:firstRow="1" w:lastRow="0" w:firstColumn="1" w:lastColumn="0" w:noHBand="0" w:noVBand="1"/>
      </w:tblPr>
      <w:tblGrid>
        <w:gridCol w:w="2264"/>
        <w:gridCol w:w="1984"/>
        <w:gridCol w:w="2835"/>
        <w:gridCol w:w="2840"/>
      </w:tblGrid>
      <w:tr w:rsidR="00D22342" w:rsidRPr="00901762" w14:paraId="5D2BBA5E" w14:textId="77777777" w:rsidTr="00D22342">
        <w:trPr>
          <w:trHeight w:val="513"/>
        </w:trPr>
        <w:tc>
          <w:tcPr>
            <w:tcW w:w="9923" w:type="dxa"/>
            <w:gridSpan w:val="4"/>
            <w:tcBorders>
              <w:top w:val="single" w:sz="4" w:space="0" w:color="579FBB"/>
              <w:left w:val="single" w:sz="4" w:space="0" w:color="579FBB"/>
              <w:bottom w:val="single" w:sz="4" w:space="0" w:color="579FBB"/>
              <w:right w:val="single" w:sz="4" w:space="0" w:color="579FBB"/>
            </w:tcBorders>
            <w:shd w:val="clear" w:color="auto" w:fill="579FBB"/>
            <w:vAlign w:val="center"/>
          </w:tcPr>
          <w:p w14:paraId="40461F4E" w14:textId="77777777" w:rsidR="00D22342" w:rsidRPr="00901762" w:rsidRDefault="00D22342" w:rsidP="00D22342">
            <w:pPr>
              <w:ind w:right="-23"/>
              <w:jc w:val="both"/>
              <w:rPr>
                <w:rFonts w:ascii="Titillium" w:hAnsi="Titillium"/>
                <w:b/>
                <w:color w:val="FFFFFF" w:themeColor="background1"/>
                <w:sz w:val="22"/>
              </w:rPr>
            </w:pPr>
            <w:r w:rsidRPr="00901762">
              <w:rPr>
                <w:rFonts w:ascii="Titillium" w:hAnsi="Titillium"/>
                <w:b/>
                <w:color w:val="FFFFFF" w:themeColor="background1"/>
                <w:sz w:val="22"/>
              </w:rPr>
              <w:t>Employee Details</w:t>
            </w:r>
          </w:p>
        </w:tc>
      </w:tr>
      <w:tr w:rsidR="00D22342" w:rsidRPr="000F636D" w14:paraId="0B752DEF" w14:textId="77777777" w:rsidTr="00D22342">
        <w:trPr>
          <w:trHeight w:val="513"/>
        </w:trPr>
        <w:tc>
          <w:tcPr>
            <w:tcW w:w="2264" w:type="dxa"/>
            <w:tcBorders>
              <w:top w:val="single" w:sz="4" w:space="0" w:color="579FBB"/>
              <w:left w:val="single" w:sz="4" w:space="0" w:color="579FBB"/>
              <w:bottom w:val="single" w:sz="4" w:space="0" w:color="579FBB"/>
              <w:right w:val="single" w:sz="4" w:space="0" w:color="579FBB"/>
            </w:tcBorders>
            <w:vAlign w:val="center"/>
          </w:tcPr>
          <w:p w14:paraId="7199897A" w14:textId="77777777" w:rsidR="00D22342" w:rsidRPr="000F636D" w:rsidRDefault="00D22342" w:rsidP="00D22342">
            <w:pPr>
              <w:ind w:right="-23"/>
              <w:jc w:val="both"/>
              <w:rPr>
                <w:rFonts w:ascii="Titillium" w:hAnsi="Titillium"/>
                <w:b/>
                <w:sz w:val="22"/>
                <w:szCs w:val="22"/>
              </w:rPr>
            </w:pPr>
            <w:r w:rsidRPr="000F636D">
              <w:rPr>
                <w:rFonts w:ascii="Titillium" w:hAnsi="Titillium"/>
                <w:b/>
                <w:sz w:val="22"/>
                <w:szCs w:val="22"/>
              </w:rPr>
              <w:t>Full Name:</w:t>
            </w:r>
          </w:p>
        </w:tc>
        <w:tc>
          <w:tcPr>
            <w:tcW w:w="1984" w:type="dxa"/>
            <w:tcBorders>
              <w:top w:val="single" w:sz="4" w:space="0" w:color="579FBB"/>
              <w:left w:val="single" w:sz="4" w:space="0" w:color="579FBB"/>
              <w:bottom w:val="single" w:sz="4" w:space="0" w:color="579FBB"/>
              <w:right w:val="single" w:sz="4" w:space="0" w:color="579FBB"/>
            </w:tcBorders>
            <w:vAlign w:val="center"/>
          </w:tcPr>
          <w:p w14:paraId="2A3C0BA7" w14:textId="77777777" w:rsidR="00D22342" w:rsidRPr="000F636D" w:rsidRDefault="00D22342" w:rsidP="00D22342">
            <w:pPr>
              <w:ind w:right="-23"/>
              <w:jc w:val="both"/>
              <w:rPr>
                <w:rFonts w:ascii="Titillium" w:hAnsi="Titillium"/>
                <w:sz w:val="22"/>
                <w:szCs w:val="22"/>
              </w:rPr>
            </w:pPr>
            <w:r w:rsidRPr="000F636D">
              <w:rPr>
                <w:rFonts w:ascii="Titillium" w:hAnsi="Titillium"/>
                <w:sz w:val="22"/>
                <w:szCs w:val="22"/>
              </w:rPr>
              <w:fldChar w:fldCharType="begin">
                <w:ffData>
                  <w:name w:val="Text478"/>
                  <w:enabled/>
                  <w:calcOnExit w:val="0"/>
                  <w:helpText w:type="text" w:val="Please input your job title and a brief description of duties carried out in the role."/>
                  <w:textInput/>
                </w:ffData>
              </w:fldChar>
            </w:r>
            <w:r w:rsidRPr="000F636D">
              <w:rPr>
                <w:rFonts w:ascii="Titillium" w:hAnsi="Titillium"/>
                <w:sz w:val="22"/>
                <w:szCs w:val="22"/>
              </w:rPr>
              <w:instrText xml:space="preserve"> FORMTEXT </w:instrText>
            </w:r>
            <w:r w:rsidRPr="000F636D">
              <w:rPr>
                <w:rFonts w:ascii="Titillium" w:hAnsi="Titillium"/>
                <w:sz w:val="22"/>
                <w:szCs w:val="22"/>
              </w:rPr>
            </w:r>
            <w:r w:rsidRPr="000F636D">
              <w:rPr>
                <w:rFonts w:ascii="Titillium" w:hAnsi="Titillium"/>
                <w:sz w:val="22"/>
                <w:szCs w:val="22"/>
              </w:rPr>
              <w:fldChar w:fldCharType="separate"/>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sz w:val="22"/>
                <w:szCs w:val="22"/>
              </w:rPr>
              <w:fldChar w:fldCharType="end"/>
            </w:r>
          </w:p>
        </w:tc>
        <w:tc>
          <w:tcPr>
            <w:tcW w:w="2835" w:type="dxa"/>
            <w:tcBorders>
              <w:top w:val="single" w:sz="4" w:space="0" w:color="579FBB"/>
              <w:left w:val="single" w:sz="4" w:space="0" w:color="579FBB"/>
              <w:bottom w:val="single" w:sz="4" w:space="0" w:color="579FBB"/>
              <w:right w:val="single" w:sz="4" w:space="0" w:color="579FBB"/>
            </w:tcBorders>
            <w:vAlign w:val="center"/>
          </w:tcPr>
          <w:p w14:paraId="5C97C2BC" w14:textId="77777777" w:rsidR="00D22342" w:rsidRPr="000F636D" w:rsidRDefault="00D22342" w:rsidP="00D22342">
            <w:pPr>
              <w:ind w:right="-23"/>
              <w:jc w:val="both"/>
              <w:rPr>
                <w:rFonts w:ascii="Titillium" w:hAnsi="Titillium"/>
                <w:b/>
                <w:sz w:val="22"/>
                <w:szCs w:val="22"/>
              </w:rPr>
            </w:pPr>
            <w:r w:rsidRPr="000F636D">
              <w:rPr>
                <w:rFonts w:ascii="Titillium" w:hAnsi="Titillium"/>
                <w:b/>
                <w:sz w:val="22"/>
                <w:szCs w:val="22"/>
              </w:rPr>
              <w:t>Manager:</w:t>
            </w:r>
          </w:p>
        </w:tc>
        <w:tc>
          <w:tcPr>
            <w:tcW w:w="2840" w:type="dxa"/>
            <w:tcBorders>
              <w:top w:val="single" w:sz="4" w:space="0" w:color="579FBB"/>
              <w:left w:val="single" w:sz="4" w:space="0" w:color="579FBB"/>
              <w:bottom w:val="single" w:sz="4" w:space="0" w:color="579FBB"/>
              <w:right w:val="single" w:sz="4" w:space="0" w:color="579FBB"/>
            </w:tcBorders>
            <w:vAlign w:val="center"/>
          </w:tcPr>
          <w:p w14:paraId="4516818F" w14:textId="77777777" w:rsidR="00D22342" w:rsidRPr="000F636D" w:rsidRDefault="00D22342" w:rsidP="00D22342">
            <w:pPr>
              <w:ind w:right="-23"/>
              <w:jc w:val="both"/>
              <w:rPr>
                <w:rFonts w:ascii="Titillium" w:hAnsi="Titillium"/>
                <w:sz w:val="22"/>
                <w:szCs w:val="22"/>
              </w:rPr>
            </w:pPr>
            <w:r w:rsidRPr="000F636D">
              <w:rPr>
                <w:rFonts w:ascii="Titillium" w:hAnsi="Titillium"/>
                <w:sz w:val="22"/>
                <w:szCs w:val="22"/>
              </w:rPr>
              <w:fldChar w:fldCharType="begin">
                <w:ffData>
                  <w:name w:val="Text478"/>
                  <w:enabled/>
                  <w:calcOnExit w:val="0"/>
                  <w:helpText w:type="text" w:val="Please input your job title and a brief description of duties carried out in the role."/>
                  <w:textInput/>
                </w:ffData>
              </w:fldChar>
            </w:r>
            <w:r w:rsidRPr="000F636D">
              <w:rPr>
                <w:rFonts w:ascii="Titillium" w:hAnsi="Titillium"/>
                <w:sz w:val="22"/>
                <w:szCs w:val="22"/>
              </w:rPr>
              <w:instrText xml:space="preserve"> FORMTEXT </w:instrText>
            </w:r>
            <w:r w:rsidRPr="000F636D">
              <w:rPr>
                <w:rFonts w:ascii="Titillium" w:hAnsi="Titillium"/>
                <w:sz w:val="22"/>
                <w:szCs w:val="22"/>
              </w:rPr>
            </w:r>
            <w:r w:rsidRPr="000F636D">
              <w:rPr>
                <w:rFonts w:ascii="Titillium" w:hAnsi="Titillium"/>
                <w:sz w:val="22"/>
                <w:szCs w:val="22"/>
              </w:rPr>
              <w:fldChar w:fldCharType="separate"/>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sz w:val="22"/>
                <w:szCs w:val="22"/>
              </w:rPr>
              <w:fldChar w:fldCharType="end"/>
            </w:r>
          </w:p>
        </w:tc>
      </w:tr>
      <w:tr w:rsidR="00D22342" w:rsidRPr="000F636D" w14:paraId="4BDB3EAC" w14:textId="77777777" w:rsidTr="00D22342">
        <w:trPr>
          <w:trHeight w:val="549"/>
        </w:trPr>
        <w:tc>
          <w:tcPr>
            <w:tcW w:w="2264" w:type="dxa"/>
            <w:tcBorders>
              <w:top w:val="single" w:sz="4" w:space="0" w:color="579FBB"/>
              <w:left w:val="single" w:sz="4" w:space="0" w:color="579FBB"/>
              <w:bottom w:val="single" w:sz="4" w:space="0" w:color="579FBB"/>
              <w:right w:val="single" w:sz="4" w:space="0" w:color="579FBB"/>
            </w:tcBorders>
            <w:vAlign w:val="center"/>
          </w:tcPr>
          <w:p w14:paraId="296FDB47" w14:textId="77777777" w:rsidR="00D22342" w:rsidRPr="000F636D" w:rsidRDefault="00D22342" w:rsidP="00D22342">
            <w:pPr>
              <w:ind w:right="-23"/>
              <w:jc w:val="both"/>
              <w:rPr>
                <w:rFonts w:ascii="Titillium" w:hAnsi="Titillium"/>
                <w:b/>
                <w:sz w:val="22"/>
                <w:szCs w:val="22"/>
              </w:rPr>
            </w:pPr>
            <w:r w:rsidRPr="000F636D">
              <w:rPr>
                <w:rFonts w:ascii="Titillium" w:hAnsi="Titillium"/>
                <w:b/>
                <w:sz w:val="22"/>
                <w:szCs w:val="22"/>
              </w:rPr>
              <w:t>School/Service:</w:t>
            </w:r>
          </w:p>
        </w:tc>
        <w:tc>
          <w:tcPr>
            <w:tcW w:w="1984" w:type="dxa"/>
            <w:tcBorders>
              <w:top w:val="single" w:sz="4" w:space="0" w:color="579FBB"/>
              <w:left w:val="single" w:sz="4" w:space="0" w:color="579FBB"/>
              <w:bottom w:val="single" w:sz="4" w:space="0" w:color="579FBB"/>
              <w:right w:val="single" w:sz="4" w:space="0" w:color="579FBB"/>
            </w:tcBorders>
            <w:vAlign w:val="center"/>
          </w:tcPr>
          <w:p w14:paraId="433C0823" w14:textId="77777777" w:rsidR="00D22342" w:rsidRPr="000F636D" w:rsidRDefault="00D22342" w:rsidP="00D22342">
            <w:pPr>
              <w:ind w:right="-23"/>
              <w:jc w:val="both"/>
              <w:rPr>
                <w:rFonts w:ascii="Titillium" w:hAnsi="Titillium"/>
                <w:sz w:val="22"/>
                <w:szCs w:val="22"/>
              </w:rPr>
            </w:pPr>
            <w:r w:rsidRPr="000F636D">
              <w:rPr>
                <w:rFonts w:ascii="Titillium" w:hAnsi="Titillium"/>
                <w:sz w:val="22"/>
                <w:szCs w:val="22"/>
              </w:rPr>
              <w:fldChar w:fldCharType="begin">
                <w:ffData>
                  <w:name w:val="Text478"/>
                  <w:enabled/>
                  <w:calcOnExit w:val="0"/>
                  <w:helpText w:type="text" w:val="Please input your job title and a brief description of duties carried out in the role."/>
                  <w:textInput/>
                </w:ffData>
              </w:fldChar>
            </w:r>
            <w:r w:rsidRPr="000F636D">
              <w:rPr>
                <w:rFonts w:ascii="Titillium" w:hAnsi="Titillium"/>
                <w:sz w:val="22"/>
                <w:szCs w:val="22"/>
              </w:rPr>
              <w:instrText xml:space="preserve"> FORMTEXT </w:instrText>
            </w:r>
            <w:r w:rsidRPr="000F636D">
              <w:rPr>
                <w:rFonts w:ascii="Titillium" w:hAnsi="Titillium"/>
                <w:sz w:val="22"/>
                <w:szCs w:val="22"/>
              </w:rPr>
            </w:r>
            <w:r w:rsidRPr="000F636D">
              <w:rPr>
                <w:rFonts w:ascii="Titillium" w:hAnsi="Titillium"/>
                <w:sz w:val="22"/>
                <w:szCs w:val="22"/>
              </w:rPr>
              <w:fldChar w:fldCharType="separate"/>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sz w:val="22"/>
                <w:szCs w:val="22"/>
              </w:rPr>
              <w:fldChar w:fldCharType="end"/>
            </w:r>
          </w:p>
        </w:tc>
        <w:tc>
          <w:tcPr>
            <w:tcW w:w="2835" w:type="dxa"/>
            <w:tcBorders>
              <w:top w:val="single" w:sz="4" w:space="0" w:color="579FBB"/>
              <w:left w:val="single" w:sz="4" w:space="0" w:color="579FBB"/>
              <w:bottom w:val="single" w:sz="4" w:space="0" w:color="579FBB"/>
              <w:right w:val="single" w:sz="4" w:space="0" w:color="579FBB"/>
            </w:tcBorders>
            <w:vAlign w:val="center"/>
          </w:tcPr>
          <w:p w14:paraId="7110FC48" w14:textId="77777777" w:rsidR="00D22342" w:rsidRPr="000F636D" w:rsidRDefault="00D22342" w:rsidP="00D22342">
            <w:pPr>
              <w:ind w:right="-23"/>
              <w:jc w:val="both"/>
              <w:rPr>
                <w:rFonts w:ascii="Titillium" w:hAnsi="Titillium"/>
                <w:b/>
                <w:sz w:val="22"/>
                <w:szCs w:val="22"/>
              </w:rPr>
            </w:pPr>
            <w:r w:rsidRPr="000F636D">
              <w:rPr>
                <w:rFonts w:ascii="Titillium" w:hAnsi="Titillium"/>
                <w:b/>
                <w:sz w:val="22"/>
                <w:szCs w:val="22"/>
              </w:rPr>
              <w:t>Date:</w:t>
            </w:r>
          </w:p>
        </w:tc>
        <w:tc>
          <w:tcPr>
            <w:tcW w:w="2840" w:type="dxa"/>
            <w:tcBorders>
              <w:top w:val="single" w:sz="4" w:space="0" w:color="579FBB"/>
              <w:left w:val="single" w:sz="4" w:space="0" w:color="579FBB"/>
              <w:bottom w:val="single" w:sz="4" w:space="0" w:color="579FBB"/>
              <w:right w:val="single" w:sz="4" w:space="0" w:color="579FBB"/>
            </w:tcBorders>
            <w:vAlign w:val="center"/>
          </w:tcPr>
          <w:p w14:paraId="33AB40A1" w14:textId="77777777" w:rsidR="00D22342" w:rsidRPr="000F636D" w:rsidRDefault="00D22342" w:rsidP="00D22342">
            <w:pPr>
              <w:ind w:right="-23"/>
              <w:jc w:val="both"/>
              <w:rPr>
                <w:rFonts w:ascii="Titillium" w:hAnsi="Titillium"/>
                <w:sz w:val="22"/>
                <w:szCs w:val="22"/>
              </w:rPr>
            </w:pPr>
            <w:r w:rsidRPr="000F636D">
              <w:rPr>
                <w:rFonts w:ascii="Titillium" w:hAnsi="Titillium"/>
                <w:sz w:val="22"/>
                <w:szCs w:val="22"/>
              </w:rPr>
              <w:fldChar w:fldCharType="begin">
                <w:ffData>
                  <w:name w:val="Text478"/>
                  <w:enabled/>
                  <w:calcOnExit w:val="0"/>
                  <w:helpText w:type="text" w:val="Please input your job title and a brief description of duties carried out in the role."/>
                  <w:textInput/>
                </w:ffData>
              </w:fldChar>
            </w:r>
            <w:r w:rsidRPr="000F636D">
              <w:rPr>
                <w:rFonts w:ascii="Titillium" w:hAnsi="Titillium"/>
                <w:sz w:val="22"/>
                <w:szCs w:val="22"/>
              </w:rPr>
              <w:instrText xml:space="preserve"> FORMTEXT </w:instrText>
            </w:r>
            <w:r w:rsidRPr="000F636D">
              <w:rPr>
                <w:rFonts w:ascii="Titillium" w:hAnsi="Titillium"/>
                <w:sz w:val="22"/>
                <w:szCs w:val="22"/>
              </w:rPr>
            </w:r>
            <w:r w:rsidRPr="000F636D">
              <w:rPr>
                <w:rFonts w:ascii="Titillium" w:hAnsi="Titillium"/>
                <w:sz w:val="22"/>
                <w:szCs w:val="22"/>
              </w:rPr>
              <w:fldChar w:fldCharType="separate"/>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sz w:val="22"/>
                <w:szCs w:val="22"/>
              </w:rPr>
              <w:fldChar w:fldCharType="end"/>
            </w:r>
          </w:p>
        </w:tc>
      </w:tr>
      <w:tr w:rsidR="00D22342" w:rsidRPr="00D25F19" w14:paraId="63A55A7C" w14:textId="77777777" w:rsidTr="00D22342">
        <w:trPr>
          <w:trHeight w:val="555"/>
        </w:trPr>
        <w:tc>
          <w:tcPr>
            <w:tcW w:w="9923" w:type="dxa"/>
            <w:gridSpan w:val="4"/>
            <w:tcBorders>
              <w:top w:val="single" w:sz="4" w:space="0" w:color="579FBB"/>
              <w:left w:val="single" w:sz="4" w:space="0" w:color="579FBB"/>
              <w:bottom w:val="single" w:sz="4" w:space="0" w:color="579FBB"/>
              <w:right w:val="single" w:sz="4" w:space="0" w:color="579FBB"/>
            </w:tcBorders>
            <w:shd w:val="clear" w:color="auto" w:fill="579FBB"/>
            <w:vAlign w:val="center"/>
          </w:tcPr>
          <w:p w14:paraId="350032B0" w14:textId="77777777" w:rsidR="00D22342" w:rsidRPr="00D25F19" w:rsidRDefault="00D22342" w:rsidP="00D22342">
            <w:pPr>
              <w:ind w:right="-23"/>
              <w:jc w:val="both"/>
              <w:rPr>
                <w:rFonts w:ascii="Titillium" w:hAnsi="Titillium"/>
                <w:b/>
                <w:sz w:val="20"/>
                <w:szCs w:val="20"/>
              </w:rPr>
            </w:pPr>
            <w:r>
              <w:rPr>
                <w:rFonts w:ascii="Titillium" w:hAnsi="Titillium"/>
                <w:b/>
                <w:color w:val="FFFFFF" w:themeColor="background1"/>
                <w:sz w:val="22"/>
              </w:rPr>
              <w:t>Suggested points to cover</w:t>
            </w:r>
          </w:p>
        </w:tc>
      </w:tr>
      <w:tr w:rsidR="00D22342" w:rsidRPr="008C7EF6" w14:paraId="390C0638" w14:textId="77777777" w:rsidTr="00D22342">
        <w:trPr>
          <w:trHeight w:val="555"/>
        </w:trPr>
        <w:tc>
          <w:tcPr>
            <w:tcW w:w="9923" w:type="dxa"/>
            <w:gridSpan w:val="4"/>
            <w:tcBorders>
              <w:top w:val="single" w:sz="4" w:space="0" w:color="579FBB"/>
              <w:left w:val="single" w:sz="4" w:space="0" w:color="579FBB"/>
              <w:bottom w:val="single" w:sz="4" w:space="0" w:color="579FBB"/>
              <w:right w:val="single" w:sz="4" w:space="0" w:color="579FBB"/>
            </w:tcBorders>
            <w:shd w:val="clear" w:color="auto" w:fill="auto"/>
            <w:vAlign w:val="center"/>
          </w:tcPr>
          <w:p w14:paraId="62FE1758" w14:textId="77777777" w:rsidR="00BD3D16" w:rsidRDefault="00BD3D16" w:rsidP="00BD3D16">
            <w:pPr>
              <w:shd w:val="clear" w:color="auto" w:fill="FFFFFF"/>
              <w:spacing w:before="100" w:beforeAutospacing="1" w:after="180"/>
              <w:ind w:left="172" w:right="181" w:hanging="142"/>
              <w:jc w:val="both"/>
              <w:rPr>
                <w:rFonts w:ascii="Titillium" w:hAnsi="Titillium"/>
                <w:b/>
                <w:sz w:val="22"/>
                <w:szCs w:val="22"/>
                <w:lang w:eastAsia="en-GB"/>
              </w:rPr>
            </w:pPr>
            <w:r>
              <w:rPr>
                <w:rFonts w:ascii="Titillium" w:hAnsi="Titillium"/>
                <w:b/>
                <w:sz w:val="22"/>
                <w:szCs w:val="22"/>
                <w:lang w:eastAsia="en-GB"/>
              </w:rPr>
              <w:t>Preparation</w:t>
            </w:r>
          </w:p>
          <w:p w14:paraId="48D27E22" w14:textId="1ECFC678" w:rsidR="00BD3D16" w:rsidRDefault="00BD3D16" w:rsidP="00BD3D16">
            <w:pPr>
              <w:pStyle w:val="ListParagraph"/>
              <w:numPr>
                <w:ilvl w:val="0"/>
                <w:numId w:val="37"/>
              </w:numPr>
              <w:shd w:val="clear" w:color="auto" w:fill="FFFFFF"/>
              <w:tabs>
                <w:tab w:val="left" w:pos="9524"/>
              </w:tabs>
              <w:spacing w:before="100" w:beforeAutospacing="1" w:after="180"/>
              <w:ind w:left="456" w:right="181" w:hanging="426"/>
              <w:jc w:val="both"/>
              <w:rPr>
                <w:rFonts w:ascii="Titillium" w:hAnsi="Titillium"/>
                <w:sz w:val="22"/>
                <w:szCs w:val="22"/>
                <w:lang w:eastAsia="en-GB"/>
              </w:rPr>
            </w:pPr>
            <w:r>
              <w:rPr>
                <w:rFonts w:ascii="Titillium" w:hAnsi="Titillium"/>
                <w:sz w:val="22"/>
                <w:szCs w:val="22"/>
                <w:lang w:eastAsia="en-GB"/>
              </w:rPr>
              <w:t xml:space="preserve">The aim of a return to work meeting is to support the employee </w:t>
            </w:r>
            <w:r w:rsidR="00E47008">
              <w:rPr>
                <w:rFonts w:ascii="Titillium" w:hAnsi="Titillium"/>
                <w:sz w:val="22"/>
                <w:szCs w:val="22"/>
                <w:lang w:eastAsia="en-GB"/>
              </w:rPr>
              <w:t xml:space="preserve">and </w:t>
            </w:r>
            <w:r>
              <w:rPr>
                <w:rFonts w:ascii="Titillium" w:hAnsi="Titillium"/>
                <w:sz w:val="22"/>
                <w:szCs w:val="22"/>
                <w:lang w:eastAsia="en-GB"/>
              </w:rPr>
              <w:t>reduce fu</w:t>
            </w:r>
            <w:r w:rsidR="00E47008">
              <w:rPr>
                <w:rFonts w:ascii="Titillium" w:hAnsi="Titillium"/>
                <w:sz w:val="22"/>
                <w:szCs w:val="22"/>
                <w:lang w:eastAsia="en-GB"/>
              </w:rPr>
              <w:t xml:space="preserve">ture </w:t>
            </w:r>
            <w:r>
              <w:rPr>
                <w:rFonts w:ascii="Titillium" w:hAnsi="Titillium"/>
                <w:sz w:val="22"/>
                <w:szCs w:val="22"/>
                <w:lang w:eastAsia="en-GB"/>
              </w:rPr>
              <w:t>absences.</w:t>
            </w:r>
          </w:p>
          <w:p w14:paraId="4E3DBF29" w14:textId="77777777" w:rsidR="00BD3D16" w:rsidRDefault="00BD3D16" w:rsidP="00BD3D16">
            <w:pPr>
              <w:pStyle w:val="ListParagraph"/>
              <w:numPr>
                <w:ilvl w:val="0"/>
                <w:numId w:val="37"/>
              </w:numPr>
              <w:shd w:val="clear" w:color="auto" w:fill="FFFFFF"/>
              <w:spacing w:before="100" w:beforeAutospacing="1" w:after="180"/>
              <w:ind w:left="456" w:right="181" w:hanging="426"/>
              <w:jc w:val="both"/>
              <w:rPr>
                <w:rFonts w:ascii="Titillium" w:hAnsi="Titillium"/>
                <w:sz w:val="22"/>
                <w:szCs w:val="22"/>
                <w:lang w:eastAsia="en-GB"/>
              </w:rPr>
            </w:pPr>
            <w:r>
              <w:rPr>
                <w:rFonts w:ascii="Titillium" w:hAnsi="Titillium"/>
                <w:sz w:val="22"/>
                <w:szCs w:val="22"/>
                <w:lang w:eastAsia="en-GB"/>
              </w:rPr>
              <w:t>Return to work meetings should be informal, handled consistently and sensitively and held in a private space, out of earshot of colleagues or students.  They should be factual and carried out in a supportive and positive manner.</w:t>
            </w:r>
          </w:p>
          <w:p w14:paraId="31DB5572" w14:textId="77777777" w:rsidR="00BD3D16" w:rsidRDefault="00BD3D16" w:rsidP="00BD3D16">
            <w:pPr>
              <w:pStyle w:val="ListParagraph"/>
              <w:numPr>
                <w:ilvl w:val="0"/>
                <w:numId w:val="37"/>
              </w:numPr>
              <w:shd w:val="clear" w:color="auto" w:fill="FFFFFF"/>
              <w:spacing w:before="100" w:beforeAutospacing="1" w:after="180"/>
              <w:ind w:left="456" w:right="181" w:hanging="426"/>
              <w:jc w:val="both"/>
              <w:rPr>
                <w:rFonts w:ascii="Titillium" w:hAnsi="Titillium"/>
                <w:sz w:val="22"/>
                <w:szCs w:val="22"/>
                <w:lang w:eastAsia="en-GB"/>
              </w:rPr>
            </w:pPr>
            <w:r>
              <w:rPr>
                <w:rFonts w:ascii="Titillium" w:hAnsi="Titillium"/>
                <w:sz w:val="22"/>
                <w:szCs w:val="22"/>
                <w:lang w:eastAsia="en-GB"/>
              </w:rPr>
              <w:t>In advance, you should collate and review the employee’s attendance record, any OH reports and notes/action points arising from previous RTW meetings.</w:t>
            </w:r>
          </w:p>
          <w:p w14:paraId="4669D02E" w14:textId="402FA2AF" w:rsidR="00BD3D16" w:rsidRDefault="00BD3D16" w:rsidP="00BD3D16">
            <w:pPr>
              <w:pStyle w:val="ListParagraph"/>
              <w:numPr>
                <w:ilvl w:val="0"/>
                <w:numId w:val="37"/>
              </w:numPr>
              <w:shd w:val="clear" w:color="auto" w:fill="FFFFFF"/>
              <w:spacing w:before="100" w:beforeAutospacing="1" w:after="180"/>
              <w:ind w:left="456" w:right="181" w:hanging="426"/>
              <w:jc w:val="both"/>
              <w:rPr>
                <w:rFonts w:ascii="Titillium" w:hAnsi="Titillium"/>
                <w:sz w:val="22"/>
                <w:szCs w:val="22"/>
                <w:lang w:eastAsia="en-GB"/>
              </w:rPr>
            </w:pPr>
            <w:r>
              <w:rPr>
                <w:rFonts w:ascii="Titillium" w:hAnsi="Titillium"/>
                <w:sz w:val="22"/>
                <w:szCs w:val="22"/>
                <w:lang w:eastAsia="en-GB"/>
              </w:rPr>
              <w:t>Ideally you should meet with the employee on their first day back to work, or as soon as possible afterwards.</w:t>
            </w:r>
          </w:p>
          <w:p w14:paraId="64643F6A" w14:textId="77777777" w:rsidR="00BD3D16" w:rsidRDefault="00BD3D16" w:rsidP="00BD3D16">
            <w:pPr>
              <w:pStyle w:val="ListParagraph"/>
              <w:numPr>
                <w:ilvl w:val="0"/>
                <w:numId w:val="37"/>
              </w:numPr>
              <w:shd w:val="clear" w:color="auto" w:fill="FFFFFF"/>
              <w:spacing w:before="100" w:beforeAutospacing="1" w:after="180"/>
              <w:ind w:left="456" w:right="181" w:hanging="426"/>
              <w:jc w:val="both"/>
              <w:rPr>
                <w:rFonts w:ascii="Titillium" w:hAnsi="Titillium"/>
                <w:sz w:val="22"/>
                <w:szCs w:val="22"/>
                <w:lang w:eastAsia="en-GB"/>
              </w:rPr>
            </w:pPr>
            <w:r>
              <w:rPr>
                <w:rFonts w:ascii="Titillium" w:hAnsi="Titillium"/>
                <w:sz w:val="22"/>
                <w:szCs w:val="22"/>
                <w:lang w:eastAsia="en-GB"/>
              </w:rPr>
              <w:t>You should keep a note of the return to work meeting.</w:t>
            </w:r>
          </w:p>
          <w:p w14:paraId="74E1A304" w14:textId="77777777" w:rsidR="00BD3D16" w:rsidRDefault="00BD3D16" w:rsidP="00BD3D16">
            <w:pPr>
              <w:ind w:left="172" w:right="181" w:hanging="142"/>
              <w:jc w:val="both"/>
              <w:rPr>
                <w:rFonts w:ascii="Titillium" w:hAnsi="Titillium"/>
                <w:b/>
                <w:sz w:val="22"/>
                <w:szCs w:val="22"/>
              </w:rPr>
            </w:pPr>
            <w:r w:rsidRPr="00EA5D9A">
              <w:rPr>
                <w:rFonts w:ascii="Titillium" w:hAnsi="Titillium"/>
                <w:b/>
                <w:sz w:val="22"/>
                <w:szCs w:val="22"/>
              </w:rPr>
              <w:t>Introduction</w:t>
            </w:r>
          </w:p>
          <w:p w14:paraId="0F37C4AC" w14:textId="77777777" w:rsidR="00BD3D16" w:rsidRPr="00EA5D9A" w:rsidRDefault="00BD3D16" w:rsidP="00BD3D16">
            <w:pPr>
              <w:ind w:left="456" w:right="181" w:hanging="426"/>
              <w:jc w:val="both"/>
              <w:rPr>
                <w:rFonts w:ascii="Titillium" w:hAnsi="Titillium"/>
                <w:b/>
                <w:sz w:val="22"/>
                <w:szCs w:val="22"/>
              </w:rPr>
            </w:pPr>
          </w:p>
          <w:p w14:paraId="38CA171B" w14:textId="77777777" w:rsidR="00BD3D16" w:rsidRDefault="00BD3D16" w:rsidP="00BD3D16">
            <w:pPr>
              <w:pStyle w:val="ListParagraph"/>
              <w:numPr>
                <w:ilvl w:val="0"/>
                <w:numId w:val="30"/>
              </w:numPr>
              <w:tabs>
                <w:tab w:val="left" w:pos="510"/>
              </w:tabs>
              <w:ind w:left="456" w:right="181" w:hanging="426"/>
              <w:jc w:val="both"/>
              <w:rPr>
                <w:rFonts w:ascii="Titillium" w:hAnsi="Titillium"/>
                <w:sz w:val="22"/>
                <w:szCs w:val="22"/>
              </w:rPr>
            </w:pPr>
            <w:r w:rsidRPr="005154F1">
              <w:rPr>
                <w:rFonts w:ascii="Titillium" w:hAnsi="Titillium"/>
                <w:sz w:val="22"/>
                <w:szCs w:val="22"/>
              </w:rPr>
              <w:t>Welcome</w:t>
            </w:r>
            <w:r>
              <w:rPr>
                <w:rFonts w:ascii="Titillium" w:hAnsi="Titillium"/>
                <w:sz w:val="22"/>
                <w:szCs w:val="22"/>
              </w:rPr>
              <w:t xml:space="preserve"> the employee back to work, explain that the purpose of this informal meeting is to support to them with their return to work.</w:t>
            </w:r>
          </w:p>
          <w:p w14:paraId="070C1A26" w14:textId="453C63B6" w:rsidR="00BD3D16" w:rsidRPr="00BD3D16" w:rsidRDefault="00BD3D16" w:rsidP="00BD3D16">
            <w:pPr>
              <w:pStyle w:val="ListParagraph"/>
              <w:numPr>
                <w:ilvl w:val="0"/>
                <w:numId w:val="30"/>
              </w:numPr>
              <w:tabs>
                <w:tab w:val="left" w:pos="510"/>
              </w:tabs>
              <w:ind w:left="456" w:right="181" w:hanging="426"/>
              <w:jc w:val="both"/>
              <w:rPr>
                <w:rFonts w:ascii="Titillium" w:hAnsi="Titillium"/>
                <w:sz w:val="22"/>
                <w:szCs w:val="22"/>
              </w:rPr>
            </w:pPr>
            <w:r w:rsidRPr="00BD3D16">
              <w:rPr>
                <w:rFonts w:ascii="Titillium" w:hAnsi="Titillium"/>
                <w:sz w:val="22"/>
                <w:szCs w:val="22"/>
              </w:rPr>
              <w:t>Seek confirmation that the employee is fit to be back at work – if there is any doubt, seek advice from HR.</w:t>
            </w:r>
          </w:p>
          <w:p w14:paraId="7653D854" w14:textId="77777777" w:rsidR="00BD3D16" w:rsidRDefault="00BD3D16" w:rsidP="00BD3D16">
            <w:pPr>
              <w:pStyle w:val="ListParagraph"/>
              <w:ind w:left="172" w:right="181" w:hanging="142"/>
              <w:jc w:val="both"/>
              <w:rPr>
                <w:rFonts w:ascii="Titillium" w:hAnsi="Titillium"/>
                <w:sz w:val="22"/>
                <w:szCs w:val="22"/>
              </w:rPr>
            </w:pPr>
          </w:p>
          <w:p w14:paraId="099EF505" w14:textId="77777777" w:rsidR="00BD3D16" w:rsidRPr="00D22342" w:rsidRDefault="00BD3D16" w:rsidP="00BD3D16">
            <w:pPr>
              <w:ind w:left="172" w:right="181" w:hanging="142"/>
              <w:jc w:val="both"/>
              <w:rPr>
                <w:rFonts w:ascii="Titillium" w:hAnsi="Titillium"/>
                <w:sz w:val="22"/>
                <w:szCs w:val="22"/>
              </w:rPr>
            </w:pPr>
            <w:r w:rsidRPr="00D22342">
              <w:rPr>
                <w:rFonts w:ascii="Titillium" w:hAnsi="Titillium"/>
                <w:b/>
                <w:sz w:val="22"/>
                <w:szCs w:val="22"/>
              </w:rPr>
              <w:t>Where there are on-going health issues</w:t>
            </w:r>
          </w:p>
          <w:p w14:paraId="322A86E0" w14:textId="77777777" w:rsidR="00BD3D16" w:rsidRPr="00EA5D9A" w:rsidRDefault="00BD3D16" w:rsidP="00BD3D16">
            <w:pPr>
              <w:ind w:left="314" w:right="181" w:hanging="426"/>
              <w:jc w:val="both"/>
              <w:rPr>
                <w:rFonts w:ascii="Titillium" w:hAnsi="Titillium"/>
                <w:b/>
                <w:sz w:val="22"/>
                <w:szCs w:val="22"/>
              </w:rPr>
            </w:pPr>
          </w:p>
          <w:p w14:paraId="4C44469D" w14:textId="77777777" w:rsidR="00BD3D16" w:rsidRDefault="00BD3D16" w:rsidP="00BD3D16">
            <w:pPr>
              <w:pStyle w:val="ListParagraph"/>
              <w:numPr>
                <w:ilvl w:val="0"/>
                <w:numId w:val="30"/>
              </w:numPr>
              <w:ind w:left="456" w:right="181" w:hanging="426"/>
              <w:jc w:val="both"/>
              <w:rPr>
                <w:rFonts w:ascii="Titillium" w:hAnsi="Titillium"/>
                <w:sz w:val="22"/>
                <w:szCs w:val="22"/>
              </w:rPr>
            </w:pPr>
            <w:r>
              <w:rPr>
                <w:rFonts w:ascii="Titillium" w:hAnsi="Titillium"/>
                <w:sz w:val="22"/>
                <w:szCs w:val="22"/>
              </w:rPr>
              <w:t>Review with the employee their attendance record, notes from previous return to work meetings and establish what help, support or treatment the employee is currently receiving (from their doctor etc.)  If appropriate, discuss seeking a referral to OH.</w:t>
            </w:r>
          </w:p>
          <w:p w14:paraId="7255E55A" w14:textId="77777777" w:rsidR="00BD3D16" w:rsidRDefault="00BD3D16" w:rsidP="00BD3D16">
            <w:pPr>
              <w:pStyle w:val="ListParagraph"/>
              <w:numPr>
                <w:ilvl w:val="0"/>
                <w:numId w:val="30"/>
              </w:numPr>
              <w:ind w:left="456" w:right="181" w:hanging="426"/>
              <w:jc w:val="both"/>
              <w:rPr>
                <w:rFonts w:ascii="Titillium" w:hAnsi="Titillium"/>
                <w:sz w:val="22"/>
                <w:szCs w:val="22"/>
              </w:rPr>
            </w:pPr>
            <w:r>
              <w:rPr>
                <w:rFonts w:ascii="Titillium" w:hAnsi="Titillium"/>
                <w:sz w:val="22"/>
                <w:szCs w:val="22"/>
              </w:rPr>
              <w:t>Establish whether there are any underlying personal or work-related concerns.  If there are personal issues, discuss whether there are any support mechanisms/actions that the employee or manager may reasonably take to seek to address the problems, e.g. access the employee counselling service.  If the problems are work-related, see below for further considerations.</w:t>
            </w:r>
          </w:p>
          <w:p w14:paraId="644C923F" w14:textId="77777777" w:rsidR="00BD3D16" w:rsidRDefault="00BD3D16" w:rsidP="00BD3D16">
            <w:pPr>
              <w:pStyle w:val="ListParagraph"/>
              <w:numPr>
                <w:ilvl w:val="0"/>
                <w:numId w:val="30"/>
              </w:numPr>
              <w:ind w:left="456" w:right="181" w:hanging="426"/>
              <w:jc w:val="both"/>
              <w:rPr>
                <w:rFonts w:ascii="Titillium" w:hAnsi="Titillium"/>
                <w:sz w:val="22"/>
                <w:szCs w:val="22"/>
              </w:rPr>
            </w:pPr>
            <w:r>
              <w:rPr>
                <w:rFonts w:ascii="Titillium" w:hAnsi="Titillium"/>
                <w:sz w:val="22"/>
                <w:szCs w:val="22"/>
              </w:rPr>
              <w:t>Establish if any reasonable adjustments are required to their role, working arrangement or work environment.  If so, ensure a Disability Reasonable Adjustments Agreement is completed.</w:t>
            </w:r>
          </w:p>
          <w:p w14:paraId="68937218" w14:textId="77777777" w:rsidR="00BD3D16" w:rsidRDefault="00BD3D16" w:rsidP="00BD3D16">
            <w:pPr>
              <w:pStyle w:val="ListParagraph"/>
              <w:numPr>
                <w:ilvl w:val="0"/>
                <w:numId w:val="30"/>
              </w:numPr>
              <w:ind w:left="456" w:right="181" w:hanging="426"/>
              <w:jc w:val="both"/>
              <w:rPr>
                <w:rFonts w:ascii="Titillium" w:hAnsi="Titillium"/>
                <w:sz w:val="22"/>
                <w:szCs w:val="22"/>
              </w:rPr>
            </w:pPr>
            <w:r>
              <w:rPr>
                <w:rFonts w:ascii="Titillium" w:hAnsi="Titillium"/>
                <w:sz w:val="22"/>
                <w:szCs w:val="22"/>
              </w:rPr>
              <w:t>If appropriate, agree a review period and/or any actions required.</w:t>
            </w:r>
          </w:p>
          <w:p w14:paraId="7B8D028B" w14:textId="57206043" w:rsidR="00BD3D16" w:rsidRDefault="00BD3D16" w:rsidP="00BD3D16">
            <w:pPr>
              <w:pStyle w:val="ListParagraph"/>
              <w:numPr>
                <w:ilvl w:val="0"/>
                <w:numId w:val="30"/>
              </w:numPr>
              <w:ind w:left="456" w:right="181" w:hanging="426"/>
              <w:jc w:val="both"/>
              <w:rPr>
                <w:rFonts w:ascii="Titillium" w:hAnsi="Titillium"/>
                <w:sz w:val="22"/>
                <w:szCs w:val="22"/>
              </w:rPr>
            </w:pPr>
            <w:r>
              <w:rPr>
                <w:rFonts w:ascii="Titillium" w:hAnsi="Titillium"/>
                <w:sz w:val="22"/>
                <w:szCs w:val="22"/>
              </w:rPr>
              <w:lastRenderedPageBreak/>
              <w:t xml:space="preserve">If the absence relates to a disability, pregnancy or workplace accident, ensure </w:t>
            </w:r>
            <w:r w:rsidR="00E47008">
              <w:rPr>
                <w:rFonts w:ascii="Titillium" w:hAnsi="Titillium"/>
                <w:sz w:val="22"/>
                <w:szCs w:val="22"/>
              </w:rPr>
              <w:t xml:space="preserve">you complete </w:t>
            </w:r>
            <w:r>
              <w:rPr>
                <w:rFonts w:ascii="Titillium" w:hAnsi="Titillium"/>
                <w:sz w:val="22"/>
                <w:szCs w:val="22"/>
              </w:rPr>
              <w:t xml:space="preserve">an appropriate risk assessment </w:t>
            </w:r>
            <w:r w:rsidR="00E47008">
              <w:rPr>
                <w:rFonts w:ascii="Titillium" w:hAnsi="Titillium"/>
                <w:sz w:val="22"/>
                <w:szCs w:val="22"/>
              </w:rPr>
              <w:t>with the employee.</w:t>
            </w:r>
          </w:p>
          <w:p w14:paraId="6BA78A0D" w14:textId="77777777" w:rsidR="00BD3D16" w:rsidRDefault="00BD3D16" w:rsidP="00BD3D16">
            <w:pPr>
              <w:pStyle w:val="ListParagraph"/>
              <w:ind w:left="456" w:right="-23" w:hanging="426"/>
              <w:jc w:val="both"/>
              <w:rPr>
                <w:rFonts w:ascii="Titillium" w:hAnsi="Titillium"/>
                <w:sz w:val="22"/>
                <w:szCs w:val="22"/>
              </w:rPr>
            </w:pPr>
          </w:p>
          <w:p w14:paraId="156802CC" w14:textId="77777777" w:rsidR="00BD3D16" w:rsidRDefault="00BD3D16" w:rsidP="00BD3D16">
            <w:pPr>
              <w:ind w:left="456" w:right="-23" w:hanging="426"/>
              <w:jc w:val="both"/>
              <w:rPr>
                <w:rFonts w:ascii="Titillium" w:hAnsi="Titillium"/>
                <w:b/>
                <w:sz w:val="22"/>
                <w:szCs w:val="22"/>
              </w:rPr>
            </w:pPr>
            <w:r>
              <w:rPr>
                <w:rFonts w:ascii="Titillium" w:hAnsi="Titillium"/>
                <w:b/>
                <w:sz w:val="22"/>
                <w:szCs w:val="22"/>
              </w:rPr>
              <w:t>Where there is frequent short-term absence or a pattern of absence is developing</w:t>
            </w:r>
          </w:p>
          <w:p w14:paraId="523FF924" w14:textId="77777777" w:rsidR="00BD3D16" w:rsidRDefault="00BD3D16" w:rsidP="00BD3D16">
            <w:pPr>
              <w:ind w:left="456" w:right="-23" w:hanging="426"/>
              <w:jc w:val="both"/>
              <w:rPr>
                <w:rFonts w:ascii="Titillium" w:hAnsi="Titillium"/>
                <w:sz w:val="22"/>
                <w:szCs w:val="22"/>
              </w:rPr>
            </w:pPr>
          </w:p>
          <w:p w14:paraId="7B45BA48" w14:textId="77777777" w:rsidR="00BD3D16" w:rsidRDefault="00BD3D16" w:rsidP="00BD3D16">
            <w:pPr>
              <w:pStyle w:val="ListParagraph"/>
              <w:numPr>
                <w:ilvl w:val="0"/>
                <w:numId w:val="30"/>
              </w:numPr>
              <w:ind w:left="456" w:right="181" w:hanging="426"/>
              <w:jc w:val="both"/>
              <w:rPr>
                <w:rFonts w:ascii="Titillium" w:hAnsi="Titillium"/>
                <w:sz w:val="22"/>
                <w:szCs w:val="22"/>
              </w:rPr>
            </w:pPr>
            <w:r>
              <w:rPr>
                <w:rFonts w:ascii="Titillium" w:hAnsi="Titillium"/>
                <w:sz w:val="22"/>
                <w:szCs w:val="22"/>
              </w:rPr>
              <w:t>Discuss the cause(s) of absence and the likelihood of the illness or condition recurring giving the employee the opportunity to highlight any relevant issues.</w:t>
            </w:r>
          </w:p>
          <w:p w14:paraId="3D08650D" w14:textId="77777777" w:rsidR="00BD3D16" w:rsidRDefault="00BD3D16" w:rsidP="00BD3D16">
            <w:pPr>
              <w:pStyle w:val="ListParagraph"/>
              <w:numPr>
                <w:ilvl w:val="0"/>
                <w:numId w:val="30"/>
              </w:numPr>
              <w:ind w:left="456" w:right="181" w:hanging="426"/>
              <w:jc w:val="both"/>
              <w:rPr>
                <w:rFonts w:ascii="Titillium" w:hAnsi="Titillium"/>
                <w:sz w:val="22"/>
                <w:szCs w:val="22"/>
              </w:rPr>
            </w:pPr>
            <w:r>
              <w:rPr>
                <w:rFonts w:ascii="Titillium" w:hAnsi="Titillium"/>
                <w:sz w:val="22"/>
                <w:szCs w:val="22"/>
              </w:rPr>
              <w:t>If appropriate, explore any appropriate support mechanisms, for example the employee counselling service or OH referral.</w:t>
            </w:r>
          </w:p>
          <w:p w14:paraId="0619782C" w14:textId="77777777" w:rsidR="00BD3D16" w:rsidRDefault="00BD3D16" w:rsidP="00BD3D16">
            <w:pPr>
              <w:pStyle w:val="ListParagraph"/>
              <w:numPr>
                <w:ilvl w:val="0"/>
                <w:numId w:val="30"/>
              </w:numPr>
              <w:tabs>
                <w:tab w:val="left" w:pos="5842"/>
              </w:tabs>
              <w:ind w:left="456" w:right="181" w:hanging="426"/>
              <w:jc w:val="both"/>
              <w:rPr>
                <w:rFonts w:ascii="Titillium" w:hAnsi="Titillium"/>
                <w:sz w:val="22"/>
                <w:szCs w:val="22"/>
              </w:rPr>
            </w:pPr>
            <w:r w:rsidRPr="000F636D">
              <w:rPr>
                <w:rFonts w:ascii="Titillium" w:hAnsi="Titillium"/>
                <w:sz w:val="22"/>
                <w:szCs w:val="22"/>
              </w:rPr>
              <w:t xml:space="preserve">Inform the employee that whilst we appreciate that there will be some level of absence </w:t>
            </w:r>
            <w:r>
              <w:rPr>
                <w:rFonts w:ascii="Titillium" w:hAnsi="Titillium"/>
                <w:sz w:val="22"/>
                <w:szCs w:val="22"/>
              </w:rPr>
              <w:t>due to illness</w:t>
            </w:r>
            <w:r w:rsidRPr="000F636D">
              <w:rPr>
                <w:rFonts w:ascii="Titillium" w:hAnsi="Titillium"/>
                <w:sz w:val="22"/>
                <w:szCs w:val="22"/>
              </w:rPr>
              <w:t xml:space="preserve">, regular attendance by staff is important to ensure that the University runs smoothly. </w:t>
            </w:r>
          </w:p>
          <w:p w14:paraId="1A23D84C" w14:textId="04775C16" w:rsidR="00BD3D16" w:rsidRPr="000F636D" w:rsidRDefault="00BD3D16" w:rsidP="00BD3D16">
            <w:pPr>
              <w:pStyle w:val="ListParagraph"/>
              <w:numPr>
                <w:ilvl w:val="0"/>
                <w:numId w:val="30"/>
              </w:numPr>
              <w:tabs>
                <w:tab w:val="left" w:pos="5842"/>
              </w:tabs>
              <w:ind w:left="456" w:right="181" w:hanging="426"/>
              <w:jc w:val="both"/>
              <w:rPr>
                <w:rFonts w:ascii="Titillium" w:hAnsi="Titillium"/>
                <w:sz w:val="22"/>
                <w:szCs w:val="22"/>
              </w:rPr>
            </w:pPr>
            <w:r>
              <w:rPr>
                <w:rFonts w:ascii="Titillium" w:hAnsi="Titillium"/>
                <w:sz w:val="22"/>
                <w:szCs w:val="22"/>
              </w:rPr>
              <w:t xml:space="preserve">Explain </w:t>
            </w:r>
            <w:r w:rsidR="00E47008">
              <w:rPr>
                <w:rFonts w:ascii="Titillium" w:hAnsi="Titillium"/>
                <w:sz w:val="22"/>
                <w:szCs w:val="22"/>
              </w:rPr>
              <w:t xml:space="preserve">we monitor </w:t>
            </w:r>
            <w:r>
              <w:rPr>
                <w:rFonts w:ascii="Titillium" w:hAnsi="Titillium"/>
                <w:sz w:val="22"/>
                <w:szCs w:val="22"/>
              </w:rPr>
              <w:t xml:space="preserve">attendance levels </w:t>
            </w:r>
            <w:r w:rsidR="00E47008">
              <w:rPr>
                <w:rFonts w:ascii="Titillium" w:hAnsi="Titillium"/>
                <w:sz w:val="22"/>
                <w:szCs w:val="22"/>
              </w:rPr>
              <w:t>and review an employee’s attendance record</w:t>
            </w:r>
            <w:r>
              <w:rPr>
                <w:rFonts w:ascii="Titillium" w:hAnsi="Titillium"/>
                <w:sz w:val="22"/>
                <w:szCs w:val="22"/>
              </w:rPr>
              <w:t xml:space="preserve"> whenever there has been three or more occurrences of sickness absence in any </w:t>
            </w:r>
            <w:r w:rsidR="00E47008">
              <w:rPr>
                <w:rFonts w:ascii="Titillium" w:hAnsi="Titillium"/>
                <w:sz w:val="22"/>
                <w:szCs w:val="22"/>
              </w:rPr>
              <w:t>six-month</w:t>
            </w:r>
            <w:r>
              <w:rPr>
                <w:rFonts w:ascii="Titillium" w:hAnsi="Titillium"/>
                <w:sz w:val="22"/>
                <w:szCs w:val="22"/>
              </w:rPr>
              <w:t xml:space="preserve"> rolling period; or where there is a concern regarding absence, patterns or partial day absences.</w:t>
            </w:r>
          </w:p>
          <w:p w14:paraId="6C2DAACE" w14:textId="77777777" w:rsidR="00BD3D16" w:rsidRDefault="00BD3D16" w:rsidP="00BD3D16">
            <w:pPr>
              <w:pStyle w:val="ListParagraph"/>
              <w:numPr>
                <w:ilvl w:val="0"/>
                <w:numId w:val="30"/>
              </w:numPr>
              <w:ind w:left="456" w:right="181" w:hanging="426"/>
              <w:jc w:val="both"/>
              <w:rPr>
                <w:rFonts w:ascii="Titillium" w:hAnsi="Titillium"/>
                <w:sz w:val="22"/>
                <w:szCs w:val="22"/>
              </w:rPr>
            </w:pPr>
            <w:r w:rsidRPr="004220ED">
              <w:rPr>
                <w:rFonts w:ascii="Titillium" w:hAnsi="Titillium"/>
                <w:sz w:val="22"/>
                <w:szCs w:val="22"/>
              </w:rPr>
              <w:t xml:space="preserve">Confirm the next steps within the attendance review procedure </w:t>
            </w:r>
            <w:r>
              <w:rPr>
                <w:rFonts w:ascii="Titillium" w:hAnsi="Titillium"/>
                <w:sz w:val="22"/>
                <w:szCs w:val="22"/>
              </w:rPr>
              <w:t>(referring to, and sharing the Attendance Management Policy) should there be further absence.</w:t>
            </w:r>
          </w:p>
          <w:p w14:paraId="2EFEA0D1" w14:textId="77777777" w:rsidR="00BD3D16" w:rsidRPr="004220ED" w:rsidRDefault="00BD3D16" w:rsidP="00BD3D16">
            <w:pPr>
              <w:pStyle w:val="ListParagraph"/>
              <w:ind w:left="456" w:right="-23" w:hanging="456"/>
              <w:jc w:val="both"/>
              <w:rPr>
                <w:rFonts w:ascii="Titillium" w:hAnsi="Titillium"/>
                <w:sz w:val="22"/>
                <w:szCs w:val="22"/>
              </w:rPr>
            </w:pPr>
          </w:p>
          <w:p w14:paraId="796C2EB0" w14:textId="77777777" w:rsidR="00BD3D16" w:rsidRDefault="00BD3D16" w:rsidP="00BD3D16">
            <w:pPr>
              <w:ind w:left="456" w:right="-23" w:hanging="456"/>
              <w:jc w:val="both"/>
              <w:rPr>
                <w:rFonts w:ascii="Titillium" w:hAnsi="Titillium"/>
                <w:b/>
                <w:sz w:val="22"/>
                <w:szCs w:val="22"/>
              </w:rPr>
            </w:pPr>
            <w:r>
              <w:rPr>
                <w:rFonts w:ascii="Titillium" w:hAnsi="Titillium"/>
                <w:b/>
                <w:sz w:val="22"/>
                <w:szCs w:val="22"/>
              </w:rPr>
              <w:t>Where the employee considers that the absence is work-related</w:t>
            </w:r>
          </w:p>
          <w:p w14:paraId="4648220E" w14:textId="77777777" w:rsidR="00BD3D16" w:rsidRDefault="00BD3D16" w:rsidP="00BD3D16">
            <w:pPr>
              <w:ind w:left="456" w:right="181" w:hanging="456"/>
              <w:jc w:val="both"/>
              <w:rPr>
                <w:rFonts w:ascii="Titillium" w:hAnsi="Titillium"/>
                <w:b/>
                <w:sz w:val="22"/>
                <w:szCs w:val="22"/>
              </w:rPr>
            </w:pPr>
          </w:p>
          <w:p w14:paraId="584F4056" w14:textId="77777777" w:rsidR="00BD3D16" w:rsidRDefault="00BD3D16" w:rsidP="00BD3D16">
            <w:pPr>
              <w:pStyle w:val="ListParagraph"/>
              <w:numPr>
                <w:ilvl w:val="0"/>
                <w:numId w:val="30"/>
              </w:numPr>
              <w:ind w:left="456" w:right="181" w:hanging="456"/>
              <w:jc w:val="both"/>
              <w:rPr>
                <w:rFonts w:ascii="Titillium" w:hAnsi="Titillium"/>
                <w:sz w:val="22"/>
                <w:szCs w:val="22"/>
              </w:rPr>
            </w:pPr>
            <w:r>
              <w:rPr>
                <w:rFonts w:ascii="Titillium" w:hAnsi="Titillium"/>
                <w:sz w:val="22"/>
                <w:szCs w:val="22"/>
              </w:rPr>
              <w:t>Discuss the cause(s) of absence and likelihood of the illness/condition recurring and give the employee the opportunity</w:t>
            </w:r>
            <w:r w:rsidRPr="00BB0F61">
              <w:rPr>
                <w:rFonts w:ascii="Titillium" w:hAnsi="Titillium"/>
                <w:sz w:val="22"/>
                <w:szCs w:val="22"/>
              </w:rPr>
              <w:t xml:space="preserve"> </w:t>
            </w:r>
            <w:r>
              <w:rPr>
                <w:rFonts w:ascii="Titillium" w:hAnsi="Titillium"/>
                <w:sz w:val="22"/>
                <w:szCs w:val="22"/>
              </w:rPr>
              <w:t>to highlight any relevant issues.</w:t>
            </w:r>
          </w:p>
          <w:p w14:paraId="7364077E" w14:textId="6909B306" w:rsidR="00BD3D16" w:rsidRDefault="00BD3D16" w:rsidP="00BD3D16">
            <w:pPr>
              <w:pStyle w:val="ListParagraph"/>
              <w:numPr>
                <w:ilvl w:val="0"/>
                <w:numId w:val="30"/>
              </w:numPr>
              <w:ind w:left="456" w:right="181" w:hanging="456"/>
              <w:jc w:val="both"/>
              <w:rPr>
                <w:rFonts w:ascii="Titillium" w:hAnsi="Titillium"/>
                <w:sz w:val="22"/>
                <w:szCs w:val="22"/>
              </w:rPr>
            </w:pPr>
            <w:r>
              <w:rPr>
                <w:rFonts w:ascii="Titillium" w:hAnsi="Titillium"/>
                <w:sz w:val="22"/>
                <w:szCs w:val="22"/>
              </w:rPr>
              <w:t>Depending upon the issues, consider appropriate options/next steps.  You may wish to reflect on the matter and seek advice from HR after the meeting.</w:t>
            </w:r>
          </w:p>
          <w:p w14:paraId="5F806E53" w14:textId="77777777" w:rsidR="00BD3D16" w:rsidRDefault="00BD3D16" w:rsidP="00BD3D16">
            <w:pPr>
              <w:pStyle w:val="ListParagraph"/>
              <w:numPr>
                <w:ilvl w:val="0"/>
                <w:numId w:val="30"/>
              </w:numPr>
              <w:ind w:left="456" w:right="181" w:hanging="456"/>
              <w:jc w:val="both"/>
              <w:rPr>
                <w:rFonts w:ascii="Titillium" w:hAnsi="Titillium"/>
                <w:sz w:val="22"/>
                <w:szCs w:val="22"/>
              </w:rPr>
            </w:pPr>
            <w:r>
              <w:rPr>
                <w:rFonts w:ascii="Titillium" w:hAnsi="Titillium"/>
                <w:sz w:val="22"/>
                <w:szCs w:val="22"/>
              </w:rPr>
              <w:t>If the employee raises concerns about work-related pressures, or discloses that they are suffering from work-related stress, you should arrange to complete a stress risk assessment with them to help identify the potential sources of stress and ways to address the areas of concern.</w:t>
            </w:r>
          </w:p>
          <w:p w14:paraId="5D15423D" w14:textId="7B91EC2C" w:rsidR="00BD3D16" w:rsidRDefault="00BD3D16" w:rsidP="00BD3D16">
            <w:pPr>
              <w:pStyle w:val="ListParagraph"/>
              <w:numPr>
                <w:ilvl w:val="0"/>
                <w:numId w:val="30"/>
              </w:numPr>
              <w:ind w:left="456" w:right="181" w:hanging="456"/>
              <w:jc w:val="both"/>
              <w:rPr>
                <w:rFonts w:ascii="Titillium" w:hAnsi="Titillium"/>
                <w:sz w:val="22"/>
                <w:szCs w:val="22"/>
              </w:rPr>
            </w:pPr>
            <w:r>
              <w:rPr>
                <w:rFonts w:ascii="Titillium" w:hAnsi="Titillium"/>
                <w:sz w:val="22"/>
                <w:szCs w:val="22"/>
              </w:rPr>
              <w:t xml:space="preserve">If the absence </w:t>
            </w:r>
            <w:r w:rsidR="00E47008">
              <w:rPr>
                <w:rFonts w:ascii="Titillium" w:hAnsi="Titillium"/>
                <w:sz w:val="22"/>
                <w:szCs w:val="22"/>
              </w:rPr>
              <w:t xml:space="preserve">is due to </w:t>
            </w:r>
            <w:r>
              <w:rPr>
                <w:rFonts w:ascii="Titillium" w:hAnsi="Titillium"/>
                <w:sz w:val="22"/>
                <w:szCs w:val="22"/>
              </w:rPr>
              <w:t>an accident at work, an accident form should be completed and sent to Health &amp; Safety.</w:t>
            </w:r>
          </w:p>
          <w:p w14:paraId="139B0112" w14:textId="77777777" w:rsidR="00BD3D16" w:rsidRDefault="00BD3D16" w:rsidP="00BD3D16">
            <w:pPr>
              <w:pStyle w:val="ListParagraph"/>
              <w:numPr>
                <w:ilvl w:val="0"/>
                <w:numId w:val="30"/>
              </w:numPr>
              <w:ind w:left="456" w:right="181" w:hanging="456"/>
              <w:jc w:val="both"/>
              <w:rPr>
                <w:rFonts w:ascii="Titillium" w:hAnsi="Titillium"/>
                <w:sz w:val="22"/>
                <w:szCs w:val="22"/>
              </w:rPr>
            </w:pPr>
            <w:r>
              <w:rPr>
                <w:rFonts w:ascii="Titillium" w:hAnsi="Titillium"/>
                <w:sz w:val="22"/>
                <w:szCs w:val="22"/>
              </w:rPr>
              <w:t>Agree any appropriate action/review periods, if appropriate.</w:t>
            </w:r>
          </w:p>
          <w:p w14:paraId="3C84BA06" w14:textId="77777777" w:rsidR="00BD3D16" w:rsidRDefault="00BD3D16" w:rsidP="00BD3D16">
            <w:pPr>
              <w:ind w:right="181"/>
              <w:jc w:val="both"/>
              <w:rPr>
                <w:rFonts w:ascii="Titillium" w:hAnsi="Titillium"/>
                <w:sz w:val="22"/>
                <w:szCs w:val="22"/>
              </w:rPr>
            </w:pPr>
          </w:p>
          <w:p w14:paraId="4AE151A5" w14:textId="77777777" w:rsidR="00BD3D16" w:rsidRDefault="00BD3D16" w:rsidP="00BD3D16">
            <w:pPr>
              <w:ind w:right="181"/>
              <w:jc w:val="both"/>
              <w:rPr>
                <w:rFonts w:ascii="Titillium" w:hAnsi="Titillium"/>
                <w:b/>
                <w:sz w:val="22"/>
                <w:szCs w:val="22"/>
              </w:rPr>
            </w:pPr>
            <w:r>
              <w:rPr>
                <w:rFonts w:ascii="Titillium" w:hAnsi="Titillium"/>
                <w:b/>
                <w:sz w:val="22"/>
                <w:szCs w:val="22"/>
              </w:rPr>
              <w:t>After the meeting</w:t>
            </w:r>
          </w:p>
          <w:p w14:paraId="4105FC23" w14:textId="77777777" w:rsidR="00BD3D16" w:rsidRDefault="00BD3D16" w:rsidP="00BD3D16">
            <w:pPr>
              <w:ind w:right="181"/>
              <w:jc w:val="both"/>
              <w:rPr>
                <w:rFonts w:ascii="Titillium" w:hAnsi="Titillium"/>
                <w:b/>
                <w:sz w:val="22"/>
                <w:szCs w:val="22"/>
              </w:rPr>
            </w:pPr>
          </w:p>
          <w:p w14:paraId="1DA69259" w14:textId="21FC105C" w:rsidR="00BD3D16" w:rsidRDefault="00BD3D16" w:rsidP="00BD3D16">
            <w:pPr>
              <w:pStyle w:val="ListParagraph"/>
              <w:numPr>
                <w:ilvl w:val="0"/>
                <w:numId w:val="19"/>
              </w:numPr>
              <w:tabs>
                <w:tab w:val="left" w:pos="5842"/>
              </w:tabs>
              <w:ind w:left="456" w:right="181" w:hanging="456"/>
              <w:jc w:val="both"/>
              <w:rPr>
                <w:rFonts w:ascii="Titillium" w:hAnsi="Titillium"/>
                <w:sz w:val="22"/>
                <w:szCs w:val="22"/>
              </w:rPr>
            </w:pPr>
            <w:r>
              <w:rPr>
                <w:rFonts w:ascii="Titillium" w:hAnsi="Titillium"/>
                <w:sz w:val="22"/>
                <w:szCs w:val="22"/>
              </w:rPr>
              <w:t>Ensure that you ‘complete’ the Return to Work Meeting task on HR Connect assigned to you.</w:t>
            </w:r>
          </w:p>
          <w:p w14:paraId="1A492CB0" w14:textId="77777777" w:rsidR="00BD3D16" w:rsidRDefault="00BD3D16" w:rsidP="00BD3D16">
            <w:pPr>
              <w:pStyle w:val="ListParagraph"/>
              <w:numPr>
                <w:ilvl w:val="0"/>
                <w:numId w:val="19"/>
              </w:numPr>
              <w:tabs>
                <w:tab w:val="left" w:pos="5842"/>
              </w:tabs>
              <w:ind w:left="456" w:right="181" w:hanging="456"/>
              <w:jc w:val="both"/>
              <w:rPr>
                <w:rFonts w:ascii="Titillium" w:hAnsi="Titillium"/>
                <w:sz w:val="22"/>
                <w:szCs w:val="22"/>
              </w:rPr>
            </w:pPr>
            <w:r w:rsidRPr="000F636D">
              <w:rPr>
                <w:rFonts w:ascii="Titillium" w:hAnsi="Titillium"/>
                <w:sz w:val="22"/>
                <w:szCs w:val="22"/>
              </w:rPr>
              <w:t xml:space="preserve">Advise </w:t>
            </w:r>
            <w:r>
              <w:rPr>
                <w:rFonts w:ascii="Titillium" w:hAnsi="Titillium"/>
                <w:sz w:val="22"/>
                <w:szCs w:val="22"/>
              </w:rPr>
              <w:t xml:space="preserve">the employee </w:t>
            </w:r>
            <w:r w:rsidRPr="000F636D">
              <w:rPr>
                <w:rFonts w:ascii="Titillium" w:hAnsi="Titillium"/>
                <w:sz w:val="22"/>
                <w:szCs w:val="22"/>
              </w:rPr>
              <w:t>that you will capture the key points of the discussion (</w:t>
            </w:r>
            <w:r>
              <w:rPr>
                <w:rFonts w:ascii="Titillium" w:hAnsi="Titillium"/>
                <w:sz w:val="22"/>
                <w:szCs w:val="22"/>
              </w:rPr>
              <w:t>including any agreed actions</w:t>
            </w:r>
            <w:r w:rsidRPr="000F636D">
              <w:rPr>
                <w:rFonts w:ascii="Titillium" w:hAnsi="Titillium"/>
                <w:sz w:val="22"/>
                <w:szCs w:val="22"/>
              </w:rPr>
              <w:t>) and</w:t>
            </w:r>
            <w:r>
              <w:rPr>
                <w:rFonts w:ascii="Titillium" w:hAnsi="Titillium"/>
                <w:sz w:val="22"/>
                <w:szCs w:val="22"/>
              </w:rPr>
              <w:t xml:space="preserve"> if appropriate</w:t>
            </w:r>
            <w:r w:rsidRPr="000F636D">
              <w:rPr>
                <w:rFonts w:ascii="Titillium" w:hAnsi="Titillium"/>
                <w:sz w:val="22"/>
                <w:szCs w:val="22"/>
              </w:rPr>
              <w:t xml:space="preserve"> will follow this up by email to support the process and ensure clarity.</w:t>
            </w:r>
          </w:p>
          <w:p w14:paraId="4F2AE9AA" w14:textId="4D542314" w:rsidR="007328A2" w:rsidRPr="007328A2" w:rsidRDefault="00BD3D16" w:rsidP="007328A2">
            <w:pPr>
              <w:pStyle w:val="ListParagraph"/>
              <w:numPr>
                <w:ilvl w:val="0"/>
                <w:numId w:val="19"/>
              </w:numPr>
              <w:tabs>
                <w:tab w:val="left" w:pos="5842"/>
              </w:tabs>
              <w:ind w:left="456" w:right="181" w:hanging="456"/>
              <w:jc w:val="both"/>
              <w:rPr>
                <w:rFonts w:ascii="Titillium" w:hAnsi="Titillium"/>
                <w:sz w:val="22"/>
                <w:szCs w:val="22"/>
              </w:rPr>
            </w:pPr>
            <w:r>
              <w:rPr>
                <w:rFonts w:ascii="Titillium" w:hAnsi="Titillium"/>
                <w:sz w:val="22"/>
                <w:szCs w:val="22"/>
              </w:rPr>
              <w:t xml:space="preserve">Follow up on any actions that you are responsible for, e.g. completing an OH referral form, arranging any other help or </w:t>
            </w:r>
            <w:r w:rsidR="007328A2">
              <w:rPr>
                <w:rFonts w:ascii="Titillium" w:hAnsi="Titillium"/>
                <w:sz w:val="22"/>
                <w:szCs w:val="22"/>
              </w:rPr>
              <w:t>appropriate support</w:t>
            </w:r>
            <w:r>
              <w:rPr>
                <w:rFonts w:ascii="Titillium" w:hAnsi="Titillium"/>
                <w:sz w:val="22"/>
                <w:szCs w:val="22"/>
              </w:rPr>
              <w:t xml:space="preserve">, ensuring any reasonable adjustments are actioned and </w:t>
            </w:r>
            <w:r w:rsidR="007328A2">
              <w:rPr>
                <w:rFonts w:ascii="Titillium" w:hAnsi="Titillium"/>
                <w:sz w:val="22"/>
                <w:szCs w:val="22"/>
              </w:rPr>
              <w:t>reviewed after an agreed period.</w:t>
            </w:r>
          </w:p>
          <w:p w14:paraId="4A18EB69" w14:textId="158F2703" w:rsidR="00D22342" w:rsidRPr="006F10C7" w:rsidRDefault="00BD3D16" w:rsidP="006F10C7">
            <w:pPr>
              <w:pStyle w:val="ListParagraph"/>
              <w:numPr>
                <w:ilvl w:val="0"/>
                <w:numId w:val="19"/>
              </w:numPr>
              <w:tabs>
                <w:tab w:val="left" w:pos="5842"/>
              </w:tabs>
              <w:ind w:left="456" w:right="181" w:hanging="456"/>
              <w:jc w:val="both"/>
              <w:rPr>
                <w:rFonts w:ascii="Titillium" w:hAnsi="Titillium"/>
                <w:sz w:val="22"/>
                <w:szCs w:val="22"/>
              </w:rPr>
            </w:pPr>
            <w:r>
              <w:rPr>
                <w:rFonts w:ascii="Titillium" w:hAnsi="Titillium"/>
                <w:sz w:val="22"/>
                <w:szCs w:val="22"/>
              </w:rPr>
              <w:t>Be available to meet with the employee, should they have any concerns or questions following the meeting.</w:t>
            </w:r>
            <w:bookmarkStart w:id="0" w:name="_GoBack"/>
            <w:bookmarkEnd w:id="0"/>
          </w:p>
        </w:tc>
      </w:tr>
      <w:tr w:rsidR="00D22342" w:rsidRPr="00D25F19" w14:paraId="3B5D1596" w14:textId="77777777" w:rsidTr="00D22342">
        <w:trPr>
          <w:trHeight w:val="555"/>
        </w:trPr>
        <w:tc>
          <w:tcPr>
            <w:tcW w:w="9923" w:type="dxa"/>
            <w:gridSpan w:val="4"/>
            <w:tcBorders>
              <w:top w:val="single" w:sz="4" w:space="0" w:color="579FBB"/>
              <w:left w:val="single" w:sz="4" w:space="0" w:color="579FBB"/>
              <w:bottom w:val="single" w:sz="4" w:space="0" w:color="579FBB"/>
              <w:right w:val="single" w:sz="4" w:space="0" w:color="579FBB"/>
            </w:tcBorders>
            <w:shd w:val="clear" w:color="auto" w:fill="579FBB"/>
            <w:vAlign w:val="center"/>
          </w:tcPr>
          <w:p w14:paraId="1D575B7A" w14:textId="5C9D2817" w:rsidR="00D22342" w:rsidRPr="00D25F19" w:rsidRDefault="00F95995" w:rsidP="00D22342">
            <w:pPr>
              <w:ind w:right="-23"/>
              <w:jc w:val="both"/>
              <w:rPr>
                <w:rFonts w:ascii="Titillium" w:hAnsi="Titillium"/>
                <w:b/>
                <w:sz w:val="20"/>
                <w:szCs w:val="20"/>
              </w:rPr>
            </w:pPr>
            <w:r>
              <w:rPr>
                <w:rFonts w:ascii="Titillium" w:hAnsi="Titillium"/>
                <w:b/>
                <w:color w:val="FFFFFF" w:themeColor="background1"/>
                <w:sz w:val="22"/>
              </w:rPr>
              <w:lastRenderedPageBreak/>
              <w:t>Summary of Conversation / Any A</w:t>
            </w:r>
            <w:r w:rsidR="00D22342">
              <w:rPr>
                <w:rFonts w:ascii="Titillium" w:hAnsi="Titillium"/>
                <w:b/>
                <w:color w:val="FFFFFF" w:themeColor="background1"/>
                <w:sz w:val="22"/>
              </w:rPr>
              <w:t>greed Actions</w:t>
            </w:r>
          </w:p>
        </w:tc>
      </w:tr>
      <w:tr w:rsidR="00D22342" w:rsidRPr="000F636D" w14:paraId="7BA3481C" w14:textId="77777777" w:rsidTr="00D22342">
        <w:trPr>
          <w:trHeight w:val="555"/>
        </w:trPr>
        <w:tc>
          <w:tcPr>
            <w:tcW w:w="9923" w:type="dxa"/>
            <w:gridSpan w:val="4"/>
            <w:tcBorders>
              <w:top w:val="single" w:sz="4" w:space="0" w:color="579FBB"/>
              <w:left w:val="single" w:sz="4" w:space="0" w:color="579FBB"/>
              <w:bottom w:val="single" w:sz="4" w:space="0" w:color="579FBB"/>
              <w:right w:val="single" w:sz="4" w:space="0" w:color="579FBB"/>
            </w:tcBorders>
            <w:vAlign w:val="center"/>
          </w:tcPr>
          <w:p w14:paraId="7D11F328" w14:textId="77777777" w:rsidR="00D22342" w:rsidRDefault="00D22342" w:rsidP="00D22342">
            <w:pPr>
              <w:ind w:right="-23"/>
              <w:jc w:val="both"/>
              <w:rPr>
                <w:rFonts w:ascii="Titillium" w:hAnsi="Titillium"/>
                <w:sz w:val="22"/>
                <w:szCs w:val="22"/>
              </w:rPr>
            </w:pPr>
          </w:p>
          <w:p w14:paraId="34AA334D" w14:textId="77777777" w:rsidR="00D22342" w:rsidRDefault="00D22342" w:rsidP="00D22342">
            <w:pPr>
              <w:ind w:right="-23"/>
              <w:jc w:val="both"/>
              <w:rPr>
                <w:rFonts w:ascii="Titillium" w:hAnsi="Titillium"/>
                <w:sz w:val="22"/>
                <w:szCs w:val="22"/>
              </w:rPr>
            </w:pPr>
          </w:p>
          <w:p w14:paraId="007EEEDD" w14:textId="77777777" w:rsidR="00D22342" w:rsidRDefault="00D22342" w:rsidP="00D22342">
            <w:pPr>
              <w:ind w:right="-23"/>
              <w:jc w:val="both"/>
              <w:rPr>
                <w:rFonts w:ascii="Titillium" w:hAnsi="Titillium"/>
                <w:sz w:val="22"/>
                <w:szCs w:val="22"/>
              </w:rPr>
            </w:pPr>
          </w:p>
          <w:p w14:paraId="209E3841" w14:textId="2DF49BA8" w:rsidR="00D22342" w:rsidRDefault="00D22342" w:rsidP="00D22342">
            <w:pPr>
              <w:ind w:right="-23"/>
              <w:jc w:val="both"/>
              <w:rPr>
                <w:rFonts w:ascii="Titillium" w:hAnsi="Titillium"/>
                <w:sz w:val="22"/>
                <w:szCs w:val="22"/>
              </w:rPr>
            </w:pPr>
          </w:p>
          <w:p w14:paraId="1C044A1C" w14:textId="396DB545" w:rsidR="006F10C7" w:rsidRDefault="006F10C7" w:rsidP="00D22342">
            <w:pPr>
              <w:ind w:right="-23"/>
              <w:jc w:val="both"/>
              <w:rPr>
                <w:rFonts w:ascii="Titillium" w:hAnsi="Titillium"/>
                <w:sz w:val="22"/>
                <w:szCs w:val="22"/>
              </w:rPr>
            </w:pPr>
          </w:p>
          <w:p w14:paraId="40CFFAAC" w14:textId="6A1EB3EB" w:rsidR="006F10C7" w:rsidRDefault="006F10C7" w:rsidP="00D22342">
            <w:pPr>
              <w:ind w:right="-23"/>
              <w:jc w:val="both"/>
              <w:rPr>
                <w:rFonts w:ascii="Titillium" w:hAnsi="Titillium"/>
                <w:sz w:val="22"/>
                <w:szCs w:val="22"/>
              </w:rPr>
            </w:pPr>
          </w:p>
          <w:p w14:paraId="36E9276C" w14:textId="1BE3923E" w:rsidR="006F10C7" w:rsidRDefault="006F10C7" w:rsidP="00D22342">
            <w:pPr>
              <w:ind w:right="-23"/>
              <w:jc w:val="both"/>
              <w:rPr>
                <w:rFonts w:ascii="Titillium" w:hAnsi="Titillium"/>
                <w:sz w:val="22"/>
                <w:szCs w:val="22"/>
              </w:rPr>
            </w:pPr>
          </w:p>
          <w:p w14:paraId="046E2214" w14:textId="5658D1E5" w:rsidR="006F10C7" w:rsidRDefault="006F10C7" w:rsidP="00D22342">
            <w:pPr>
              <w:ind w:right="-23"/>
              <w:jc w:val="both"/>
              <w:rPr>
                <w:rFonts w:ascii="Titillium" w:hAnsi="Titillium"/>
                <w:sz w:val="22"/>
                <w:szCs w:val="22"/>
              </w:rPr>
            </w:pPr>
          </w:p>
          <w:p w14:paraId="287912DD" w14:textId="483BFFF7" w:rsidR="006F10C7" w:rsidRDefault="006F10C7" w:rsidP="00D22342">
            <w:pPr>
              <w:ind w:right="-23"/>
              <w:jc w:val="both"/>
              <w:rPr>
                <w:rFonts w:ascii="Titillium" w:hAnsi="Titillium"/>
                <w:sz w:val="22"/>
                <w:szCs w:val="22"/>
              </w:rPr>
            </w:pPr>
          </w:p>
          <w:p w14:paraId="40D7813E" w14:textId="5BA86CF9" w:rsidR="006F10C7" w:rsidRDefault="006F10C7" w:rsidP="00D22342">
            <w:pPr>
              <w:ind w:right="-23"/>
              <w:jc w:val="both"/>
              <w:rPr>
                <w:rFonts w:ascii="Titillium" w:hAnsi="Titillium"/>
                <w:sz w:val="22"/>
                <w:szCs w:val="22"/>
              </w:rPr>
            </w:pPr>
          </w:p>
          <w:p w14:paraId="67696B8A" w14:textId="2F440B3E" w:rsidR="006F10C7" w:rsidRDefault="006F10C7" w:rsidP="00D22342">
            <w:pPr>
              <w:ind w:right="-23"/>
              <w:jc w:val="both"/>
              <w:rPr>
                <w:rFonts w:ascii="Titillium" w:hAnsi="Titillium"/>
                <w:sz w:val="22"/>
                <w:szCs w:val="22"/>
              </w:rPr>
            </w:pPr>
          </w:p>
          <w:p w14:paraId="60700889" w14:textId="4CF19579" w:rsidR="006F10C7" w:rsidRDefault="006F10C7" w:rsidP="00D22342">
            <w:pPr>
              <w:ind w:right="-23"/>
              <w:jc w:val="both"/>
              <w:rPr>
                <w:rFonts w:ascii="Titillium" w:hAnsi="Titillium"/>
                <w:sz w:val="22"/>
                <w:szCs w:val="22"/>
              </w:rPr>
            </w:pPr>
          </w:p>
          <w:p w14:paraId="6B0019CC" w14:textId="4CFD352A" w:rsidR="006F10C7" w:rsidRDefault="006F10C7" w:rsidP="00D22342">
            <w:pPr>
              <w:ind w:right="-23"/>
              <w:jc w:val="both"/>
              <w:rPr>
                <w:rFonts w:ascii="Titillium" w:hAnsi="Titillium"/>
                <w:sz w:val="22"/>
                <w:szCs w:val="22"/>
              </w:rPr>
            </w:pPr>
          </w:p>
          <w:p w14:paraId="28ED698C" w14:textId="172FB139" w:rsidR="006F10C7" w:rsidRDefault="006F10C7" w:rsidP="00D22342">
            <w:pPr>
              <w:ind w:right="-23"/>
              <w:jc w:val="both"/>
              <w:rPr>
                <w:rFonts w:ascii="Titillium" w:hAnsi="Titillium"/>
                <w:sz w:val="22"/>
                <w:szCs w:val="22"/>
              </w:rPr>
            </w:pPr>
          </w:p>
          <w:p w14:paraId="1BAE86EA" w14:textId="77777777" w:rsidR="006F10C7" w:rsidRDefault="006F10C7" w:rsidP="00D22342">
            <w:pPr>
              <w:ind w:right="-23"/>
              <w:jc w:val="both"/>
              <w:rPr>
                <w:rFonts w:ascii="Titillium" w:hAnsi="Titillium"/>
                <w:sz w:val="22"/>
                <w:szCs w:val="22"/>
              </w:rPr>
            </w:pPr>
          </w:p>
          <w:p w14:paraId="41C613D8" w14:textId="3F0CFB0D" w:rsidR="00F95995" w:rsidRDefault="00F95995" w:rsidP="00D22342">
            <w:pPr>
              <w:ind w:right="-23"/>
              <w:jc w:val="both"/>
              <w:rPr>
                <w:rFonts w:ascii="Titillium" w:hAnsi="Titillium"/>
                <w:sz w:val="22"/>
                <w:szCs w:val="22"/>
              </w:rPr>
            </w:pPr>
          </w:p>
          <w:p w14:paraId="7007FFFB" w14:textId="09B8C950" w:rsidR="00F95995" w:rsidRDefault="00F95995" w:rsidP="00D22342">
            <w:pPr>
              <w:ind w:right="-23"/>
              <w:jc w:val="both"/>
              <w:rPr>
                <w:rFonts w:ascii="Titillium" w:hAnsi="Titillium"/>
                <w:sz w:val="22"/>
                <w:szCs w:val="22"/>
              </w:rPr>
            </w:pPr>
          </w:p>
          <w:p w14:paraId="110FB159" w14:textId="161BCEBE" w:rsidR="006F10C7" w:rsidRDefault="006F10C7" w:rsidP="00D22342">
            <w:pPr>
              <w:ind w:right="-23"/>
              <w:jc w:val="both"/>
              <w:rPr>
                <w:rFonts w:ascii="Titillium" w:hAnsi="Titillium"/>
                <w:sz w:val="22"/>
                <w:szCs w:val="22"/>
              </w:rPr>
            </w:pPr>
          </w:p>
          <w:p w14:paraId="43D715AE" w14:textId="01CEE65E" w:rsidR="006F10C7" w:rsidRDefault="006F10C7" w:rsidP="00D22342">
            <w:pPr>
              <w:ind w:right="-23"/>
              <w:jc w:val="both"/>
              <w:rPr>
                <w:rFonts w:ascii="Titillium" w:hAnsi="Titillium"/>
                <w:sz w:val="22"/>
                <w:szCs w:val="22"/>
              </w:rPr>
            </w:pPr>
          </w:p>
          <w:p w14:paraId="7968462A" w14:textId="622E009D" w:rsidR="006F10C7" w:rsidRDefault="006F10C7" w:rsidP="00D22342">
            <w:pPr>
              <w:ind w:right="-23"/>
              <w:jc w:val="both"/>
              <w:rPr>
                <w:rFonts w:ascii="Titillium" w:hAnsi="Titillium"/>
                <w:sz w:val="22"/>
                <w:szCs w:val="22"/>
              </w:rPr>
            </w:pPr>
          </w:p>
          <w:p w14:paraId="19DA78C7" w14:textId="5844F34E" w:rsidR="006F10C7" w:rsidRDefault="006F10C7" w:rsidP="00D22342">
            <w:pPr>
              <w:ind w:right="-23"/>
              <w:jc w:val="both"/>
              <w:rPr>
                <w:rFonts w:ascii="Titillium" w:hAnsi="Titillium"/>
                <w:sz w:val="22"/>
                <w:szCs w:val="22"/>
              </w:rPr>
            </w:pPr>
          </w:p>
          <w:p w14:paraId="6836CC4D" w14:textId="0D815119" w:rsidR="006F10C7" w:rsidRDefault="006F10C7" w:rsidP="00D22342">
            <w:pPr>
              <w:ind w:right="-23"/>
              <w:jc w:val="both"/>
              <w:rPr>
                <w:rFonts w:ascii="Titillium" w:hAnsi="Titillium"/>
                <w:sz w:val="22"/>
                <w:szCs w:val="22"/>
              </w:rPr>
            </w:pPr>
          </w:p>
          <w:p w14:paraId="3510F0DE" w14:textId="50479F59" w:rsidR="006F10C7" w:rsidRDefault="006F10C7" w:rsidP="00D22342">
            <w:pPr>
              <w:ind w:right="-23"/>
              <w:jc w:val="both"/>
              <w:rPr>
                <w:rFonts w:ascii="Titillium" w:hAnsi="Titillium"/>
                <w:sz w:val="22"/>
                <w:szCs w:val="22"/>
              </w:rPr>
            </w:pPr>
          </w:p>
          <w:p w14:paraId="66B8FAA9" w14:textId="4E464053" w:rsidR="006F10C7" w:rsidRDefault="006F10C7" w:rsidP="00D22342">
            <w:pPr>
              <w:ind w:right="-23"/>
              <w:jc w:val="both"/>
              <w:rPr>
                <w:rFonts w:ascii="Titillium" w:hAnsi="Titillium"/>
                <w:sz w:val="22"/>
                <w:szCs w:val="22"/>
              </w:rPr>
            </w:pPr>
          </w:p>
          <w:p w14:paraId="781E96E0" w14:textId="4D5B95E7" w:rsidR="006F10C7" w:rsidRDefault="006F10C7" w:rsidP="00D22342">
            <w:pPr>
              <w:ind w:right="-23"/>
              <w:jc w:val="both"/>
              <w:rPr>
                <w:rFonts w:ascii="Titillium" w:hAnsi="Titillium"/>
                <w:sz w:val="22"/>
                <w:szCs w:val="22"/>
              </w:rPr>
            </w:pPr>
          </w:p>
          <w:p w14:paraId="4D92A292" w14:textId="02BFC7FE" w:rsidR="006F10C7" w:rsidRDefault="006F10C7" w:rsidP="00D22342">
            <w:pPr>
              <w:ind w:right="-23"/>
              <w:jc w:val="both"/>
              <w:rPr>
                <w:rFonts w:ascii="Titillium" w:hAnsi="Titillium"/>
                <w:sz w:val="22"/>
                <w:szCs w:val="22"/>
              </w:rPr>
            </w:pPr>
          </w:p>
          <w:p w14:paraId="126816C6" w14:textId="00EF8BF5" w:rsidR="006F10C7" w:rsidRDefault="006F10C7" w:rsidP="00D22342">
            <w:pPr>
              <w:ind w:right="-23"/>
              <w:jc w:val="both"/>
              <w:rPr>
                <w:rFonts w:ascii="Titillium" w:hAnsi="Titillium"/>
                <w:sz w:val="22"/>
                <w:szCs w:val="22"/>
              </w:rPr>
            </w:pPr>
          </w:p>
          <w:p w14:paraId="00D8EEA7" w14:textId="5902CAC3" w:rsidR="006F10C7" w:rsidRDefault="006F10C7" w:rsidP="00D22342">
            <w:pPr>
              <w:ind w:right="-23"/>
              <w:jc w:val="both"/>
              <w:rPr>
                <w:rFonts w:ascii="Titillium" w:hAnsi="Titillium"/>
                <w:sz w:val="22"/>
                <w:szCs w:val="22"/>
              </w:rPr>
            </w:pPr>
          </w:p>
          <w:p w14:paraId="5B297713" w14:textId="364E0F38" w:rsidR="006F10C7" w:rsidRDefault="006F10C7" w:rsidP="00D22342">
            <w:pPr>
              <w:ind w:right="-23"/>
              <w:jc w:val="both"/>
              <w:rPr>
                <w:rFonts w:ascii="Titillium" w:hAnsi="Titillium"/>
                <w:sz w:val="22"/>
                <w:szCs w:val="22"/>
              </w:rPr>
            </w:pPr>
          </w:p>
          <w:p w14:paraId="468394DA" w14:textId="03BF9CA8" w:rsidR="00F95995" w:rsidRDefault="00F95995" w:rsidP="00D22342">
            <w:pPr>
              <w:ind w:right="-23"/>
              <w:jc w:val="both"/>
              <w:rPr>
                <w:rFonts w:ascii="Titillium" w:hAnsi="Titillium"/>
                <w:sz w:val="22"/>
                <w:szCs w:val="22"/>
              </w:rPr>
            </w:pPr>
          </w:p>
          <w:p w14:paraId="70E0D048" w14:textId="77777777" w:rsidR="00D22342" w:rsidRPr="000F636D" w:rsidRDefault="00D22342" w:rsidP="00D22342">
            <w:pPr>
              <w:ind w:right="-23"/>
              <w:jc w:val="both"/>
              <w:rPr>
                <w:rFonts w:ascii="Titillium" w:hAnsi="Titillium"/>
                <w:sz w:val="22"/>
                <w:szCs w:val="22"/>
              </w:rPr>
            </w:pPr>
          </w:p>
        </w:tc>
      </w:tr>
    </w:tbl>
    <w:p w14:paraId="07FDE123" w14:textId="73F7841B" w:rsidR="00F95995" w:rsidRDefault="00F95995" w:rsidP="006F10C7">
      <w:pPr>
        <w:shd w:val="clear" w:color="auto" w:fill="FFFFFF"/>
        <w:spacing w:before="100" w:beforeAutospacing="1" w:after="180"/>
        <w:jc w:val="both"/>
        <w:rPr>
          <w:rFonts w:ascii="Titillium" w:hAnsi="Titillium"/>
          <w:b/>
          <w:color w:val="579FBB"/>
          <w:sz w:val="32"/>
          <w:szCs w:val="32"/>
          <w:lang w:eastAsia="en-GB"/>
        </w:rPr>
      </w:pPr>
    </w:p>
    <w:p w14:paraId="5FD78C72" w14:textId="77777777" w:rsidR="00E47008" w:rsidRDefault="00E47008" w:rsidP="00012284">
      <w:pPr>
        <w:shd w:val="clear" w:color="auto" w:fill="FFFFFF"/>
        <w:spacing w:before="100" w:beforeAutospacing="1" w:after="180"/>
        <w:ind w:left="-142"/>
        <w:jc w:val="both"/>
        <w:rPr>
          <w:rFonts w:ascii="Titillium" w:hAnsi="Titillium"/>
          <w:b/>
          <w:color w:val="579FBB"/>
          <w:sz w:val="32"/>
          <w:szCs w:val="32"/>
          <w:lang w:eastAsia="en-GB"/>
        </w:rPr>
      </w:pPr>
    </w:p>
    <w:sectPr w:rsidR="00E47008" w:rsidSect="00D22342">
      <w:headerReference w:type="even" r:id="rId7"/>
      <w:headerReference w:type="default" r:id="rId8"/>
      <w:footerReference w:type="even" r:id="rId9"/>
      <w:footerReference w:type="default" r:id="rId10"/>
      <w:headerReference w:type="first" r:id="rId11"/>
      <w:footerReference w:type="first" r:id="rId12"/>
      <w:pgSz w:w="11900" w:h="16820"/>
      <w:pgMar w:top="3119" w:right="985" w:bottom="851"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91C9" w14:textId="77777777" w:rsidR="0085062D" w:rsidRDefault="0085062D">
      <w:r>
        <w:separator/>
      </w:r>
    </w:p>
  </w:endnote>
  <w:endnote w:type="continuationSeparator" w:id="0">
    <w:p w14:paraId="251A3D3D" w14:textId="77777777" w:rsidR="0085062D" w:rsidRDefault="0085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BDC1" w14:textId="77777777" w:rsidR="0085062D" w:rsidRDefault="00850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88143"/>
      <w:docPartObj>
        <w:docPartGallery w:val="Page Numbers (Bottom of Page)"/>
        <w:docPartUnique/>
      </w:docPartObj>
    </w:sdtPr>
    <w:sdtEndPr>
      <w:rPr>
        <w:rFonts w:ascii="Titillium" w:hAnsi="Titillium"/>
        <w:noProof/>
        <w:sz w:val="22"/>
        <w:szCs w:val="22"/>
      </w:rPr>
    </w:sdtEndPr>
    <w:sdtContent>
      <w:p w14:paraId="2ACD3811" w14:textId="216FF416" w:rsidR="0085062D" w:rsidRPr="001154AF" w:rsidRDefault="0085062D" w:rsidP="001154AF">
        <w:pPr>
          <w:pStyle w:val="Footer"/>
          <w:jc w:val="center"/>
          <w:rPr>
            <w:rFonts w:ascii="Titillium" w:hAnsi="Titillium"/>
            <w:sz w:val="22"/>
            <w:szCs w:val="22"/>
          </w:rPr>
        </w:pPr>
        <w:r w:rsidRPr="001154AF">
          <w:rPr>
            <w:rFonts w:ascii="Titillium" w:hAnsi="Titillium"/>
            <w:sz w:val="22"/>
            <w:szCs w:val="22"/>
          </w:rPr>
          <w:fldChar w:fldCharType="begin"/>
        </w:r>
        <w:r w:rsidRPr="001154AF">
          <w:rPr>
            <w:rFonts w:ascii="Titillium" w:hAnsi="Titillium"/>
            <w:sz w:val="22"/>
            <w:szCs w:val="22"/>
          </w:rPr>
          <w:instrText xml:space="preserve"> PAGE   \* MERGEFORMAT </w:instrText>
        </w:r>
        <w:r w:rsidRPr="001154AF">
          <w:rPr>
            <w:rFonts w:ascii="Titillium" w:hAnsi="Titillium"/>
            <w:sz w:val="22"/>
            <w:szCs w:val="22"/>
          </w:rPr>
          <w:fldChar w:fldCharType="separate"/>
        </w:r>
        <w:r w:rsidR="006F10C7">
          <w:rPr>
            <w:rFonts w:ascii="Titillium" w:hAnsi="Titillium"/>
            <w:noProof/>
            <w:sz w:val="22"/>
            <w:szCs w:val="22"/>
          </w:rPr>
          <w:t>2</w:t>
        </w:r>
        <w:r w:rsidRPr="001154AF">
          <w:rPr>
            <w:rFonts w:ascii="Titillium" w:hAnsi="Titillium"/>
            <w:noProof/>
            <w:sz w:val="22"/>
            <w:szCs w:val="22"/>
          </w:rPr>
          <w:fldChar w:fldCharType="end"/>
        </w:r>
      </w:p>
    </w:sdtContent>
  </w:sdt>
  <w:p w14:paraId="0DA4B27E" w14:textId="77777777" w:rsidR="0085062D" w:rsidRPr="004B6014" w:rsidRDefault="0085062D" w:rsidP="009F2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0A8C" w14:textId="77777777" w:rsidR="0085062D" w:rsidRDefault="00850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36C7" w14:textId="77777777" w:rsidR="0085062D" w:rsidRDefault="0085062D">
      <w:r>
        <w:separator/>
      </w:r>
    </w:p>
  </w:footnote>
  <w:footnote w:type="continuationSeparator" w:id="0">
    <w:p w14:paraId="789D52B0" w14:textId="77777777" w:rsidR="0085062D" w:rsidRDefault="0085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76ED" w14:textId="77777777" w:rsidR="0085062D" w:rsidRDefault="006F10C7">
    <w:pPr>
      <w:pStyle w:val="Header"/>
    </w:pPr>
    <w:sdt>
      <w:sdtPr>
        <w:id w:val="-2134159414"/>
        <w:temporary/>
        <w:showingPlcHdr/>
      </w:sdtPr>
      <w:sdtEndPr/>
      <w:sdtContent>
        <w:r w:rsidR="0085062D">
          <w:t>[Type text]</w:t>
        </w:r>
      </w:sdtContent>
    </w:sdt>
    <w:r w:rsidR="0085062D">
      <w:ptab w:relativeTo="margin" w:alignment="center" w:leader="none"/>
    </w:r>
    <w:sdt>
      <w:sdtPr>
        <w:id w:val="1589972152"/>
        <w:temporary/>
        <w:showingPlcHdr/>
      </w:sdtPr>
      <w:sdtEndPr/>
      <w:sdtContent>
        <w:r w:rsidR="0085062D">
          <w:t>[Type text]</w:t>
        </w:r>
      </w:sdtContent>
    </w:sdt>
    <w:r w:rsidR="0085062D">
      <w:ptab w:relativeTo="margin" w:alignment="right" w:leader="none"/>
    </w:r>
    <w:sdt>
      <w:sdtPr>
        <w:id w:val="1270279319"/>
        <w:temporary/>
        <w:showingPlcHdr/>
      </w:sdtPr>
      <w:sdtEndPr/>
      <w:sdtContent>
        <w:r w:rsidR="0085062D">
          <w:t>[Type text]</w:t>
        </w:r>
      </w:sdtContent>
    </w:sdt>
  </w:p>
  <w:p w14:paraId="66F43424" w14:textId="77777777" w:rsidR="0085062D" w:rsidRDefault="00850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C7AF" w14:textId="77777777" w:rsidR="0085062D" w:rsidRPr="00640328" w:rsidRDefault="0085062D" w:rsidP="009F2A5A">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4EDF7C7E" wp14:editId="6EB7D64C">
          <wp:simplePos x="0" y="0"/>
          <wp:positionH relativeFrom="page">
            <wp:posOffset>0</wp:posOffset>
          </wp:positionH>
          <wp:positionV relativeFrom="page">
            <wp:posOffset>-3810</wp:posOffset>
          </wp:positionV>
          <wp:extent cx="7559675" cy="19481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77955232" w14:textId="77777777" w:rsidR="0085062D" w:rsidRDefault="00850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EB97" w14:textId="23E4AFEB" w:rsidR="0085062D" w:rsidRDefault="0085062D">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1DA50A5D" wp14:editId="5F8B42DD">
          <wp:simplePos x="0" y="0"/>
          <wp:positionH relativeFrom="page">
            <wp:posOffset>-3810</wp:posOffset>
          </wp:positionH>
          <wp:positionV relativeFrom="page">
            <wp:posOffset>20320</wp:posOffset>
          </wp:positionV>
          <wp:extent cx="7559675" cy="19481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3AB63B2"/>
    <w:multiLevelType w:val="hybridMultilevel"/>
    <w:tmpl w:val="E09428E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615E"/>
    <w:multiLevelType w:val="hybridMultilevel"/>
    <w:tmpl w:val="5F7EF95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0767"/>
    <w:multiLevelType w:val="hybridMultilevel"/>
    <w:tmpl w:val="75B04C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05C92"/>
    <w:multiLevelType w:val="hybridMultilevel"/>
    <w:tmpl w:val="2F6E0A9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7B41"/>
    <w:multiLevelType w:val="hybridMultilevel"/>
    <w:tmpl w:val="6F00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93846"/>
    <w:multiLevelType w:val="hybridMultilevel"/>
    <w:tmpl w:val="24F659E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76BCE"/>
    <w:multiLevelType w:val="hybridMultilevel"/>
    <w:tmpl w:val="EDCAE0E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D67"/>
    <w:multiLevelType w:val="hybridMultilevel"/>
    <w:tmpl w:val="3ED2681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45BC"/>
    <w:multiLevelType w:val="hybridMultilevel"/>
    <w:tmpl w:val="9E98B8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28D65424"/>
    <w:multiLevelType w:val="hybridMultilevel"/>
    <w:tmpl w:val="5BB82E1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A45AE"/>
    <w:multiLevelType w:val="hybridMultilevel"/>
    <w:tmpl w:val="AAD2A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BE1D11"/>
    <w:multiLevelType w:val="hybridMultilevel"/>
    <w:tmpl w:val="AE6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A73EC"/>
    <w:multiLevelType w:val="hybridMultilevel"/>
    <w:tmpl w:val="082A736A"/>
    <w:lvl w:ilvl="0" w:tplc="31363C20">
      <w:start w:val="1"/>
      <w:numFmt w:val="bullet"/>
      <w:lvlText w:val=""/>
      <w:lvlPicBulletId w:val="0"/>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36C43D63"/>
    <w:multiLevelType w:val="hybridMultilevel"/>
    <w:tmpl w:val="94FC26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D477B"/>
    <w:multiLevelType w:val="hybridMultilevel"/>
    <w:tmpl w:val="DA184B9E"/>
    <w:lvl w:ilvl="0" w:tplc="31363C20">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9D43004"/>
    <w:multiLevelType w:val="hybridMultilevel"/>
    <w:tmpl w:val="6BF64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A60C0"/>
    <w:multiLevelType w:val="hybridMultilevel"/>
    <w:tmpl w:val="DD4AE6A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34612"/>
    <w:multiLevelType w:val="hybridMultilevel"/>
    <w:tmpl w:val="AD8C5C8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B6FE7"/>
    <w:multiLevelType w:val="hybridMultilevel"/>
    <w:tmpl w:val="6D3C1A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140E8"/>
    <w:multiLevelType w:val="multilevel"/>
    <w:tmpl w:val="7CDA44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55FE0"/>
    <w:multiLevelType w:val="hybridMultilevel"/>
    <w:tmpl w:val="9CEE028E"/>
    <w:lvl w:ilvl="0" w:tplc="31363C20">
      <w:start w:val="1"/>
      <w:numFmt w:val="bullet"/>
      <w:lvlText w:val=""/>
      <w:lvlPicBulletId w:val="0"/>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4" w15:restartNumberingAfterBreak="0">
    <w:nsid w:val="51934962"/>
    <w:multiLevelType w:val="hybridMultilevel"/>
    <w:tmpl w:val="FEBAB82A"/>
    <w:lvl w:ilvl="0" w:tplc="31363C20">
      <w:start w:val="1"/>
      <w:numFmt w:val="bullet"/>
      <w:lvlText w:val=""/>
      <w:lvlPicBulletId w:val="0"/>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53733633"/>
    <w:multiLevelType w:val="multilevel"/>
    <w:tmpl w:val="0E9A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51D79"/>
    <w:multiLevelType w:val="hybridMultilevel"/>
    <w:tmpl w:val="DCAAEFCC"/>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337545"/>
    <w:multiLevelType w:val="hybridMultilevel"/>
    <w:tmpl w:val="484AB9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B599C"/>
    <w:multiLevelType w:val="hybridMultilevel"/>
    <w:tmpl w:val="1590A716"/>
    <w:lvl w:ilvl="0" w:tplc="47CAA1B4">
      <w:start w:val="26"/>
      <w:numFmt w:val="bullet"/>
      <w:lvlText w:val="-"/>
      <w:lvlJc w:val="left"/>
      <w:pPr>
        <w:ind w:left="820" w:hanging="360"/>
      </w:pPr>
      <w:rPr>
        <w:rFonts w:ascii="Titillium" w:eastAsia="Times New Roman" w:hAnsi="Titillium"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612D52C2"/>
    <w:multiLevelType w:val="hybridMultilevel"/>
    <w:tmpl w:val="BC047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16B34"/>
    <w:multiLevelType w:val="hybridMultilevel"/>
    <w:tmpl w:val="F5E2A9F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B2B0C"/>
    <w:multiLevelType w:val="hybridMultilevel"/>
    <w:tmpl w:val="34D89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951E5"/>
    <w:multiLevelType w:val="hybridMultilevel"/>
    <w:tmpl w:val="18F26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C3489"/>
    <w:multiLevelType w:val="hybridMultilevel"/>
    <w:tmpl w:val="33F49B44"/>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4" w15:restartNumberingAfterBreak="0">
    <w:nsid w:val="6D104404"/>
    <w:multiLevelType w:val="hybridMultilevel"/>
    <w:tmpl w:val="B1B867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86F08"/>
    <w:multiLevelType w:val="hybridMultilevel"/>
    <w:tmpl w:val="A33CBE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0273A"/>
    <w:multiLevelType w:val="multilevel"/>
    <w:tmpl w:val="4C9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0140C"/>
    <w:multiLevelType w:val="hybridMultilevel"/>
    <w:tmpl w:val="827C33E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D5316"/>
    <w:multiLevelType w:val="hybridMultilevel"/>
    <w:tmpl w:val="7C7639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4"/>
  </w:num>
  <w:num w:numId="4">
    <w:abstractNumId w:val="25"/>
  </w:num>
  <w:num w:numId="5">
    <w:abstractNumId w:val="36"/>
  </w:num>
  <w:num w:numId="6">
    <w:abstractNumId w:val="5"/>
  </w:num>
  <w:num w:numId="7">
    <w:abstractNumId w:val="31"/>
  </w:num>
  <w:num w:numId="8">
    <w:abstractNumId w:val="35"/>
  </w:num>
  <w:num w:numId="9">
    <w:abstractNumId w:val="1"/>
  </w:num>
  <w:num w:numId="10">
    <w:abstractNumId w:val="10"/>
  </w:num>
  <w:num w:numId="11">
    <w:abstractNumId w:val="33"/>
  </w:num>
  <w:num w:numId="12">
    <w:abstractNumId w:val="24"/>
  </w:num>
  <w:num w:numId="13">
    <w:abstractNumId w:val="4"/>
  </w:num>
  <w:num w:numId="14">
    <w:abstractNumId w:val="17"/>
  </w:num>
  <w:num w:numId="15">
    <w:abstractNumId w:val="21"/>
  </w:num>
  <w:num w:numId="16">
    <w:abstractNumId w:val="15"/>
  </w:num>
  <w:num w:numId="17">
    <w:abstractNumId w:val="32"/>
  </w:num>
  <w:num w:numId="18">
    <w:abstractNumId w:val="22"/>
  </w:num>
  <w:num w:numId="19">
    <w:abstractNumId w:val="9"/>
  </w:num>
  <w:num w:numId="20">
    <w:abstractNumId w:val="7"/>
  </w:num>
  <w:num w:numId="21">
    <w:abstractNumId w:val="20"/>
  </w:num>
  <w:num w:numId="22">
    <w:abstractNumId w:val="38"/>
  </w:num>
  <w:num w:numId="23">
    <w:abstractNumId w:val="30"/>
  </w:num>
  <w:num w:numId="24">
    <w:abstractNumId w:val="6"/>
  </w:num>
  <w:num w:numId="25">
    <w:abstractNumId w:val="13"/>
  </w:num>
  <w:num w:numId="26">
    <w:abstractNumId w:val="12"/>
  </w:num>
  <w:num w:numId="27">
    <w:abstractNumId w:val="3"/>
  </w:num>
  <w:num w:numId="28">
    <w:abstractNumId w:val="14"/>
  </w:num>
  <w:num w:numId="29">
    <w:abstractNumId w:val="27"/>
  </w:num>
  <w:num w:numId="30">
    <w:abstractNumId w:val="16"/>
  </w:num>
  <w:num w:numId="31">
    <w:abstractNumId w:val="2"/>
  </w:num>
  <w:num w:numId="32">
    <w:abstractNumId w:val="19"/>
  </w:num>
  <w:num w:numId="33">
    <w:abstractNumId w:val="37"/>
  </w:num>
  <w:num w:numId="34">
    <w:abstractNumId w:val="0"/>
  </w:num>
  <w:num w:numId="35">
    <w:abstractNumId w:val="11"/>
  </w:num>
  <w:num w:numId="36">
    <w:abstractNumId w:val="29"/>
  </w:num>
  <w:num w:numId="37">
    <w:abstractNumId w:val="23"/>
  </w:num>
  <w:num w:numId="38">
    <w:abstractNumId w:val="18"/>
  </w:num>
  <w:num w:numId="3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6E"/>
    <w:rsid w:val="00004910"/>
    <w:rsid w:val="00012284"/>
    <w:rsid w:val="00013533"/>
    <w:rsid w:val="00015AA8"/>
    <w:rsid w:val="0002620B"/>
    <w:rsid w:val="00026EB7"/>
    <w:rsid w:val="00030958"/>
    <w:rsid w:val="0004306A"/>
    <w:rsid w:val="00053C4F"/>
    <w:rsid w:val="00054044"/>
    <w:rsid w:val="00060F87"/>
    <w:rsid w:val="000653B8"/>
    <w:rsid w:val="00065AC9"/>
    <w:rsid w:val="00067833"/>
    <w:rsid w:val="00067EC9"/>
    <w:rsid w:val="000712C9"/>
    <w:rsid w:val="0007544C"/>
    <w:rsid w:val="000757EE"/>
    <w:rsid w:val="00082310"/>
    <w:rsid w:val="0008684C"/>
    <w:rsid w:val="00093374"/>
    <w:rsid w:val="00095A45"/>
    <w:rsid w:val="0009718C"/>
    <w:rsid w:val="000974C1"/>
    <w:rsid w:val="000A08CC"/>
    <w:rsid w:val="000A23C3"/>
    <w:rsid w:val="000B2FDE"/>
    <w:rsid w:val="000B5B84"/>
    <w:rsid w:val="000B7F1F"/>
    <w:rsid w:val="000C17C1"/>
    <w:rsid w:val="000C4042"/>
    <w:rsid w:val="000C6FAB"/>
    <w:rsid w:val="000E3F90"/>
    <w:rsid w:val="000F636D"/>
    <w:rsid w:val="001010BB"/>
    <w:rsid w:val="00105C63"/>
    <w:rsid w:val="00115287"/>
    <w:rsid w:val="001154AF"/>
    <w:rsid w:val="00115F3A"/>
    <w:rsid w:val="0011787D"/>
    <w:rsid w:val="00124680"/>
    <w:rsid w:val="00124A0F"/>
    <w:rsid w:val="001260D8"/>
    <w:rsid w:val="00157079"/>
    <w:rsid w:val="00165850"/>
    <w:rsid w:val="00167068"/>
    <w:rsid w:val="00167807"/>
    <w:rsid w:val="00182739"/>
    <w:rsid w:val="00196D97"/>
    <w:rsid w:val="001973D6"/>
    <w:rsid w:val="001A3C41"/>
    <w:rsid w:val="001B1ABC"/>
    <w:rsid w:val="001B4526"/>
    <w:rsid w:val="001C20AD"/>
    <w:rsid w:val="001C65B7"/>
    <w:rsid w:val="001C7C60"/>
    <w:rsid w:val="001D6B56"/>
    <w:rsid w:val="001F12F4"/>
    <w:rsid w:val="0020131C"/>
    <w:rsid w:val="00204AF9"/>
    <w:rsid w:val="00204C9F"/>
    <w:rsid w:val="002155CA"/>
    <w:rsid w:val="00233AC2"/>
    <w:rsid w:val="00245A5C"/>
    <w:rsid w:val="00253540"/>
    <w:rsid w:val="0025418A"/>
    <w:rsid w:val="00261191"/>
    <w:rsid w:val="002776AA"/>
    <w:rsid w:val="002807B1"/>
    <w:rsid w:val="0028432B"/>
    <w:rsid w:val="00294576"/>
    <w:rsid w:val="002A6D39"/>
    <w:rsid w:val="002B087F"/>
    <w:rsid w:val="002C4166"/>
    <w:rsid w:val="002D7B84"/>
    <w:rsid w:val="002E133B"/>
    <w:rsid w:val="002F68D5"/>
    <w:rsid w:val="00302DB7"/>
    <w:rsid w:val="00313303"/>
    <w:rsid w:val="00316EE4"/>
    <w:rsid w:val="0032049B"/>
    <w:rsid w:val="0032350B"/>
    <w:rsid w:val="00327375"/>
    <w:rsid w:val="00335783"/>
    <w:rsid w:val="003404FD"/>
    <w:rsid w:val="003434C3"/>
    <w:rsid w:val="003436F5"/>
    <w:rsid w:val="0036300F"/>
    <w:rsid w:val="00364CEF"/>
    <w:rsid w:val="003A1C96"/>
    <w:rsid w:val="003B1C90"/>
    <w:rsid w:val="003B5D6A"/>
    <w:rsid w:val="003B62E9"/>
    <w:rsid w:val="003C01F3"/>
    <w:rsid w:val="003C04AE"/>
    <w:rsid w:val="003C0B26"/>
    <w:rsid w:val="003D2FFA"/>
    <w:rsid w:val="003D4EFB"/>
    <w:rsid w:val="003E5801"/>
    <w:rsid w:val="003E6EC7"/>
    <w:rsid w:val="003F1142"/>
    <w:rsid w:val="003F1919"/>
    <w:rsid w:val="003F31F4"/>
    <w:rsid w:val="0040265E"/>
    <w:rsid w:val="00403EB1"/>
    <w:rsid w:val="00414B30"/>
    <w:rsid w:val="00415286"/>
    <w:rsid w:val="004213C7"/>
    <w:rsid w:val="004220ED"/>
    <w:rsid w:val="00426717"/>
    <w:rsid w:val="00436021"/>
    <w:rsid w:val="00451C53"/>
    <w:rsid w:val="004552C2"/>
    <w:rsid w:val="004636F4"/>
    <w:rsid w:val="00470B1B"/>
    <w:rsid w:val="0047564E"/>
    <w:rsid w:val="00480CCC"/>
    <w:rsid w:val="0048148A"/>
    <w:rsid w:val="004825BB"/>
    <w:rsid w:val="0049687A"/>
    <w:rsid w:val="00497605"/>
    <w:rsid w:val="004A1C1B"/>
    <w:rsid w:val="004A7F2F"/>
    <w:rsid w:val="004C3769"/>
    <w:rsid w:val="004D2A21"/>
    <w:rsid w:val="004E30B9"/>
    <w:rsid w:val="00512838"/>
    <w:rsid w:val="005153D8"/>
    <w:rsid w:val="005154F1"/>
    <w:rsid w:val="00521A84"/>
    <w:rsid w:val="00521D9F"/>
    <w:rsid w:val="00521F9D"/>
    <w:rsid w:val="005233A4"/>
    <w:rsid w:val="005308AD"/>
    <w:rsid w:val="005406CB"/>
    <w:rsid w:val="00544364"/>
    <w:rsid w:val="0054449D"/>
    <w:rsid w:val="005510AC"/>
    <w:rsid w:val="00567D39"/>
    <w:rsid w:val="00574F27"/>
    <w:rsid w:val="005765DC"/>
    <w:rsid w:val="0059242E"/>
    <w:rsid w:val="00597616"/>
    <w:rsid w:val="005A54D1"/>
    <w:rsid w:val="005B2B2C"/>
    <w:rsid w:val="005B379E"/>
    <w:rsid w:val="005B5211"/>
    <w:rsid w:val="005B6E86"/>
    <w:rsid w:val="005B7502"/>
    <w:rsid w:val="005C7507"/>
    <w:rsid w:val="005D52A1"/>
    <w:rsid w:val="005D667F"/>
    <w:rsid w:val="005E3A20"/>
    <w:rsid w:val="005E562C"/>
    <w:rsid w:val="005E7B10"/>
    <w:rsid w:val="005F6467"/>
    <w:rsid w:val="005F7299"/>
    <w:rsid w:val="0060388F"/>
    <w:rsid w:val="006063FF"/>
    <w:rsid w:val="0062292B"/>
    <w:rsid w:val="00627EBD"/>
    <w:rsid w:val="00632EC8"/>
    <w:rsid w:val="00633CE0"/>
    <w:rsid w:val="006347CC"/>
    <w:rsid w:val="00651B21"/>
    <w:rsid w:val="006524B3"/>
    <w:rsid w:val="00653E26"/>
    <w:rsid w:val="006609F2"/>
    <w:rsid w:val="006711DD"/>
    <w:rsid w:val="006746D8"/>
    <w:rsid w:val="00682D1C"/>
    <w:rsid w:val="006977E8"/>
    <w:rsid w:val="006A2D15"/>
    <w:rsid w:val="006B6FAA"/>
    <w:rsid w:val="006C0377"/>
    <w:rsid w:val="006C3CAB"/>
    <w:rsid w:val="006C7EBA"/>
    <w:rsid w:val="006E6928"/>
    <w:rsid w:val="006E79C3"/>
    <w:rsid w:val="006E7F76"/>
    <w:rsid w:val="006F10C7"/>
    <w:rsid w:val="006F353D"/>
    <w:rsid w:val="00702001"/>
    <w:rsid w:val="0072228A"/>
    <w:rsid w:val="007328A2"/>
    <w:rsid w:val="007335FB"/>
    <w:rsid w:val="00744BEF"/>
    <w:rsid w:val="00750776"/>
    <w:rsid w:val="00751191"/>
    <w:rsid w:val="00771A03"/>
    <w:rsid w:val="00771C6E"/>
    <w:rsid w:val="00777CFB"/>
    <w:rsid w:val="007A463F"/>
    <w:rsid w:val="007B5696"/>
    <w:rsid w:val="007C04ED"/>
    <w:rsid w:val="007C2663"/>
    <w:rsid w:val="007C268C"/>
    <w:rsid w:val="007D28E4"/>
    <w:rsid w:val="007D34A4"/>
    <w:rsid w:val="007D5961"/>
    <w:rsid w:val="007E0A22"/>
    <w:rsid w:val="007E3D0D"/>
    <w:rsid w:val="007E7687"/>
    <w:rsid w:val="008001AD"/>
    <w:rsid w:val="008009EC"/>
    <w:rsid w:val="00801809"/>
    <w:rsid w:val="00821D76"/>
    <w:rsid w:val="00824118"/>
    <w:rsid w:val="00825A51"/>
    <w:rsid w:val="00831935"/>
    <w:rsid w:val="00831AD6"/>
    <w:rsid w:val="00832CF0"/>
    <w:rsid w:val="00842C61"/>
    <w:rsid w:val="008434C5"/>
    <w:rsid w:val="00844846"/>
    <w:rsid w:val="0085062D"/>
    <w:rsid w:val="00851C06"/>
    <w:rsid w:val="00851EE8"/>
    <w:rsid w:val="00860485"/>
    <w:rsid w:val="00875DE3"/>
    <w:rsid w:val="008764CE"/>
    <w:rsid w:val="008767D0"/>
    <w:rsid w:val="008768DB"/>
    <w:rsid w:val="00884400"/>
    <w:rsid w:val="008921A7"/>
    <w:rsid w:val="008A229F"/>
    <w:rsid w:val="008B13F2"/>
    <w:rsid w:val="008B3FC0"/>
    <w:rsid w:val="008C3843"/>
    <w:rsid w:val="008C5D9D"/>
    <w:rsid w:val="008D073E"/>
    <w:rsid w:val="008D0ED2"/>
    <w:rsid w:val="008E4916"/>
    <w:rsid w:val="008E74F4"/>
    <w:rsid w:val="008F38FF"/>
    <w:rsid w:val="00903A40"/>
    <w:rsid w:val="00921D2F"/>
    <w:rsid w:val="0092572A"/>
    <w:rsid w:val="00934800"/>
    <w:rsid w:val="0095095D"/>
    <w:rsid w:val="00953825"/>
    <w:rsid w:val="00965D39"/>
    <w:rsid w:val="00966753"/>
    <w:rsid w:val="00972FA9"/>
    <w:rsid w:val="00973C24"/>
    <w:rsid w:val="009849D0"/>
    <w:rsid w:val="00992852"/>
    <w:rsid w:val="00996E9E"/>
    <w:rsid w:val="009A186B"/>
    <w:rsid w:val="009B366B"/>
    <w:rsid w:val="009B40FA"/>
    <w:rsid w:val="009C34CA"/>
    <w:rsid w:val="009C34FC"/>
    <w:rsid w:val="009C5357"/>
    <w:rsid w:val="009D6FA3"/>
    <w:rsid w:val="009D7076"/>
    <w:rsid w:val="009E46AA"/>
    <w:rsid w:val="009E6118"/>
    <w:rsid w:val="009E62D8"/>
    <w:rsid w:val="009E7E9B"/>
    <w:rsid w:val="009F024E"/>
    <w:rsid w:val="009F1832"/>
    <w:rsid w:val="009F21EF"/>
    <w:rsid w:val="009F2A5A"/>
    <w:rsid w:val="009F3BAE"/>
    <w:rsid w:val="00A037AB"/>
    <w:rsid w:val="00A10592"/>
    <w:rsid w:val="00A130C7"/>
    <w:rsid w:val="00A14AC0"/>
    <w:rsid w:val="00A25CB5"/>
    <w:rsid w:val="00A414D2"/>
    <w:rsid w:val="00A419DA"/>
    <w:rsid w:val="00A42259"/>
    <w:rsid w:val="00A43474"/>
    <w:rsid w:val="00A4472C"/>
    <w:rsid w:val="00A46D00"/>
    <w:rsid w:val="00A47C90"/>
    <w:rsid w:val="00A51D51"/>
    <w:rsid w:val="00A5337C"/>
    <w:rsid w:val="00A5721F"/>
    <w:rsid w:val="00A674B0"/>
    <w:rsid w:val="00A70615"/>
    <w:rsid w:val="00A71F87"/>
    <w:rsid w:val="00A866D6"/>
    <w:rsid w:val="00AA3F7B"/>
    <w:rsid w:val="00AA51DA"/>
    <w:rsid w:val="00AA6BAC"/>
    <w:rsid w:val="00AB11A9"/>
    <w:rsid w:val="00AB2B82"/>
    <w:rsid w:val="00AB4AE9"/>
    <w:rsid w:val="00AD5421"/>
    <w:rsid w:val="00AE24B3"/>
    <w:rsid w:val="00AE31EA"/>
    <w:rsid w:val="00AE6CF6"/>
    <w:rsid w:val="00AF3624"/>
    <w:rsid w:val="00AF58F9"/>
    <w:rsid w:val="00B05E1B"/>
    <w:rsid w:val="00B11BFD"/>
    <w:rsid w:val="00B13754"/>
    <w:rsid w:val="00B145F0"/>
    <w:rsid w:val="00B20EE7"/>
    <w:rsid w:val="00B22FA2"/>
    <w:rsid w:val="00B24F53"/>
    <w:rsid w:val="00B2683D"/>
    <w:rsid w:val="00B3450E"/>
    <w:rsid w:val="00B41BB2"/>
    <w:rsid w:val="00B44875"/>
    <w:rsid w:val="00B66FB1"/>
    <w:rsid w:val="00B7179E"/>
    <w:rsid w:val="00B74C8D"/>
    <w:rsid w:val="00B82077"/>
    <w:rsid w:val="00B866B6"/>
    <w:rsid w:val="00B914B9"/>
    <w:rsid w:val="00B9377D"/>
    <w:rsid w:val="00B93D85"/>
    <w:rsid w:val="00B95349"/>
    <w:rsid w:val="00BA1C1F"/>
    <w:rsid w:val="00BA31F1"/>
    <w:rsid w:val="00BA3735"/>
    <w:rsid w:val="00BB0F61"/>
    <w:rsid w:val="00BB4401"/>
    <w:rsid w:val="00BC249B"/>
    <w:rsid w:val="00BC325F"/>
    <w:rsid w:val="00BC36B0"/>
    <w:rsid w:val="00BD05BD"/>
    <w:rsid w:val="00BD06D5"/>
    <w:rsid w:val="00BD32ED"/>
    <w:rsid w:val="00BD3D16"/>
    <w:rsid w:val="00BD7403"/>
    <w:rsid w:val="00BD7C9A"/>
    <w:rsid w:val="00BE168E"/>
    <w:rsid w:val="00BE25F0"/>
    <w:rsid w:val="00BE4FAF"/>
    <w:rsid w:val="00BE58DF"/>
    <w:rsid w:val="00BF3498"/>
    <w:rsid w:val="00C00DCF"/>
    <w:rsid w:val="00C076A1"/>
    <w:rsid w:val="00C15AE8"/>
    <w:rsid w:val="00C15EC0"/>
    <w:rsid w:val="00C218FE"/>
    <w:rsid w:val="00C25649"/>
    <w:rsid w:val="00C61097"/>
    <w:rsid w:val="00C7037B"/>
    <w:rsid w:val="00C70CDD"/>
    <w:rsid w:val="00C71AD6"/>
    <w:rsid w:val="00C749C0"/>
    <w:rsid w:val="00C8149E"/>
    <w:rsid w:val="00C816C2"/>
    <w:rsid w:val="00C93492"/>
    <w:rsid w:val="00CA4A62"/>
    <w:rsid w:val="00CA5B7A"/>
    <w:rsid w:val="00CB6848"/>
    <w:rsid w:val="00CD5523"/>
    <w:rsid w:val="00CE5427"/>
    <w:rsid w:val="00CE63D1"/>
    <w:rsid w:val="00CF39DB"/>
    <w:rsid w:val="00CF497C"/>
    <w:rsid w:val="00CF7BA6"/>
    <w:rsid w:val="00D06AD0"/>
    <w:rsid w:val="00D112E7"/>
    <w:rsid w:val="00D1174F"/>
    <w:rsid w:val="00D14FFA"/>
    <w:rsid w:val="00D17C3E"/>
    <w:rsid w:val="00D21D42"/>
    <w:rsid w:val="00D22342"/>
    <w:rsid w:val="00D22875"/>
    <w:rsid w:val="00D25F19"/>
    <w:rsid w:val="00D270EF"/>
    <w:rsid w:val="00D3203D"/>
    <w:rsid w:val="00D3704F"/>
    <w:rsid w:val="00D41F1B"/>
    <w:rsid w:val="00D640E8"/>
    <w:rsid w:val="00D65A6E"/>
    <w:rsid w:val="00D670CD"/>
    <w:rsid w:val="00D71F44"/>
    <w:rsid w:val="00D864CE"/>
    <w:rsid w:val="00D9043E"/>
    <w:rsid w:val="00D91320"/>
    <w:rsid w:val="00D9316F"/>
    <w:rsid w:val="00D97071"/>
    <w:rsid w:val="00D97FF9"/>
    <w:rsid w:val="00DA059A"/>
    <w:rsid w:val="00DA1B4D"/>
    <w:rsid w:val="00DA2B22"/>
    <w:rsid w:val="00DA2D10"/>
    <w:rsid w:val="00DA4159"/>
    <w:rsid w:val="00DA614E"/>
    <w:rsid w:val="00DB74A8"/>
    <w:rsid w:val="00DD30DD"/>
    <w:rsid w:val="00DD6510"/>
    <w:rsid w:val="00E104E7"/>
    <w:rsid w:val="00E162D5"/>
    <w:rsid w:val="00E2160E"/>
    <w:rsid w:val="00E2415D"/>
    <w:rsid w:val="00E30639"/>
    <w:rsid w:val="00E35D4C"/>
    <w:rsid w:val="00E434A9"/>
    <w:rsid w:val="00E44A69"/>
    <w:rsid w:val="00E465C1"/>
    <w:rsid w:val="00E47008"/>
    <w:rsid w:val="00E523F7"/>
    <w:rsid w:val="00E53C86"/>
    <w:rsid w:val="00E66320"/>
    <w:rsid w:val="00E73DB8"/>
    <w:rsid w:val="00E75C5E"/>
    <w:rsid w:val="00E7774E"/>
    <w:rsid w:val="00E77AB2"/>
    <w:rsid w:val="00E82091"/>
    <w:rsid w:val="00E85524"/>
    <w:rsid w:val="00E92DA8"/>
    <w:rsid w:val="00EA5D9A"/>
    <w:rsid w:val="00EB54DE"/>
    <w:rsid w:val="00EB6D85"/>
    <w:rsid w:val="00ED473F"/>
    <w:rsid w:val="00EE03EB"/>
    <w:rsid w:val="00EF0C44"/>
    <w:rsid w:val="00EF0D2F"/>
    <w:rsid w:val="00EF3CBF"/>
    <w:rsid w:val="00EF3FC4"/>
    <w:rsid w:val="00F14742"/>
    <w:rsid w:val="00F1567D"/>
    <w:rsid w:val="00F264CA"/>
    <w:rsid w:val="00F37344"/>
    <w:rsid w:val="00F37C48"/>
    <w:rsid w:val="00F41846"/>
    <w:rsid w:val="00F527EF"/>
    <w:rsid w:val="00F6020D"/>
    <w:rsid w:val="00F60AA2"/>
    <w:rsid w:val="00F6751E"/>
    <w:rsid w:val="00F768BA"/>
    <w:rsid w:val="00F8620A"/>
    <w:rsid w:val="00F902B9"/>
    <w:rsid w:val="00F95056"/>
    <w:rsid w:val="00F95995"/>
    <w:rsid w:val="00FB3448"/>
    <w:rsid w:val="00FE02D8"/>
    <w:rsid w:val="00FF476B"/>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28FA"/>
  <w15:chartTrackingRefBased/>
  <w15:docId w15:val="{20988367-5959-4154-A9CC-0B47DDC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1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6E"/>
    <w:pPr>
      <w:ind w:left="720"/>
      <w:contextualSpacing/>
    </w:pPr>
  </w:style>
  <w:style w:type="paragraph" w:styleId="Header">
    <w:name w:val="header"/>
    <w:next w:val="Normal"/>
    <w:link w:val="HeaderChar"/>
    <w:uiPriority w:val="99"/>
    <w:unhideWhenUsed/>
    <w:rsid w:val="00771C6E"/>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771C6E"/>
    <w:rPr>
      <w:rFonts w:ascii="Arial" w:eastAsia="Times New Roman" w:hAnsi="Arial" w:cs="Arial"/>
      <w:sz w:val="24"/>
      <w:szCs w:val="24"/>
    </w:rPr>
  </w:style>
  <w:style w:type="paragraph" w:styleId="Footer">
    <w:name w:val="footer"/>
    <w:basedOn w:val="Normal"/>
    <w:link w:val="FooterChar"/>
    <w:uiPriority w:val="99"/>
    <w:unhideWhenUsed/>
    <w:rsid w:val="00771C6E"/>
    <w:pPr>
      <w:tabs>
        <w:tab w:val="center" w:pos="4320"/>
        <w:tab w:val="right" w:pos="8640"/>
      </w:tabs>
    </w:pPr>
  </w:style>
  <w:style w:type="character" w:customStyle="1" w:styleId="FooterChar">
    <w:name w:val="Footer Char"/>
    <w:basedOn w:val="DefaultParagraphFont"/>
    <w:link w:val="Footer"/>
    <w:uiPriority w:val="99"/>
    <w:rsid w:val="00771C6E"/>
    <w:rPr>
      <w:rFonts w:ascii="Arial" w:eastAsia="Times New Roman" w:hAnsi="Arial" w:cs="Arial"/>
      <w:sz w:val="24"/>
      <w:szCs w:val="24"/>
    </w:rPr>
  </w:style>
  <w:style w:type="table" w:styleId="TableGrid">
    <w:name w:val="Table Grid"/>
    <w:basedOn w:val="TableNormal"/>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6E"/>
    <w:rPr>
      <w:color w:val="0563C1" w:themeColor="hyperlink"/>
      <w:u w:val="single"/>
    </w:rPr>
  </w:style>
  <w:style w:type="table" w:customStyle="1" w:styleId="TableGrid2">
    <w:name w:val="Table Grid2"/>
    <w:basedOn w:val="TableNormal"/>
    <w:next w:val="TableGrid"/>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F3"/>
    <w:rPr>
      <w:rFonts w:ascii="Segoe UI" w:eastAsia="Times New Roman" w:hAnsi="Segoe UI" w:cs="Segoe UI"/>
      <w:sz w:val="18"/>
      <w:szCs w:val="18"/>
    </w:rPr>
  </w:style>
  <w:style w:type="paragraph" w:styleId="NormalWeb">
    <w:name w:val="Normal (Web)"/>
    <w:basedOn w:val="Normal"/>
    <w:uiPriority w:val="99"/>
    <w:semiHidden/>
    <w:unhideWhenUsed/>
    <w:rsid w:val="005D66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D667F"/>
    <w:rPr>
      <w:b/>
      <w:bCs/>
    </w:rPr>
  </w:style>
  <w:style w:type="character" w:styleId="CommentReference">
    <w:name w:val="annotation reference"/>
    <w:basedOn w:val="DefaultParagraphFont"/>
    <w:uiPriority w:val="99"/>
    <w:semiHidden/>
    <w:unhideWhenUsed/>
    <w:rsid w:val="00BD32ED"/>
    <w:rPr>
      <w:sz w:val="16"/>
      <w:szCs w:val="16"/>
    </w:rPr>
  </w:style>
  <w:style w:type="paragraph" w:styleId="CommentText">
    <w:name w:val="annotation text"/>
    <w:basedOn w:val="Normal"/>
    <w:link w:val="CommentTextChar"/>
    <w:uiPriority w:val="99"/>
    <w:unhideWhenUsed/>
    <w:rsid w:val="00BD32ED"/>
    <w:rPr>
      <w:sz w:val="20"/>
      <w:szCs w:val="20"/>
    </w:rPr>
  </w:style>
  <w:style w:type="character" w:customStyle="1" w:styleId="CommentTextChar">
    <w:name w:val="Comment Text Char"/>
    <w:basedOn w:val="DefaultParagraphFont"/>
    <w:link w:val="CommentText"/>
    <w:uiPriority w:val="99"/>
    <w:rsid w:val="00BD32E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D32ED"/>
    <w:rPr>
      <w:b/>
      <w:bCs/>
    </w:rPr>
  </w:style>
  <w:style w:type="character" w:customStyle="1" w:styleId="CommentSubjectChar">
    <w:name w:val="Comment Subject Char"/>
    <w:basedOn w:val="CommentTextChar"/>
    <w:link w:val="CommentSubject"/>
    <w:uiPriority w:val="99"/>
    <w:semiHidden/>
    <w:rsid w:val="00BD32ED"/>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712C9"/>
    <w:rPr>
      <w:color w:val="954F72" w:themeColor="followedHyperlink"/>
      <w:u w:val="single"/>
    </w:rPr>
  </w:style>
  <w:style w:type="character" w:customStyle="1" w:styleId="ms-rtethemebackcolor-1-0">
    <w:name w:val="ms-rtethemebackcolor-1-0"/>
    <w:basedOn w:val="DefaultParagraphFont"/>
    <w:rsid w:val="003A1C96"/>
  </w:style>
  <w:style w:type="paragraph" w:styleId="BodyText">
    <w:name w:val="Body Text"/>
    <w:basedOn w:val="Normal"/>
    <w:link w:val="BodyTextChar"/>
    <w:semiHidden/>
    <w:unhideWhenUsed/>
    <w:rsid w:val="00CE63D1"/>
    <w:pPr>
      <w:jc w:val="both"/>
    </w:pPr>
    <w:rPr>
      <w:rFonts w:ascii="Tahoma" w:hAnsi="Tahoma" w:cs="Times New Roman"/>
      <w:sz w:val="26"/>
      <w:szCs w:val="20"/>
    </w:rPr>
  </w:style>
  <w:style w:type="character" w:customStyle="1" w:styleId="BodyTextChar">
    <w:name w:val="Body Text Char"/>
    <w:basedOn w:val="DefaultParagraphFont"/>
    <w:link w:val="BodyText"/>
    <w:semiHidden/>
    <w:rsid w:val="00CE63D1"/>
    <w:rPr>
      <w:rFonts w:ascii="Tahoma" w:eastAsia="Times New Roman" w:hAnsi="Tahoma" w:cs="Times New Roman"/>
      <w:sz w:val="26"/>
      <w:szCs w:val="20"/>
    </w:rPr>
  </w:style>
  <w:style w:type="character" w:styleId="Emphasis">
    <w:name w:val="Emphasis"/>
    <w:basedOn w:val="DefaultParagraphFont"/>
    <w:uiPriority w:val="20"/>
    <w:qFormat/>
    <w:rsid w:val="002807B1"/>
    <w:rPr>
      <w:i/>
      <w:iCs/>
    </w:rPr>
  </w:style>
  <w:style w:type="paragraph" w:styleId="NoSpacing">
    <w:name w:val="No Spacing"/>
    <w:uiPriority w:val="1"/>
    <w:qFormat/>
    <w:rsid w:val="00DA614E"/>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3280">
      <w:bodyDiv w:val="1"/>
      <w:marLeft w:val="0"/>
      <w:marRight w:val="0"/>
      <w:marTop w:val="0"/>
      <w:marBottom w:val="0"/>
      <w:divBdr>
        <w:top w:val="none" w:sz="0" w:space="0" w:color="auto"/>
        <w:left w:val="none" w:sz="0" w:space="0" w:color="auto"/>
        <w:bottom w:val="none" w:sz="0" w:space="0" w:color="auto"/>
        <w:right w:val="none" w:sz="0" w:space="0" w:color="auto"/>
      </w:divBdr>
    </w:div>
    <w:div w:id="373388991">
      <w:bodyDiv w:val="1"/>
      <w:marLeft w:val="0"/>
      <w:marRight w:val="0"/>
      <w:marTop w:val="0"/>
      <w:marBottom w:val="0"/>
      <w:divBdr>
        <w:top w:val="none" w:sz="0" w:space="0" w:color="auto"/>
        <w:left w:val="none" w:sz="0" w:space="0" w:color="auto"/>
        <w:bottom w:val="none" w:sz="0" w:space="0" w:color="auto"/>
        <w:right w:val="none" w:sz="0" w:space="0" w:color="auto"/>
      </w:divBdr>
    </w:div>
    <w:div w:id="459299115">
      <w:bodyDiv w:val="1"/>
      <w:marLeft w:val="0"/>
      <w:marRight w:val="0"/>
      <w:marTop w:val="0"/>
      <w:marBottom w:val="0"/>
      <w:divBdr>
        <w:top w:val="none" w:sz="0" w:space="0" w:color="auto"/>
        <w:left w:val="none" w:sz="0" w:space="0" w:color="auto"/>
        <w:bottom w:val="none" w:sz="0" w:space="0" w:color="auto"/>
        <w:right w:val="none" w:sz="0" w:space="0" w:color="auto"/>
      </w:divBdr>
    </w:div>
    <w:div w:id="495609714">
      <w:bodyDiv w:val="1"/>
      <w:marLeft w:val="0"/>
      <w:marRight w:val="0"/>
      <w:marTop w:val="0"/>
      <w:marBottom w:val="0"/>
      <w:divBdr>
        <w:top w:val="none" w:sz="0" w:space="0" w:color="auto"/>
        <w:left w:val="none" w:sz="0" w:space="0" w:color="auto"/>
        <w:bottom w:val="none" w:sz="0" w:space="0" w:color="auto"/>
        <w:right w:val="none" w:sz="0" w:space="0" w:color="auto"/>
      </w:divBdr>
      <w:divsChild>
        <w:div w:id="1097676387">
          <w:marLeft w:val="0"/>
          <w:marRight w:val="0"/>
          <w:marTop w:val="0"/>
          <w:marBottom w:val="0"/>
          <w:divBdr>
            <w:top w:val="none" w:sz="0" w:space="0" w:color="auto"/>
            <w:left w:val="none" w:sz="0" w:space="0" w:color="auto"/>
            <w:bottom w:val="none" w:sz="0" w:space="0" w:color="auto"/>
            <w:right w:val="none" w:sz="0" w:space="0" w:color="auto"/>
          </w:divBdr>
          <w:divsChild>
            <w:div w:id="677731973">
              <w:marLeft w:val="0"/>
              <w:marRight w:val="0"/>
              <w:marTop w:val="0"/>
              <w:marBottom w:val="0"/>
              <w:divBdr>
                <w:top w:val="none" w:sz="0" w:space="0" w:color="auto"/>
                <w:left w:val="none" w:sz="0" w:space="0" w:color="auto"/>
                <w:bottom w:val="none" w:sz="0" w:space="0" w:color="auto"/>
                <w:right w:val="none" w:sz="0" w:space="0" w:color="auto"/>
              </w:divBdr>
              <w:divsChild>
                <w:div w:id="773984975">
                  <w:marLeft w:val="0"/>
                  <w:marRight w:val="0"/>
                  <w:marTop w:val="0"/>
                  <w:marBottom w:val="0"/>
                  <w:divBdr>
                    <w:top w:val="none" w:sz="0" w:space="0" w:color="auto"/>
                    <w:left w:val="none" w:sz="0" w:space="0" w:color="auto"/>
                    <w:bottom w:val="none" w:sz="0" w:space="0" w:color="auto"/>
                    <w:right w:val="none" w:sz="0" w:space="0" w:color="auto"/>
                  </w:divBdr>
                  <w:divsChild>
                    <w:div w:id="1272517404">
                      <w:marLeft w:val="0"/>
                      <w:marRight w:val="0"/>
                      <w:marTop w:val="0"/>
                      <w:marBottom w:val="0"/>
                      <w:divBdr>
                        <w:top w:val="none" w:sz="0" w:space="0" w:color="auto"/>
                        <w:left w:val="none" w:sz="0" w:space="0" w:color="auto"/>
                        <w:bottom w:val="none" w:sz="0" w:space="0" w:color="auto"/>
                        <w:right w:val="none" w:sz="0" w:space="0" w:color="auto"/>
                      </w:divBdr>
                      <w:divsChild>
                        <w:div w:id="13551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59579">
      <w:bodyDiv w:val="1"/>
      <w:marLeft w:val="0"/>
      <w:marRight w:val="0"/>
      <w:marTop w:val="0"/>
      <w:marBottom w:val="0"/>
      <w:divBdr>
        <w:top w:val="none" w:sz="0" w:space="0" w:color="auto"/>
        <w:left w:val="none" w:sz="0" w:space="0" w:color="auto"/>
        <w:bottom w:val="none" w:sz="0" w:space="0" w:color="auto"/>
        <w:right w:val="none" w:sz="0" w:space="0" w:color="auto"/>
      </w:divBdr>
    </w:div>
    <w:div w:id="771783566">
      <w:bodyDiv w:val="1"/>
      <w:marLeft w:val="0"/>
      <w:marRight w:val="0"/>
      <w:marTop w:val="0"/>
      <w:marBottom w:val="0"/>
      <w:divBdr>
        <w:top w:val="none" w:sz="0" w:space="0" w:color="auto"/>
        <w:left w:val="none" w:sz="0" w:space="0" w:color="auto"/>
        <w:bottom w:val="none" w:sz="0" w:space="0" w:color="auto"/>
        <w:right w:val="none" w:sz="0" w:space="0" w:color="auto"/>
      </w:divBdr>
    </w:div>
    <w:div w:id="988480959">
      <w:bodyDiv w:val="1"/>
      <w:marLeft w:val="0"/>
      <w:marRight w:val="0"/>
      <w:marTop w:val="0"/>
      <w:marBottom w:val="0"/>
      <w:divBdr>
        <w:top w:val="none" w:sz="0" w:space="0" w:color="auto"/>
        <w:left w:val="none" w:sz="0" w:space="0" w:color="auto"/>
        <w:bottom w:val="none" w:sz="0" w:space="0" w:color="auto"/>
        <w:right w:val="none" w:sz="0" w:space="0" w:color="auto"/>
      </w:divBdr>
    </w:div>
    <w:div w:id="1063334632">
      <w:bodyDiv w:val="1"/>
      <w:marLeft w:val="0"/>
      <w:marRight w:val="0"/>
      <w:marTop w:val="0"/>
      <w:marBottom w:val="0"/>
      <w:divBdr>
        <w:top w:val="none" w:sz="0" w:space="0" w:color="auto"/>
        <w:left w:val="none" w:sz="0" w:space="0" w:color="auto"/>
        <w:bottom w:val="none" w:sz="0" w:space="0" w:color="auto"/>
        <w:right w:val="none" w:sz="0" w:space="0" w:color="auto"/>
      </w:divBdr>
    </w:div>
    <w:div w:id="1553882470">
      <w:bodyDiv w:val="1"/>
      <w:marLeft w:val="0"/>
      <w:marRight w:val="0"/>
      <w:marTop w:val="0"/>
      <w:marBottom w:val="0"/>
      <w:divBdr>
        <w:top w:val="none" w:sz="0" w:space="0" w:color="auto"/>
        <w:left w:val="none" w:sz="0" w:space="0" w:color="auto"/>
        <w:bottom w:val="none" w:sz="0" w:space="0" w:color="auto"/>
        <w:right w:val="none" w:sz="0" w:space="0" w:color="auto"/>
      </w:divBdr>
    </w:div>
    <w:div w:id="1587037228">
      <w:bodyDiv w:val="1"/>
      <w:marLeft w:val="0"/>
      <w:marRight w:val="0"/>
      <w:marTop w:val="0"/>
      <w:marBottom w:val="0"/>
      <w:divBdr>
        <w:top w:val="none" w:sz="0" w:space="0" w:color="auto"/>
        <w:left w:val="none" w:sz="0" w:space="0" w:color="auto"/>
        <w:bottom w:val="none" w:sz="0" w:space="0" w:color="auto"/>
        <w:right w:val="none" w:sz="0" w:space="0" w:color="auto"/>
      </w:divBdr>
    </w:div>
    <w:div w:id="1730885815">
      <w:bodyDiv w:val="1"/>
      <w:marLeft w:val="0"/>
      <w:marRight w:val="0"/>
      <w:marTop w:val="0"/>
      <w:marBottom w:val="0"/>
      <w:divBdr>
        <w:top w:val="none" w:sz="0" w:space="0" w:color="auto"/>
        <w:left w:val="none" w:sz="0" w:space="0" w:color="auto"/>
        <w:bottom w:val="none" w:sz="0" w:space="0" w:color="auto"/>
        <w:right w:val="none" w:sz="0" w:space="0" w:color="auto"/>
      </w:divBdr>
    </w:div>
    <w:div w:id="1831823808">
      <w:bodyDiv w:val="1"/>
      <w:marLeft w:val="0"/>
      <w:marRight w:val="0"/>
      <w:marTop w:val="0"/>
      <w:marBottom w:val="0"/>
      <w:divBdr>
        <w:top w:val="none" w:sz="0" w:space="0" w:color="auto"/>
        <w:left w:val="none" w:sz="0" w:space="0" w:color="auto"/>
        <w:bottom w:val="none" w:sz="0" w:space="0" w:color="auto"/>
        <w:right w:val="none" w:sz="0" w:space="0" w:color="auto"/>
      </w:divBdr>
    </w:div>
    <w:div w:id="1894661123">
      <w:bodyDiv w:val="1"/>
      <w:marLeft w:val="0"/>
      <w:marRight w:val="0"/>
      <w:marTop w:val="0"/>
      <w:marBottom w:val="0"/>
      <w:divBdr>
        <w:top w:val="none" w:sz="0" w:space="0" w:color="auto"/>
        <w:left w:val="none" w:sz="0" w:space="0" w:color="auto"/>
        <w:bottom w:val="none" w:sz="0" w:space="0" w:color="auto"/>
        <w:right w:val="none" w:sz="0" w:space="0" w:color="auto"/>
      </w:divBdr>
    </w:div>
    <w:div w:id="21074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5520A9AE34C4D9183EABF345A2EEB" ma:contentTypeVersion="62" ma:contentTypeDescription="Create a new document." ma:contentTypeScope="" ma:versionID="14df8ca1f0e8f1d7110f107b9a107e2e">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e457c132387cfe27a1f09a2ef8513f6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FB64F0-EA25-4597-86C6-0A0B6550703B}"/>
</file>

<file path=customXml/itemProps2.xml><?xml version="1.0" encoding="utf-8"?>
<ds:datastoreItem xmlns:ds="http://schemas.openxmlformats.org/officeDocument/2006/customXml" ds:itemID="{44DA4FB2-290E-4891-8A7B-81EF9DBE39E9}"/>
</file>

<file path=customXml/itemProps3.xml><?xml version="1.0" encoding="utf-8"?>
<ds:datastoreItem xmlns:ds="http://schemas.openxmlformats.org/officeDocument/2006/customXml" ds:itemID="{448B7276-96AF-4080-AB4A-6E177EF0F2A0}"/>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Caroline</dc:creator>
  <cp:keywords/>
  <dc:description/>
  <cp:lastModifiedBy>Fraser, Louisa</cp:lastModifiedBy>
  <cp:revision>3</cp:revision>
  <cp:lastPrinted>2019-06-13T09:14:00Z</cp:lastPrinted>
  <dcterms:created xsi:type="dcterms:W3CDTF">2020-01-16T16:53:00Z</dcterms:created>
  <dcterms:modified xsi:type="dcterms:W3CDTF">2020-01-16T16:54:00Z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0x0101009575520A9AE34C4D9183EABF345A2EEB</vt:lpwstr>
  </property>
  <property fmtid="{D5CDD505-2E9C-101B-9397-08002B2CF9AE}" pid="3" name="Document Description">
    <vt:lpwstr/>
  </property>
  <property fmtid="{D5CDD505-2E9C-101B-9397-08002B2CF9AE}" pid="4" name="Document Keywords">
    <vt:lpwstr/>
  </property>
</Properties>
</file>