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70" w:rsidRPr="00572AA7" w:rsidRDefault="00CF4570" w:rsidP="00DC1E1E">
      <w:pPr>
        <w:rPr>
          <w:rFonts w:ascii="Titillium" w:eastAsiaTheme="minorEastAsia" w:hAnsi="Titillium"/>
          <w:color w:val="579FBB"/>
          <w:sz w:val="32"/>
          <w:szCs w:val="32"/>
        </w:rPr>
      </w:pPr>
      <w:r w:rsidRPr="00572AA7">
        <w:rPr>
          <w:rFonts w:ascii="Titillium" w:eastAsiaTheme="minorEastAsia" w:hAnsi="Titillium"/>
          <w:color w:val="579FBB"/>
          <w:sz w:val="32"/>
          <w:szCs w:val="32"/>
        </w:rPr>
        <w:t>Wellness Action Pl</w:t>
      </w:r>
      <w:bookmarkStart w:id="0" w:name="_GoBack"/>
      <w:bookmarkEnd w:id="0"/>
      <w:r w:rsidRPr="00572AA7">
        <w:rPr>
          <w:rFonts w:ascii="Titillium" w:eastAsiaTheme="minorEastAsia" w:hAnsi="Titillium"/>
          <w:color w:val="579FBB"/>
          <w:sz w:val="32"/>
          <w:szCs w:val="32"/>
        </w:rPr>
        <w:t>an (WAP)</w:t>
      </w:r>
    </w:p>
    <w:p w:rsidR="00CF4570" w:rsidRDefault="00CF4570" w:rsidP="00CF4570">
      <w:pPr>
        <w:rPr>
          <w:rFonts w:ascii="Titillium" w:eastAsiaTheme="minorEastAsia" w:hAnsi="Titillium"/>
          <w:color w:val="579FBB"/>
          <w:sz w:val="22"/>
          <w:szCs w:val="22"/>
        </w:rPr>
      </w:pPr>
    </w:p>
    <w:p w:rsidR="00CF4570" w:rsidRDefault="00CF4570" w:rsidP="00CF4570">
      <w:pPr>
        <w:jc w:val="both"/>
        <w:rPr>
          <w:rFonts w:ascii="Titillium" w:eastAsiaTheme="minorEastAsia" w:hAnsi="Titillium"/>
          <w:sz w:val="22"/>
          <w:szCs w:val="22"/>
        </w:rPr>
      </w:pPr>
      <w:r>
        <w:rPr>
          <w:rFonts w:ascii="Titillium" w:eastAsiaTheme="minorEastAsia" w:hAnsi="Titillium"/>
          <w:sz w:val="22"/>
          <w:szCs w:val="22"/>
        </w:rPr>
        <w:t>MIND has developed a framework to assist people to manage their mental health and wellbeing at work.  A Wellness Action Plan (WAP) can help people to support their mental health by reflecting on the causes of poor mental health and by taking ownership of practical steps to address them.  It also helps to open up dialogue about mental health between employees and their managers leading to an improved understanding of needs and experiences, which potentially results in the provision of better support.</w:t>
      </w:r>
    </w:p>
    <w:p w:rsidR="00CF4570" w:rsidRDefault="00CF4570" w:rsidP="00CF4570">
      <w:pPr>
        <w:jc w:val="both"/>
        <w:rPr>
          <w:rFonts w:ascii="Titillium" w:eastAsiaTheme="minorEastAsia" w:hAnsi="Titillium"/>
          <w:sz w:val="22"/>
          <w:szCs w:val="22"/>
        </w:rPr>
      </w:pPr>
    </w:p>
    <w:p w:rsidR="00CF4570" w:rsidRDefault="00CF4570" w:rsidP="00CF4570">
      <w:pPr>
        <w:jc w:val="both"/>
        <w:rPr>
          <w:rFonts w:ascii="Titillium" w:eastAsiaTheme="minorEastAsia" w:hAnsi="Titillium"/>
          <w:sz w:val="22"/>
          <w:szCs w:val="22"/>
        </w:rPr>
      </w:pPr>
      <w:r>
        <w:rPr>
          <w:rFonts w:ascii="Titillium" w:eastAsiaTheme="minorEastAsia" w:hAnsi="Titillium"/>
          <w:sz w:val="22"/>
          <w:szCs w:val="22"/>
        </w:rPr>
        <w:t>A WAP can be completed at any time.  They are optional and employees should only provide information that they are comfortable sharing.  They can be particularly helpful during any period of sickness absence or phased return to work process where the employee has been off work due to a mental health problem. They provide a structured framework for conversations around what support might help them and help them stay well.</w:t>
      </w:r>
    </w:p>
    <w:p w:rsidR="00CF4570" w:rsidRDefault="00CF4570" w:rsidP="00CF4570">
      <w:pPr>
        <w:jc w:val="both"/>
        <w:rPr>
          <w:rFonts w:ascii="Titillium" w:eastAsiaTheme="minorEastAsia" w:hAnsi="Titillium"/>
          <w:sz w:val="22"/>
          <w:szCs w:val="22"/>
        </w:rPr>
      </w:pPr>
    </w:p>
    <w:tbl>
      <w:tblPr>
        <w:tblStyle w:val="TableGrid"/>
        <w:tblW w:w="0" w:type="auto"/>
        <w:tblBorders>
          <w:top w:val="single" w:sz="4" w:space="0" w:color="579FBB"/>
          <w:left w:val="single" w:sz="4" w:space="0" w:color="579FBB"/>
          <w:bottom w:val="single" w:sz="4" w:space="0" w:color="579FBB"/>
          <w:right w:val="single" w:sz="4" w:space="0" w:color="579FBB"/>
          <w:insideH w:val="single" w:sz="4" w:space="0" w:color="579FBB"/>
          <w:insideV w:val="single" w:sz="4" w:space="0" w:color="579FBB"/>
        </w:tblBorders>
        <w:tblLook w:val="04A0" w:firstRow="1" w:lastRow="0" w:firstColumn="1" w:lastColumn="0" w:noHBand="0" w:noVBand="1"/>
      </w:tblPr>
      <w:tblGrid>
        <w:gridCol w:w="3114"/>
        <w:gridCol w:w="6508"/>
      </w:tblGrid>
      <w:tr w:rsidR="00CF4570" w:rsidTr="00885DFB">
        <w:tc>
          <w:tcPr>
            <w:tcW w:w="9622" w:type="dxa"/>
            <w:gridSpan w:val="2"/>
            <w:shd w:val="clear" w:color="auto" w:fill="EFF5FB"/>
          </w:tcPr>
          <w:p w:rsidR="00CF4570" w:rsidRPr="002E5B96" w:rsidRDefault="00CF4570" w:rsidP="00CF4570">
            <w:pPr>
              <w:pStyle w:val="ListParagraph"/>
              <w:numPr>
                <w:ilvl w:val="0"/>
                <w:numId w:val="1"/>
              </w:numPr>
              <w:ind w:left="306" w:hanging="284"/>
              <w:jc w:val="both"/>
              <w:rPr>
                <w:rFonts w:ascii="Titillium" w:hAnsi="Titillium"/>
                <w:b/>
                <w:sz w:val="20"/>
                <w:szCs w:val="20"/>
              </w:rPr>
            </w:pPr>
            <w:r w:rsidRPr="002E5B96">
              <w:rPr>
                <w:rFonts w:ascii="Titillium" w:hAnsi="Titillium"/>
                <w:b/>
                <w:sz w:val="20"/>
                <w:szCs w:val="20"/>
              </w:rPr>
              <w:t>How does your mental health problem affect you?  How might your symptoms affect your work?</w:t>
            </w:r>
          </w:p>
          <w:p w:rsidR="00CF4570" w:rsidRPr="002E5B96" w:rsidRDefault="00CF4570" w:rsidP="00885DFB">
            <w:pPr>
              <w:jc w:val="both"/>
              <w:rPr>
                <w:rFonts w:ascii="Calibri" w:hAnsi="Calibri"/>
                <w:sz w:val="20"/>
                <w:szCs w:val="20"/>
              </w:rPr>
            </w:pPr>
          </w:p>
          <w:p w:rsidR="00CF4570" w:rsidRPr="002E5B96" w:rsidRDefault="00CF4570" w:rsidP="00885DFB">
            <w:pPr>
              <w:jc w:val="both"/>
              <w:rPr>
                <w:rFonts w:ascii="Calibri" w:hAnsi="Calibri"/>
                <w:sz w:val="20"/>
                <w:szCs w:val="20"/>
              </w:rPr>
            </w:pPr>
          </w:p>
          <w:p w:rsidR="00CF4570" w:rsidRPr="002E5B96" w:rsidRDefault="00CF4570" w:rsidP="00885DFB">
            <w:pPr>
              <w:jc w:val="both"/>
              <w:rPr>
                <w:rFonts w:ascii="Calibri" w:hAnsi="Calibri"/>
                <w:sz w:val="20"/>
                <w:szCs w:val="20"/>
              </w:rPr>
            </w:pPr>
          </w:p>
        </w:tc>
      </w:tr>
      <w:tr w:rsidR="00CF4570" w:rsidTr="00885DFB">
        <w:tc>
          <w:tcPr>
            <w:tcW w:w="9622" w:type="dxa"/>
            <w:gridSpan w:val="2"/>
            <w:shd w:val="clear" w:color="auto" w:fill="EFF5FB"/>
          </w:tcPr>
          <w:p w:rsidR="00CF4570" w:rsidRPr="002E5B96" w:rsidRDefault="00CF4570" w:rsidP="00CF4570">
            <w:pPr>
              <w:pStyle w:val="ListParagraph"/>
              <w:numPr>
                <w:ilvl w:val="0"/>
                <w:numId w:val="1"/>
              </w:numPr>
              <w:ind w:left="306" w:hanging="284"/>
              <w:jc w:val="both"/>
              <w:rPr>
                <w:rFonts w:ascii="Titillium" w:hAnsi="Titillium"/>
                <w:b/>
                <w:sz w:val="20"/>
                <w:szCs w:val="20"/>
              </w:rPr>
            </w:pPr>
            <w:r w:rsidRPr="002E5B96">
              <w:rPr>
                <w:rFonts w:ascii="Titillium" w:hAnsi="Titillium"/>
                <w:b/>
                <w:sz w:val="20"/>
                <w:szCs w:val="20"/>
              </w:rPr>
              <w:t>Are there any situations at work that can trigger poor mental health for you and early warning signs that we might notice?</w:t>
            </w:r>
          </w:p>
          <w:p w:rsidR="00CF4570" w:rsidRPr="002E5B96" w:rsidRDefault="00CF4570" w:rsidP="00885DFB">
            <w:pPr>
              <w:jc w:val="both"/>
              <w:rPr>
                <w:rFonts w:ascii="Titillium" w:hAnsi="Titillium"/>
                <w:b/>
                <w:sz w:val="20"/>
                <w:szCs w:val="20"/>
              </w:rPr>
            </w:pPr>
          </w:p>
          <w:p w:rsidR="00CF4570" w:rsidRPr="002E5B96" w:rsidRDefault="00CF4570" w:rsidP="00885DFB">
            <w:pPr>
              <w:tabs>
                <w:tab w:val="left" w:pos="2895"/>
              </w:tabs>
              <w:jc w:val="both"/>
              <w:rPr>
                <w:rFonts w:ascii="Titillium" w:hAnsi="Titillium"/>
                <w:b/>
                <w:sz w:val="20"/>
                <w:szCs w:val="20"/>
              </w:rPr>
            </w:pPr>
            <w:r w:rsidRPr="002E5B96">
              <w:rPr>
                <w:rFonts w:ascii="Titillium" w:hAnsi="Titillium"/>
                <w:b/>
                <w:sz w:val="20"/>
                <w:szCs w:val="20"/>
              </w:rPr>
              <w:tab/>
            </w:r>
          </w:p>
          <w:p w:rsidR="00CF4570" w:rsidRPr="002E5B96" w:rsidRDefault="00CF4570" w:rsidP="00885DFB">
            <w:pPr>
              <w:tabs>
                <w:tab w:val="left" w:pos="2895"/>
              </w:tabs>
              <w:jc w:val="both"/>
              <w:rPr>
                <w:rFonts w:ascii="Titillium" w:hAnsi="Titillium"/>
                <w:b/>
                <w:sz w:val="20"/>
                <w:szCs w:val="20"/>
              </w:rPr>
            </w:pPr>
          </w:p>
        </w:tc>
      </w:tr>
      <w:tr w:rsidR="00CF4570" w:rsidTr="00885DFB">
        <w:tc>
          <w:tcPr>
            <w:tcW w:w="9622" w:type="dxa"/>
            <w:gridSpan w:val="2"/>
            <w:shd w:val="clear" w:color="auto" w:fill="EFF5FB"/>
          </w:tcPr>
          <w:p w:rsidR="00CF4570" w:rsidRPr="002E5B96" w:rsidRDefault="00CF4570" w:rsidP="00CF4570">
            <w:pPr>
              <w:pStyle w:val="ListParagraph"/>
              <w:numPr>
                <w:ilvl w:val="0"/>
                <w:numId w:val="1"/>
              </w:numPr>
              <w:ind w:left="306" w:hanging="284"/>
              <w:jc w:val="both"/>
              <w:rPr>
                <w:rFonts w:ascii="Titillium" w:hAnsi="Titillium"/>
                <w:b/>
                <w:sz w:val="20"/>
                <w:szCs w:val="20"/>
              </w:rPr>
            </w:pPr>
            <w:r w:rsidRPr="002E5B96">
              <w:rPr>
                <w:rFonts w:ascii="Titillium" w:hAnsi="Titillium"/>
                <w:b/>
                <w:sz w:val="20"/>
                <w:szCs w:val="20"/>
              </w:rPr>
              <w:t>What support or adjustments could we put in place to minimise triggers or support you to manage your symptoms at work?  Is there anything we should try to avoid doing?</w:t>
            </w:r>
          </w:p>
          <w:p w:rsidR="00CF4570" w:rsidRPr="002E5B96" w:rsidRDefault="00CF4570" w:rsidP="00885DFB">
            <w:pPr>
              <w:pStyle w:val="ListParagraph"/>
              <w:ind w:left="306"/>
              <w:jc w:val="both"/>
              <w:rPr>
                <w:rFonts w:ascii="Titillium" w:hAnsi="Titillium"/>
                <w:b/>
                <w:sz w:val="20"/>
                <w:szCs w:val="20"/>
              </w:rPr>
            </w:pPr>
          </w:p>
          <w:p w:rsidR="00CF4570" w:rsidRPr="002E5B96" w:rsidRDefault="00CF4570" w:rsidP="00885DFB">
            <w:pPr>
              <w:pStyle w:val="ListParagraph"/>
              <w:ind w:left="306"/>
              <w:jc w:val="both"/>
              <w:rPr>
                <w:rFonts w:ascii="Titillium" w:hAnsi="Titillium"/>
                <w:b/>
                <w:sz w:val="20"/>
                <w:szCs w:val="20"/>
              </w:rPr>
            </w:pPr>
          </w:p>
          <w:p w:rsidR="00CF4570" w:rsidRPr="002E5B96" w:rsidRDefault="00CF4570" w:rsidP="00885DFB">
            <w:pPr>
              <w:jc w:val="both"/>
              <w:rPr>
                <w:rFonts w:ascii="Titillium" w:hAnsi="Titillium"/>
                <w:b/>
                <w:sz w:val="20"/>
                <w:szCs w:val="20"/>
              </w:rPr>
            </w:pPr>
          </w:p>
        </w:tc>
      </w:tr>
      <w:tr w:rsidR="00CF4570" w:rsidTr="00885DFB">
        <w:tc>
          <w:tcPr>
            <w:tcW w:w="9622" w:type="dxa"/>
            <w:gridSpan w:val="2"/>
            <w:shd w:val="clear" w:color="auto" w:fill="EFF5FB"/>
          </w:tcPr>
          <w:p w:rsidR="00CF4570" w:rsidRPr="002E5B96" w:rsidRDefault="00CF4570" w:rsidP="00CF4570">
            <w:pPr>
              <w:pStyle w:val="ListParagraph"/>
              <w:numPr>
                <w:ilvl w:val="0"/>
                <w:numId w:val="1"/>
              </w:numPr>
              <w:ind w:left="306" w:hanging="306"/>
              <w:jc w:val="both"/>
              <w:rPr>
                <w:rFonts w:ascii="TUOS Blake" w:hAnsi="TUOS Blake"/>
                <w:b/>
                <w:i/>
                <w:sz w:val="20"/>
                <w:szCs w:val="20"/>
              </w:rPr>
            </w:pPr>
            <w:r w:rsidRPr="002E5B96">
              <w:rPr>
                <w:rFonts w:ascii="Titillium" w:hAnsi="Titillium"/>
                <w:b/>
                <w:sz w:val="20"/>
                <w:szCs w:val="20"/>
              </w:rPr>
              <w:t xml:space="preserve">If your health deteriorates, or we feel we have noticed early warning signs of distress, what should we do?  Should we talk to you discreetly or contact someone else? </w:t>
            </w:r>
            <w:r w:rsidRPr="002E5B96">
              <w:rPr>
                <w:rFonts w:ascii="Titillium" w:hAnsi="Titillium"/>
                <w:bCs/>
                <w:i/>
                <w:sz w:val="20"/>
                <w:szCs w:val="20"/>
              </w:rPr>
              <w:t>Please include contact names and numbers for scenarios when your health changes in a minor way and you are still able to get into work.</w:t>
            </w:r>
            <w:r w:rsidRPr="002E5B96">
              <w:rPr>
                <w:rFonts w:ascii="Titillium" w:hAnsi="Titillium"/>
                <w:b/>
                <w:i/>
                <w:sz w:val="20"/>
                <w:szCs w:val="20"/>
              </w:rPr>
              <w:t xml:space="preserve"> </w:t>
            </w:r>
          </w:p>
          <w:p w:rsidR="00CF4570" w:rsidRPr="002E5B96" w:rsidRDefault="00CF4570" w:rsidP="00885DFB">
            <w:pPr>
              <w:jc w:val="both"/>
              <w:rPr>
                <w:rFonts w:ascii="Titillium" w:hAnsi="Titillium"/>
                <w:b/>
                <w:sz w:val="20"/>
                <w:szCs w:val="20"/>
              </w:rPr>
            </w:pPr>
          </w:p>
          <w:p w:rsidR="00CF4570" w:rsidRPr="002E5B96" w:rsidRDefault="00CF4570" w:rsidP="00885DFB">
            <w:pPr>
              <w:jc w:val="both"/>
              <w:rPr>
                <w:rFonts w:ascii="Titillium" w:hAnsi="Titillium"/>
                <w:b/>
                <w:sz w:val="8"/>
                <w:szCs w:val="8"/>
              </w:rPr>
            </w:pPr>
          </w:p>
          <w:p w:rsidR="00CF4570" w:rsidRPr="002E5B96" w:rsidRDefault="00CF4570" w:rsidP="00885DFB">
            <w:pPr>
              <w:jc w:val="both"/>
              <w:rPr>
                <w:rFonts w:ascii="Titillium" w:hAnsi="Titillium"/>
                <w:b/>
                <w:sz w:val="20"/>
                <w:szCs w:val="20"/>
              </w:rPr>
            </w:pPr>
          </w:p>
        </w:tc>
      </w:tr>
      <w:tr w:rsidR="00CF4570" w:rsidTr="00885DFB">
        <w:trPr>
          <w:trHeight w:val="956"/>
        </w:trPr>
        <w:tc>
          <w:tcPr>
            <w:tcW w:w="9622" w:type="dxa"/>
            <w:gridSpan w:val="2"/>
            <w:shd w:val="clear" w:color="auto" w:fill="EFF5FB"/>
          </w:tcPr>
          <w:p w:rsidR="00CF4570" w:rsidRPr="002E5B96" w:rsidRDefault="00CF4570" w:rsidP="00CF4570">
            <w:pPr>
              <w:pStyle w:val="ListParagraph"/>
              <w:numPr>
                <w:ilvl w:val="0"/>
                <w:numId w:val="1"/>
              </w:numPr>
              <w:ind w:left="306" w:hanging="306"/>
              <w:jc w:val="both"/>
              <w:rPr>
                <w:rFonts w:ascii="Titillium" w:hAnsi="Titillium"/>
                <w:b/>
                <w:sz w:val="20"/>
                <w:szCs w:val="20"/>
              </w:rPr>
            </w:pPr>
            <w:r w:rsidRPr="002E5B96">
              <w:rPr>
                <w:rFonts w:ascii="Titillium" w:hAnsi="Titillium"/>
                <w:b/>
                <w:sz w:val="20"/>
                <w:szCs w:val="20"/>
              </w:rPr>
              <w:t>What steps can you take?  Is there anything we can do to facilitate them?</w:t>
            </w:r>
          </w:p>
          <w:p w:rsidR="00CF4570" w:rsidRPr="002E5B96" w:rsidRDefault="00CF4570" w:rsidP="00885DFB">
            <w:pPr>
              <w:jc w:val="both"/>
              <w:rPr>
                <w:rFonts w:ascii="Titillium" w:hAnsi="Titillium"/>
                <w:b/>
                <w:sz w:val="20"/>
                <w:szCs w:val="20"/>
              </w:rPr>
            </w:pPr>
          </w:p>
          <w:p w:rsidR="00CF4570" w:rsidRPr="002E5B96" w:rsidRDefault="00CF4570" w:rsidP="00885DFB">
            <w:pPr>
              <w:jc w:val="both"/>
              <w:rPr>
                <w:rFonts w:ascii="Titillium" w:hAnsi="Titillium"/>
                <w:b/>
                <w:sz w:val="20"/>
                <w:szCs w:val="20"/>
              </w:rPr>
            </w:pPr>
          </w:p>
          <w:p w:rsidR="00CF4570" w:rsidRPr="002E5B96" w:rsidRDefault="00CF4570" w:rsidP="00885DFB">
            <w:pPr>
              <w:jc w:val="both"/>
              <w:rPr>
                <w:rFonts w:ascii="Titillium" w:hAnsi="Titillium"/>
                <w:b/>
                <w:sz w:val="10"/>
                <w:szCs w:val="10"/>
              </w:rPr>
            </w:pPr>
          </w:p>
        </w:tc>
      </w:tr>
      <w:tr w:rsidR="00CF4570" w:rsidTr="00885DFB">
        <w:tc>
          <w:tcPr>
            <w:tcW w:w="3114" w:type="dxa"/>
            <w:shd w:val="clear" w:color="auto" w:fill="EFF5FB"/>
          </w:tcPr>
          <w:p w:rsidR="00CF4570" w:rsidRPr="002E5B96" w:rsidRDefault="00CF4570" w:rsidP="00885DFB">
            <w:pPr>
              <w:spacing w:before="60" w:after="60"/>
              <w:jc w:val="both"/>
              <w:rPr>
                <w:rFonts w:ascii="Titillium" w:hAnsi="Titillium"/>
                <w:b/>
                <w:sz w:val="20"/>
                <w:szCs w:val="20"/>
              </w:rPr>
            </w:pPr>
            <w:r w:rsidRPr="002E5B96">
              <w:rPr>
                <w:rFonts w:ascii="Titillium" w:hAnsi="Titillium"/>
                <w:b/>
                <w:sz w:val="20"/>
                <w:szCs w:val="20"/>
              </w:rPr>
              <w:t>Employee Name and Date</w:t>
            </w:r>
          </w:p>
        </w:tc>
        <w:tc>
          <w:tcPr>
            <w:tcW w:w="6508" w:type="dxa"/>
            <w:shd w:val="clear" w:color="auto" w:fill="EFF5FB"/>
          </w:tcPr>
          <w:p w:rsidR="00CF4570" w:rsidRPr="002E5B96" w:rsidRDefault="00CF4570" w:rsidP="00885DFB">
            <w:pPr>
              <w:spacing w:before="60" w:after="60"/>
              <w:jc w:val="both"/>
              <w:rPr>
                <w:rFonts w:ascii="Titillium" w:hAnsi="Titillium"/>
                <w:b/>
                <w:sz w:val="20"/>
                <w:szCs w:val="20"/>
              </w:rPr>
            </w:pPr>
          </w:p>
        </w:tc>
      </w:tr>
      <w:tr w:rsidR="00CF4570" w:rsidRPr="007E406D" w:rsidTr="00885DFB">
        <w:tc>
          <w:tcPr>
            <w:tcW w:w="3114" w:type="dxa"/>
            <w:shd w:val="clear" w:color="auto" w:fill="EFF5FB"/>
          </w:tcPr>
          <w:p w:rsidR="00CF4570" w:rsidRPr="002E5B96" w:rsidRDefault="00CF4570" w:rsidP="00885DFB">
            <w:pPr>
              <w:spacing w:before="60" w:after="60"/>
              <w:jc w:val="both"/>
              <w:rPr>
                <w:rFonts w:ascii="Titillium" w:hAnsi="Titillium"/>
                <w:b/>
                <w:sz w:val="20"/>
                <w:szCs w:val="20"/>
              </w:rPr>
            </w:pPr>
            <w:r w:rsidRPr="002E5B96">
              <w:rPr>
                <w:rFonts w:ascii="Titillium" w:hAnsi="Titillium"/>
                <w:b/>
                <w:sz w:val="20"/>
                <w:szCs w:val="20"/>
              </w:rPr>
              <w:t>Manager Name and Date</w:t>
            </w:r>
          </w:p>
        </w:tc>
        <w:tc>
          <w:tcPr>
            <w:tcW w:w="6508" w:type="dxa"/>
            <w:shd w:val="clear" w:color="auto" w:fill="EFF5FB"/>
          </w:tcPr>
          <w:p w:rsidR="00CF4570" w:rsidRPr="002E5B96" w:rsidRDefault="00CF4570" w:rsidP="00885DFB">
            <w:pPr>
              <w:spacing w:before="60" w:after="60"/>
              <w:jc w:val="both"/>
              <w:rPr>
                <w:rFonts w:ascii="Titillium" w:hAnsi="Titillium"/>
                <w:b/>
                <w:sz w:val="20"/>
                <w:szCs w:val="20"/>
              </w:rPr>
            </w:pPr>
          </w:p>
        </w:tc>
      </w:tr>
    </w:tbl>
    <w:p w:rsidR="00CF4570" w:rsidRDefault="00CF4570" w:rsidP="00CF4570">
      <w:pPr>
        <w:jc w:val="both"/>
        <w:rPr>
          <w:rStyle w:val="Hyperlink"/>
          <w:rFonts w:ascii="Titillium" w:hAnsi="Titillium"/>
          <w:sz w:val="22"/>
          <w:szCs w:val="22"/>
        </w:rPr>
      </w:pPr>
    </w:p>
    <w:p w:rsidR="00F25A22" w:rsidRDefault="00F25A22"/>
    <w:sectPr w:rsidR="00F25A22" w:rsidSect="00564BA2">
      <w:headerReference w:type="even" r:id="rId7"/>
      <w:headerReference w:type="default" r:id="rId8"/>
      <w:footerReference w:type="default" r:id="rId9"/>
      <w:headerReference w:type="first" r:id="rId10"/>
      <w:pgSz w:w="11900" w:h="16820"/>
      <w:pgMar w:top="3119" w:right="1134" w:bottom="851" w:left="1134" w:header="1247" w:footer="851" w:gutter="0"/>
      <w:pgNumType w:start="1"/>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70" w:rsidRDefault="00CF4570" w:rsidP="00CF4570">
      <w:r>
        <w:separator/>
      </w:r>
    </w:p>
  </w:endnote>
  <w:endnote w:type="continuationSeparator" w:id="0">
    <w:p w:rsidR="00CF4570" w:rsidRDefault="00CF4570" w:rsidP="00C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OS Blake">
    <w:altName w:val="Corbel"/>
    <w:charset w:val="00"/>
    <w:family w:val="swiss"/>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29" w:rsidRPr="00564BA2" w:rsidRDefault="00DC1E1E">
    <w:pPr>
      <w:pStyle w:val="Footer"/>
      <w:jc w:val="center"/>
      <w:rPr>
        <w:rFonts w:ascii="Titillium" w:hAnsi="Titillium"/>
        <w:sz w:val="20"/>
        <w:szCs w:val="20"/>
      </w:rPr>
    </w:pPr>
  </w:p>
  <w:p w:rsidR="00885929" w:rsidRPr="004B6014" w:rsidRDefault="00DC1E1E" w:rsidP="002F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70" w:rsidRDefault="00CF4570" w:rsidP="00CF4570">
      <w:r>
        <w:separator/>
      </w:r>
    </w:p>
  </w:footnote>
  <w:footnote w:type="continuationSeparator" w:id="0">
    <w:p w:rsidR="00CF4570" w:rsidRDefault="00CF4570" w:rsidP="00CF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29" w:rsidRDefault="00DC1E1E">
    <w:pPr>
      <w:pStyle w:val="Header"/>
    </w:pPr>
    <w:sdt>
      <w:sdtPr>
        <w:id w:val="-2134159414"/>
        <w:temporary/>
        <w:showingPlcHdr/>
      </w:sdtPr>
      <w:sdtEndPr/>
      <w:sdtContent>
        <w:r>
          <w:t>[Type text]</w:t>
        </w:r>
      </w:sdtContent>
    </w:sdt>
    <w:r>
      <w:ptab w:relativeTo="margin" w:alignment="center" w:leader="none"/>
    </w:r>
    <w:sdt>
      <w:sdtPr>
        <w:id w:val="1589972152"/>
        <w:temporary/>
        <w:showingPlcHdr/>
      </w:sdtPr>
      <w:sdtEndPr/>
      <w:sdtContent>
        <w:r>
          <w:t>[Type text]</w:t>
        </w:r>
      </w:sdtContent>
    </w:sdt>
    <w:r>
      <w:ptab w:relativeTo="margin" w:alignment="right" w:leader="none"/>
    </w:r>
    <w:sdt>
      <w:sdtPr>
        <w:id w:val="1270279319"/>
        <w:temporary/>
        <w:showingPlcHdr/>
      </w:sdtPr>
      <w:sdtEndPr/>
      <w:sdtContent>
        <w:r>
          <w:t>[Type text]</w:t>
        </w:r>
      </w:sdtContent>
    </w:sdt>
  </w:p>
  <w:p w:rsidR="00885929" w:rsidRDefault="00DC1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29" w:rsidRPr="00640328" w:rsidRDefault="00DC1E1E"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6FC63254" wp14:editId="2185ABBD">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rsidR="00885929" w:rsidRDefault="00DC1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29" w:rsidRDefault="00DC1E1E">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201A48CE" wp14:editId="2B67C3D4">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0"/>
    <w:rsid w:val="000B6D6F"/>
    <w:rsid w:val="00CF4570"/>
    <w:rsid w:val="00DC1E1E"/>
    <w:rsid w:val="00F2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4C111-F02E-4C49-B22F-D9D82CA0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CF4570"/>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CF4570"/>
    <w:rPr>
      <w:rFonts w:ascii="Arial" w:eastAsia="Times New Roman" w:hAnsi="Arial" w:cs="Arial"/>
      <w:sz w:val="24"/>
      <w:szCs w:val="24"/>
    </w:rPr>
  </w:style>
  <w:style w:type="paragraph" w:styleId="Footer">
    <w:name w:val="footer"/>
    <w:basedOn w:val="Normal"/>
    <w:link w:val="FooterChar"/>
    <w:uiPriority w:val="99"/>
    <w:unhideWhenUsed/>
    <w:rsid w:val="00CF4570"/>
    <w:pPr>
      <w:tabs>
        <w:tab w:val="center" w:pos="4320"/>
        <w:tab w:val="right" w:pos="8640"/>
      </w:tabs>
    </w:pPr>
  </w:style>
  <w:style w:type="character" w:customStyle="1" w:styleId="FooterChar">
    <w:name w:val="Footer Char"/>
    <w:basedOn w:val="DefaultParagraphFont"/>
    <w:link w:val="Footer"/>
    <w:uiPriority w:val="99"/>
    <w:rsid w:val="00CF4570"/>
    <w:rPr>
      <w:rFonts w:ascii="Arial" w:eastAsia="Times New Roman" w:hAnsi="Arial" w:cs="Arial"/>
      <w:sz w:val="24"/>
      <w:szCs w:val="24"/>
    </w:rPr>
  </w:style>
  <w:style w:type="character" w:styleId="Hyperlink">
    <w:name w:val="Hyperlink"/>
    <w:basedOn w:val="DefaultParagraphFont"/>
    <w:uiPriority w:val="99"/>
    <w:unhideWhenUsed/>
    <w:rsid w:val="00CF4570"/>
    <w:rPr>
      <w:strike w:val="0"/>
      <w:dstrike w:val="0"/>
      <w:color w:val="0000FF"/>
      <w:u w:val="none"/>
      <w:effect w:val="none"/>
    </w:rPr>
  </w:style>
  <w:style w:type="paragraph" w:styleId="ListParagraph">
    <w:name w:val="List Paragraph"/>
    <w:basedOn w:val="Normal"/>
    <w:uiPriority w:val="34"/>
    <w:qFormat/>
    <w:rsid w:val="00CF4570"/>
    <w:pPr>
      <w:ind w:left="720"/>
      <w:contextualSpacing/>
    </w:pPr>
  </w:style>
  <w:style w:type="table" w:styleId="TableGrid">
    <w:name w:val="Table Grid"/>
    <w:basedOn w:val="TableNormal"/>
    <w:uiPriority w:val="59"/>
    <w:rsid w:val="00CF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C417B-37BD-438C-B700-F883F43D32C3}"/>
</file>

<file path=customXml/itemProps2.xml><?xml version="1.0" encoding="utf-8"?>
<ds:datastoreItem xmlns:ds="http://schemas.openxmlformats.org/officeDocument/2006/customXml" ds:itemID="{1574ABB3-1488-4EE4-8F5B-047B83F42D92}"/>
</file>

<file path=customXml/itemProps3.xml><?xml version="1.0" encoding="utf-8"?>
<ds:datastoreItem xmlns:ds="http://schemas.openxmlformats.org/officeDocument/2006/customXml" ds:itemID="{22B250AB-B379-4DE7-ADDD-41F6DBD75FF2}"/>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Leonard, Caroline</cp:lastModifiedBy>
  <cp:revision>3</cp:revision>
  <dcterms:created xsi:type="dcterms:W3CDTF">2020-01-28T13:04:00Z</dcterms:created>
  <dcterms:modified xsi:type="dcterms:W3CDTF">2020-01-28T13:05:00Z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Document Description">
    <vt:lpwstr/>
  </property>
  <property fmtid="{D5CDD505-2E9C-101B-9397-08002B2CF9AE}" pid="4" name="Document Keywords">
    <vt:lpwstr/>
  </property>
</Properties>
</file>