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5528"/>
      </w:tblGrid>
      <w:tr w:rsidR="00025B14" w:rsidRPr="00AD1662" w14:paraId="4C5371DC" w14:textId="77777777" w:rsidTr="006548D0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96E25" w14:textId="77777777" w:rsidR="006548D0" w:rsidRPr="00AD1662" w:rsidRDefault="006548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>Institution</w:t>
            </w:r>
          </w:p>
          <w:p w14:paraId="04635BA9" w14:textId="77777777" w:rsidR="006548D0" w:rsidRPr="00AD1662" w:rsidRDefault="006548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00A2E" w14:textId="0A3A5A0F" w:rsidR="006548D0" w:rsidRPr="00AD1662" w:rsidRDefault="003A69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>Edinburgh Napier University</w:t>
            </w:r>
          </w:p>
        </w:tc>
      </w:tr>
      <w:tr w:rsidR="00025B14" w:rsidRPr="00AD1662" w14:paraId="7DDC78F9" w14:textId="77777777" w:rsidTr="006548D0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3D52C" w14:textId="1D9EAEEF" w:rsidR="006548D0" w:rsidRPr="00AD1662" w:rsidRDefault="006548D0" w:rsidP="006548D0">
            <w:pPr>
              <w:pStyle w:val="Numbering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>What, in your view, are the most important features of REF 2021 for higher education institutions? Why?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375FC" w14:textId="2F77BBD3" w:rsidR="007200E9" w:rsidRPr="00AD1662" w:rsidRDefault="007258B4" w:rsidP="007200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At Edinburgh Napier, we believe that the </w:t>
            </w:r>
            <w:r w:rsidR="002740BD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overarching REF2021 principles 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are </w:t>
            </w:r>
            <w:r w:rsidR="009C21DA" w:rsidRPr="00AD166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7200E9" w:rsidRPr="00AD1662">
              <w:rPr>
                <w:rFonts w:asciiTheme="minorHAnsi" w:hAnsiTheme="minorHAnsi" w:cstheme="minorHAnsi"/>
                <w:sz w:val="20"/>
                <w:szCs w:val="20"/>
              </w:rPr>
              <w:t>mportant feature</w:t>
            </w:r>
            <w:r w:rsidR="00067CE8" w:rsidRPr="00AD1662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9C21DA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of the exercise</w:t>
            </w:r>
            <w:r w:rsidR="00067CE8" w:rsidRPr="00AD166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21DA" w:rsidRPr="00AD1662">
              <w:rPr>
                <w:rFonts w:asciiTheme="minorHAnsi" w:hAnsiTheme="minorHAnsi" w:cstheme="minorHAnsi"/>
                <w:sz w:val="20"/>
                <w:szCs w:val="20"/>
              </w:rPr>
              <w:t>ensur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r w:rsidR="00533EC3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00E9" w:rsidRPr="00AD16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Fairness, transparency, robustness, and inclusiveness</w:t>
            </w:r>
            <w:r w:rsidR="009C21DA" w:rsidRPr="00AD16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="0029120B" w:rsidRPr="00AD16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>Most importantly</w:t>
            </w:r>
            <w:r w:rsidRPr="00AD16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  <w:p w14:paraId="41F99516" w14:textId="1C661036" w:rsidR="007200E9" w:rsidRPr="00AD1662" w:rsidRDefault="007200E9" w:rsidP="007200E9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3531F0" w14:textId="0753E270" w:rsidR="007F39CC" w:rsidRPr="00AD1662" w:rsidRDefault="00053E7E" w:rsidP="00053E7E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29120B" w:rsidRPr="00AD1662">
              <w:rPr>
                <w:rFonts w:asciiTheme="minorHAnsi" w:hAnsiTheme="minorHAnsi" w:cstheme="minorHAnsi"/>
                <w:sz w:val="20"/>
                <w:szCs w:val="20"/>
              </w:rPr>
              <w:t>The r</w:t>
            </w:r>
            <w:r w:rsidR="00BE1BD2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ecognition and </w:t>
            </w:r>
            <w:r w:rsidR="00BE1BD2" w:rsidRPr="00AD16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equity</w:t>
            </w:r>
            <w:r w:rsidR="00BE1BD2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="00BE1BD2" w:rsidRPr="00AD16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all types</w:t>
            </w:r>
            <w:r w:rsidR="00BE1BD2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of research</w:t>
            </w:r>
            <w:r w:rsidR="007258B4" w:rsidRPr="00AD1662">
              <w:rPr>
                <w:rFonts w:asciiTheme="minorHAnsi" w:hAnsiTheme="minorHAnsi" w:cstheme="minorHAnsi"/>
                <w:sz w:val="20"/>
                <w:szCs w:val="20"/>
              </w:rPr>
              <w:t>, assessed on an equal basis</w:t>
            </w:r>
            <w:r w:rsidR="003A6938" w:rsidRPr="00AD166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7200E9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268542B" w14:textId="5F00BB9A" w:rsidR="00707E50" w:rsidRPr="00AD1662" w:rsidRDefault="00053E7E" w:rsidP="00053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3A6938" w:rsidRPr="00AD166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B5724E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n auditable and </w:t>
            </w:r>
            <w:r w:rsidR="003A6938" w:rsidRPr="00AD16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inclusive</w:t>
            </w:r>
            <w:r w:rsidR="003A6938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approach to staff submission, </w:t>
            </w:r>
            <w:r w:rsidR="00B5724E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(appropriately tailored) </w:t>
            </w:r>
            <w:r w:rsidR="003A6938" w:rsidRPr="00AD1662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5724E" w:rsidRPr="00AD1662">
              <w:rPr>
                <w:rFonts w:asciiTheme="minorHAnsi" w:hAnsiTheme="minorHAnsi" w:cstheme="minorHAnsi"/>
                <w:sz w:val="20"/>
                <w:szCs w:val="20"/>
              </w:rPr>
              <w:t>here</w:t>
            </w:r>
            <w:r w:rsidR="003A6938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all staff with Significant Responsibility </w:t>
            </w:r>
            <w:r w:rsidR="00B5724E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are </w:t>
            </w:r>
            <w:r w:rsidR="003A6938" w:rsidRPr="00AD1662">
              <w:rPr>
                <w:rFonts w:asciiTheme="minorHAnsi" w:hAnsiTheme="minorHAnsi" w:cstheme="minorHAnsi"/>
                <w:sz w:val="20"/>
                <w:szCs w:val="20"/>
              </w:rPr>
              <w:t>submitted as opposed to the previous selective approach.</w:t>
            </w:r>
            <w:r w:rsidR="00DF1AAF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ABABCB3" w14:textId="3A29D930" w:rsidR="00707E50" w:rsidRPr="00AD1662" w:rsidRDefault="00053E7E" w:rsidP="00053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07E50" w:rsidRPr="00AD1662">
              <w:rPr>
                <w:rFonts w:asciiTheme="minorHAnsi" w:hAnsiTheme="minorHAnsi" w:cstheme="minorHAnsi"/>
                <w:sz w:val="20"/>
                <w:szCs w:val="20"/>
              </w:rPr>
              <w:t>Output portability ensur</w:t>
            </w:r>
            <w:r w:rsidR="007258B4" w:rsidRPr="00AD1662"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r w:rsidR="00707E50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submission of outputs from staff in post on </w:t>
            </w:r>
            <w:r w:rsidR="007258B4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707E50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census </w:t>
            </w:r>
            <w:r w:rsidR="007258B4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date </w:t>
            </w:r>
            <w:r w:rsidR="00707E50" w:rsidRPr="00AD16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 well as</w:t>
            </w:r>
            <w:r w:rsidR="00707E50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7E50" w:rsidRPr="00AD16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former staff </w:t>
            </w:r>
            <w:r w:rsidR="00707E50" w:rsidRPr="00AD1662">
              <w:rPr>
                <w:rFonts w:asciiTheme="minorHAnsi" w:hAnsiTheme="minorHAnsi" w:cstheme="minorHAnsi"/>
                <w:sz w:val="20"/>
                <w:szCs w:val="20"/>
              </w:rPr>
              <w:t>members, acknowledging where the research was undertaken and rewarding that investment.</w:t>
            </w:r>
          </w:p>
          <w:p w14:paraId="1D55C111" w14:textId="727DE2E5" w:rsidR="00B5724E" w:rsidRPr="00AD1662" w:rsidRDefault="00053E7E" w:rsidP="00053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A0200" w:rsidRPr="00AD16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Robust audit</w:t>
            </w:r>
            <w:r w:rsidR="004A0200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procedures with appropriate ‘remedies’ for non-compliance</w:t>
            </w:r>
            <w:r w:rsidR="007258B4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, to ensure fairness across </w:t>
            </w:r>
            <w:r w:rsidR="00F70579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all </w:t>
            </w:r>
            <w:r w:rsidR="007258B4" w:rsidRPr="00AD1662">
              <w:rPr>
                <w:rFonts w:asciiTheme="minorHAnsi" w:hAnsiTheme="minorHAnsi" w:cstheme="minorHAnsi"/>
                <w:sz w:val="20"/>
                <w:szCs w:val="20"/>
              </w:rPr>
              <w:t>participating institutions</w:t>
            </w:r>
            <w:r w:rsidR="004A0200" w:rsidRPr="00AD166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25B14" w:rsidRPr="00AD1662" w14:paraId="0430EF83" w14:textId="77777777" w:rsidTr="006548D0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9D375" w14:textId="77777777" w:rsidR="006548D0" w:rsidRPr="00AD1662" w:rsidRDefault="006548D0" w:rsidP="006548D0">
            <w:pPr>
              <w:pStyle w:val="Numbering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>In relation to preparing REF submissions, what positive reflections do you have on the process? Why?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3A810" w14:textId="472C75A4" w:rsidR="004357E8" w:rsidRPr="00AD1662" w:rsidRDefault="005A7D7D" w:rsidP="00053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Impact case studies were a good way of structuring the impact component and provided a key focal point to support researchers to engage </w:t>
            </w:r>
            <w:r w:rsidR="00037129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impact </w:t>
            </w:r>
            <w:r w:rsidR="007200E9" w:rsidRPr="00AD1662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>in their research</w:t>
            </w:r>
            <w:r w:rsidR="00037129" w:rsidRPr="00AD166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00E9" w:rsidRPr="00AD1662">
              <w:rPr>
                <w:rFonts w:asciiTheme="minorHAnsi" w:hAnsiTheme="minorHAnsi" w:cstheme="minorHAnsi"/>
                <w:sz w:val="20"/>
                <w:szCs w:val="20"/>
              </w:rPr>
              <w:t>more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general</w:t>
            </w:r>
            <w:r w:rsidR="007200E9" w:rsidRPr="00AD1662">
              <w:rPr>
                <w:rFonts w:asciiTheme="minorHAnsi" w:hAnsiTheme="minorHAnsi" w:cstheme="minorHAnsi"/>
                <w:sz w:val="20"/>
                <w:szCs w:val="20"/>
              </w:rPr>
              <w:t>ly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0FD1F1AB" w14:textId="7224011F" w:rsidR="004357E8" w:rsidRPr="00AD1662" w:rsidRDefault="00037129" w:rsidP="007130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166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The introduction of a bespoke Code of Practice has potential for positive impacts for the University’s research culture and individuals’ career trajectory, with an intent to clearly define individuals’ research expectations / </w:t>
            </w:r>
            <w:r w:rsidR="00C4306D" w:rsidRPr="00AD166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deliverables</w:t>
            </w:r>
            <w:r w:rsidRPr="00AD166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.</w:t>
            </w:r>
            <w:r w:rsidR="00053E7E" w:rsidRPr="00AD166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br/>
            </w:r>
            <w:r w:rsidR="00053E7E" w:rsidRPr="00AD1662">
              <w:rPr>
                <w:rFonts w:asciiTheme="minorHAnsi" w:hAnsiTheme="minorHAnsi" w:cstheme="minorHAnsi"/>
                <w:sz w:val="20"/>
                <w:szCs w:val="20"/>
              </w:rPr>
              <w:t>Furthermore, the process of preparing the REF submission enabled us to reflect and take stock of the full research portfolio, informing our future strategy development.</w:t>
            </w:r>
          </w:p>
        </w:tc>
      </w:tr>
      <w:tr w:rsidR="00025B14" w:rsidRPr="00AD1662" w14:paraId="75067EF0" w14:textId="77777777" w:rsidTr="006548D0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12584" w14:textId="77777777" w:rsidR="006548D0" w:rsidRPr="00AD1662" w:rsidRDefault="006548D0" w:rsidP="006548D0">
            <w:pPr>
              <w:pStyle w:val="Numbering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>In relation to preparing REF submissions, which aspects of the process were challenging? Why?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D209D" w14:textId="6F5EDCCF" w:rsidR="00E04AE2" w:rsidRPr="00AD1662" w:rsidRDefault="00D653C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16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General:</w:t>
            </w:r>
          </w:p>
          <w:p w14:paraId="197FB73B" w14:textId="3982C18D" w:rsidR="00FD2EAF" w:rsidRPr="00AD1662" w:rsidRDefault="00053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>-The l</w:t>
            </w:r>
            <w:r w:rsidR="00FD2EAF" w:rsidRPr="00AD1662">
              <w:rPr>
                <w:rFonts w:asciiTheme="minorHAnsi" w:hAnsiTheme="minorHAnsi" w:cstheme="minorHAnsi"/>
                <w:sz w:val="20"/>
                <w:szCs w:val="20"/>
              </w:rPr>
              <w:t>ate</w:t>
            </w:r>
            <w:r w:rsidR="00A85B27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2EAF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publication of </w:t>
            </w:r>
            <w:r w:rsidR="00A85B27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the final </w:t>
            </w:r>
            <w:r w:rsidR="00F07109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version of the </w:t>
            </w:r>
            <w:r w:rsidR="00FD2EAF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guidance </w:t>
            </w:r>
            <w:r w:rsidR="00E23C62" w:rsidRPr="00AD1662">
              <w:rPr>
                <w:rFonts w:asciiTheme="minorHAnsi" w:hAnsiTheme="minorHAnsi" w:cstheme="minorHAnsi"/>
                <w:sz w:val="20"/>
                <w:szCs w:val="20"/>
              </w:rPr>
              <w:t>made</w:t>
            </w:r>
            <w:r w:rsidR="00FD2EAF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it </w:t>
            </w:r>
            <w:r w:rsidR="00F07109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challenging </w:t>
            </w:r>
            <w:r w:rsidR="00FD2EAF" w:rsidRPr="00AD1662">
              <w:rPr>
                <w:rFonts w:asciiTheme="minorHAnsi" w:hAnsiTheme="minorHAnsi" w:cstheme="minorHAnsi"/>
                <w:sz w:val="20"/>
                <w:szCs w:val="20"/>
              </w:rPr>
              <w:t>to put systems</w:t>
            </w:r>
            <w:r w:rsidR="00487DA4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="00FD2EAF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guidance in place to support academics. </w:t>
            </w:r>
            <w:r w:rsidR="00E23C62" w:rsidRPr="00AD1662">
              <w:rPr>
                <w:rFonts w:asciiTheme="minorHAnsi" w:hAnsiTheme="minorHAnsi" w:cstheme="minorHAnsi"/>
                <w:sz w:val="20"/>
                <w:szCs w:val="20"/>
              </w:rPr>
              <w:t>It l</w:t>
            </w:r>
            <w:r w:rsidR="00415EE1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eft limited time to implement </w:t>
            </w:r>
            <w:r w:rsidR="00E23C62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415EE1" w:rsidRPr="00AD1662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="00B8021C" w:rsidRPr="00AD1662">
              <w:rPr>
                <w:rFonts w:asciiTheme="minorHAnsi" w:hAnsiTheme="minorHAnsi" w:cstheme="minorHAnsi"/>
                <w:sz w:val="20"/>
                <w:szCs w:val="20"/>
              </w:rPr>
              <w:t>de of Practice</w:t>
            </w:r>
            <w:r w:rsidR="00AD1662" w:rsidRPr="00AD1662">
              <w:rPr>
                <w:rFonts w:asciiTheme="minorHAnsi" w:hAnsiTheme="minorHAnsi" w:cstheme="minorHAnsi"/>
                <w:sz w:val="20"/>
                <w:szCs w:val="20"/>
              </w:rPr>
              <w:t>. While we can see the advantage of reacting to sector developments, earlier convergence on a stable framework would be beneficial.</w:t>
            </w:r>
            <w:r w:rsidR="006B5D77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DA28030" w14:textId="64519440" w:rsidR="00E23C62" w:rsidRPr="00AD1662" w:rsidRDefault="003E746A" w:rsidP="003E74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>-The c</w:t>
            </w:r>
            <w:r w:rsidR="00A93D34" w:rsidRPr="00AD1662">
              <w:rPr>
                <w:rFonts w:asciiTheme="minorHAnsi" w:hAnsiTheme="minorHAnsi" w:cstheme="minorHAnsi"/>
                <w:sz w:val="20"/>
                <w:szCs w:val="20"/>
              </w:rPr>
              <w:t>omplex and lengthy guidance</w:t>
            </w:r>
            <w:r w:rsidR="00D653C5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documents</w:t>
            </w:r>
            <w:r w:rsidR="00A93D34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were </w:t>
            </w:r>
            <w:r w:rsidR="00A93D34" w:rsidRPr="00AD1662">
              <w:rPr>
                <w:rFonts w:asciiTheme="minorHAnsi" w:hAnsiTheme="minorHAnsi" w:cstheme="minorHAnsi"/>
                <w:sz w:val="20"/>
                <w:szCs w:val="20"/>
              </w:rPr>
              <w:t>ambiguou</w:t>
            </w:r>
            <w:r w:rsidR="000E4FD3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s </w:t>
            </w:r>
            <w:r w:rsidR="006E4A44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in places </w:t>
            </w:r>
            <w:r w:rsidR="000E4FD3" w:rsidRPr="00AD1662">
              <w:rPr>
                <w:rFonts w:asciiTheme="minorHAnsi" w:hAnsiTheme="minorHAnsi" w:cstheme="minorHAnsi"/>
                <w:sz w:val="20"/>
                <w:szCs w:val="20"/>
              </w:rPr>
              <w:t>and difficult to cross</w:t>
            </w:r>
            <w:r w:rsidR="00D653C5" w:rsidRPr="00AD166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0E4FD3" w:rsidRPr="00AD1662">
              <w:rPr>
                <w:rFonts w:asciiTheme="minorHAnsi" w:hAnsiTheme="minorHAnsi" w:cstheme="minorHAnsi"/>
                <w:sz w:val="20"/>
                <w:szCs w:val="20"/>
              </w:rPr>
              <w:t>reference</w:t>
            </w:r>
            <w:r w:rsidR="00D653C5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0E4FD3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(GoS, </w:t>
            </w:r>
            <w:r w:rsidR="00D653C5" w:rsidRPr="00AD1662">
              <w:rPr>
                <w:rFonts w:asciiTheme="minorHAnsi" w:hAnsiTheme="minorHAnsi" w:cstheme="minorHAnsi"/>
                <w:sz w:val="20"/>
                <w:szCs w:val="20"/>
              </w:rPr>
              <w:t>PWM, Annexes, Supplementary guidance, FAQs, Audit amendments, Covid mitigations).</w:t>
            </w:r>
            <w:r w:rsidR="002170AB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23C62" w:rsidRPr="00AD1662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114D49BE" w14:textId="77777777" w:rsidR="00675528" w:rsidRPr="00AD1662" w:rsidRDefault="00A815A5" w:rsidP="00A815A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16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Staff:</w:t>
            </w:r>
          </w:p>
          <w:p w14:paraId="2C405655" w14:textId="208395E0" w:rsidR="00D653C5" w:rsidRPr="00AD1662" w:rsidRDefault="003E746A" w:rsidP="003E74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>-The r</w:t>
            </w:r>
            <w:r w:rsidR="00A815A5" w:rsidRPr="00AD1662">
              <w:rPr>
                <w:rFonts w:asciiTheme="minorHAnsi" w:hAnsiTheme="minorHAnsi" w:cstheme="minorHAnsi"/>
                <w:sz w:val="20"/>
                <w:szCs w:val="20"/>
              </w:rPr>
              <w:t>esearch independence definition</w:t>
            </w:r>
            <w:r w:rsidR="00C6007A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proved problematic 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when trying to </w:t>
            </w:r>
            <w:r w:rsidR="00C6007A" w:rsidRPr="00AD166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A815A5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stablish </w:t>
            </w:r>
            <w:r w:rsidR="00037129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which </w:t>
            </w:r>
            <w:r w:rsidR="00A815A5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staff were </w:t>
            </w:r>
            <w:r w:rsidR="00CD1FA8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to be considered </w:t>
            </w:r>
            <w:r w:rsidR="00A815A5" w:rsidRPr="00AD1662">
              <w:rPr>
                <w:rFonts w:asciiTheme="minorHAnsi" w:hAnsiTheme="minorHAnsi" w:cstheme="minorHAnsi"/>
                <w:sz w:val="20"/>
                <w:szCs w:val="20"/>
              </w:rPr>
              <w:t>independent in research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815A5" w:rsidRPr="00AD1662">
              <w:rPr>
                <w:rFonts w:asciiTheme="minorHAnsi" w:hAnsiTheme="minorHAnsi" w:cstheme="minorHAnsi"/>
                <w:sz w:val="20"/>
                <w:szCs w:val="20"/>
              </w:rPr>
              <w:t>given different disciplines and levels of responsibility.</w:t>
            </w:r>
            <w:r w:rsidR="00D653C5" w:rsidRPr="00AD1662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76EDCBB1" w14:textId="46E3CD1B" w:rsidR="00A93D34" w:rsidRPr="00AD1662" w:rsidRDefault="00D653C5" w:rsidP="00D653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16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Outputs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52BA7CC" w14:textId="28B14AD2" w:rsidR="00641B9E" w:rsidRPr="00AD1662" w:rsidRDefault="003E746A" w:rsidP="003E746A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16360F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Increased </w:t>
            </w:r>
            <w:r w:rsidR="00F70579" w:rsidRPr="00AD1662">
              <w:rPr>
                <w:rFonts w:asciiTheme="minorHAnsi" w:hAnsiTheme="minorHAnsi" w:cstheme="minorHAnsi"/>
                <w:sz w:val="20"/>
                <w:szCs w:val="20"/>
              </w:rPr>
              <w:t>Workload:</w:t>
            </w:r>
            <w:r w:rsidR="0071309F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70579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The minimum and maximum quota was difficult to administer and required a large volume of internal output </w:t>
            </w:r>
            <w:r w:rsidR="0016360F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quality </w:t>
            </w:r>
            <w:r w:rsidR="00F70579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review to ensure the </w:t>
            </w:r>
            <w:r w:rsidR="0016360F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final </w:t>
            </w:r>
            <w:r w:rsidR="00F70579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optimal combination of outputs.  This often resulted in multiple </w:t>
            </w:r>
            <w:r w:rsidR="00615B40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proposed </w:t>
            </w:r>
            <w:r w:rsidR="00F70579" w:rsidRPr="00AD1662">
              <w:rPr>
                <w:rFonts w:asciiTheme="minorHAnsi" w:hAnsiTheme="minorHAnsi" w:cstheme="minorHAnsi"/>
                <w:sz w:val="20"/>
                <w:szCs w:val="20"/>
              </w:rPr>
              <w:t>variations of the optimal combination of outputs</w:t>
            </w:r>
            <w:r w:rsidR="0016360F" w:rsidRPr="00AD1662">
              <w:rPr>
                <w:rFonts w:asciiTheme="minorHAnsi" w:hAnsiTheme="minorHAnsi" w:cstheme="minorHAnsi"/>
                <w:sz w:val="20"/>
                <w:szCs w:val="20"/>
              </w:rPr>
              <w:t>, making it difficult to finalise the submission</w:t>
            </w:r>
            <w:r w:rsidR="00067CE8" w:rsidRPr="00AD166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F94922D" w14:textId="77777777" w:rsidR="00641B9E" w:rsidRPr="00AD1662" w:rsidRDefault="00641B9E" w:rsidP="00B242BE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5224DA" w14:textId="79C293C4" w:rsidR="00641B9E" w:rsidRPr="00AD1662" w:rsidRDefault="003E746A" w:rsidP="003E74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B4027" w:rsidRPr="00AD1662">
              <w:rPr>
                <w:rFonts w:asciiTheme="minorHAnsi" w:hAnsiTheme="minorHAnsi" w:cstheme="minorHAnsi"/>
                <w:sz w:val="20"/>
                <w:szCs w:val="20"/>
              </w:rPr>
              <w:t>The language of the Open Access policy provided difficulties in interpretation</w:t>
            </w:r>
            <w:r w:rsidR="00067CE8" w:rsidRPr="00AD166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B4027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resulting in it being difficult to implement the details of the policy. It is suggested that practitioners are consulted before the next policy is published. </w:t>
            </w:r>
          </w:p>
          <w:p w14:paraId="47E3CC97" w14:textId="77777777" w:rsidR="00641B9E" w:rsidRPr="00AD1662" w:rsidRDefault="00641B9E" w:rsidP="00B242BE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23B89E" w14:textId="76B89448" w:rsidR="00FD3A45" w:rsidRPr="00AD1662" w:rsidRDefault="003E746A" w:rsidP="003E746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33287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The identification of </w:t>
            </w:r>
            <w:r w:rsidR="00E23C62" w:rsidRPr="00AD166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433287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nterdisciplinary research was </w:t>
            </w:r>
            <w:r w:rsidR="00072B60" w:rsidRPr="00AD1662">
              <w:rPr>
                <w:rFonts w:asciiTheme="minorHAnsi" w:hAnsiTheme="minorHAnsi" w:cstheme="minorHAnsi"/>
                <w:sz w:val="20"/>
                <w:szCs w:val="20"/>
              </w:rPr>
              <w:t>challenging</w:t>
            </w:r>
            <w:r w:rsidR="0016360F" w:rsidRPr="00AD166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4164FA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6007A" w:rsidRPr="00AD1662">
              <w:rPr>
                <w:rFonts w:asciiTheme="minorHAnsi" w:hAnsiTheme="minorHAnsi" w:cstheme="minorHAnsi"/>
                <w:sz w:val="20"/>
                <w:szCs w:val="20"/>
              </w:rPr>
              <w:t>It was u</w:t>
            </w:r>
            <w:r w:rsidR="00E50D3C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nclear how </w:t>
            </w:r>
            <w:r w:rsidR="005F5A41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the guidelines </w:t>
            </w:r>
            <w:r w:rsidR="004164FA" w:rsidRPr="00AD1662">
              <w:rPr>
                <w:rFonts w:asciiTheme="minorHAnsi" w:hAnsiTheme="minorHAnsi" w:cstheme="minorHAnsi"/>
                <w:sz w:val="20"/>
                <w:szCs w:val="20"/>
              </w:rPr>
              <w:t>should</w:t>
            </w:r>
            <w:r w:rsidR="00E50D3C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be implemented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="004164FA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what were the benefits of utilising </w:t>
            </w:r>
            <w:r w:rsidR="005F5A41" w:rsidRPr="00AD1662">
              <w:rPr>
                <w:rFonts w:asciiTheme="minorHAnsi" w:hAnsiTheme="minorHAnsi" w:cstheme="minorHAnsi"/>
                <w:sz w:val="20"/>
                <w:szCs w:val="20"/>
              </w:rPr>
              <w:t>the category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="004164FA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and how it would be reviewed by the panel.  (Particularly 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>when</w:t>
            </w:r>
            <w:r w:rsidR="004164FA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the panel has discretion to refer outputs to 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4164FA" w:rsidRPr="00AD1662">
              <w:rPr>
                <w:rFonts w:asciiTheme="minorHAnsi" w:hAnsiTheme="minorHAnsi" w:cstheme="minorHAnsi"/>
                <w:sz w:val="20"/>
                <w:szCs w:val="20"/>
              </w:rPr>
              <w:t>interdisciplinary panel regardless of the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institutional</w:t>
            </w:r>
            <w:r w:rsidR="004164FA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flag). </w:t>
            </w:r>
            <w:r w:rsidR="00E50D3C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7A9E" w:rsidRPr="00AD1662">
              <w:rPr>
                <w:rFonts w:asciiTheme="minorHAnsi" w:hAnsiTheme="minorHAnsi" w:cstheme="minorHAnsi"/>
                <w:sz w:val="20"/>
                <w:szCs w:val="20"/>
              </w:rPr>
              <w:t>There was a</w:t>
            </w:r>
            <w:r w:rsidR="004164FA" w:rsidRPr="00AD1662">
              <w:rPr>
                <w:rFonts w:asciiTheme="minorHAnsi" w:hAnsiTheme="minorHAnsi" w:cstheme="minorHAnsi"/>
                <w:sz w:val="20"/>
                <w:szCs w:val="20"/>
              </w:rPr>
              <w:t>lso a</w:t>
            </w:r>
            <w:r w:rsidR="00057A9E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need for </w:t>
            </w:r>
            <w:r w:rsidR="004164FA" w:rsidRPr="00AD1662">
              <w:rPr>
                <w:rFonts w:asciiTheme="minorHAnsi" w:hAnsiTheme="minorHAnsi" w:cstheme="minorHAnsi"/>
                <w:sz w:val="20"/>
                <w:szCs w:val="20"/>
              </w:rPr>
              <w:t>clearer</w:t>
            </w:r>
            <w:r w:rsidR="00057A9E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guidelines </w:t>
            </w:r>
            <w:r w:rsidR="0016360F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to avoid </w:t>
            </w:r>
            <w:r w:rsidR="00057A9E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confusion </w:t>
            </w:r>
            <w:r w:rsidR="00FA6F7F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between interdisciplinary and </w:t>
            </w:r>
            <w:r w:rsidR="00057A9E" w:rsidRPr="00AD1662">
              <w:rPr>
                <w:rFonts w:asciiTheme="minorHAnsi" w:hAnsiTheme="minorHAnsi" w:cstheme="minorHAnsi"/>
                <w:sz w:val="20"/>
                <w:szCs w:val="20"/>
              </w:rPr>
              <w:t>cross-referral.</w:t>
            </w:r>
            <w:r w:rsidR="00122536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64FA" w:rsidRPr="00AD1662">
              <w:rPr>
                <w:rFonts w:asciiTheme="minorHAnsi" w:hAnsiTheme="minorHAnsi" w:cstheme="minorHAnsi"/>
                <w:strike/>
                <w:sz w:val="20"/>
                <w:szCs w:val="20"/>
              </w:rPr>
              <w:br/>
            </w:r>
          </w:p>
          <w:p w14:paraId="3E60415E" w14:textId="3636E1E9" w:rsidR="00D653C5" w:rsidRPr="00AD1662" w:rsidRDefault="00D653C5" w:rsidP="00D653C5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D16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Impact:</w:t>
            </w:r>
          </w:p>
          <w:p w14:paraId="474D1624" w14:textId="6183E168" w:rsidR="00F1382A" w:rsidRPr="00AD1662" w:rsidRDefault="003E746A" w:rsidP="003E746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FD3A45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The guidelines on impact evidence appeared to be bureaucratic. Collating and </w:t>
            </w:r>
            <w:r w:rsidR="0045087C" w:rsidRPr="00AD1662">
              <w:rPr>
                <w:rFonts w:asciiTheme="minorHAnsi" w:hAnsiTheme="minorHAnsi" w:cstheme="minorHAnsi"/>
                <w:sz w:val="20"/>
                <w:szCs w:val="20"/>
              </w:rPr>
              <w:t>submitting evidence</w:t>
            </w:r>
            <w:r w:rsidR="00FD3A45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0301" w:rsidRPr="00AD1662">
              <w:rPr>
                <w:rFonts w:asciiTheme="minorHAnsi" w:hAnsiTheme="minorHAnsi" w:cstheme="minorHAnsi"/>
                <w:sz w:val="20"/>
                <w:szCs w:val="20"/>
              </w:rPr>
              <w:t>was</w:t>
            </w:r>
            <w:r w:rsidR="00FD3A45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time consuming</w:t>
            </w:r>
            <w:r w:rsidR="00B020DF" w:rsidRPr="00AD166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B8021C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0301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It involved</w:t>
            </w:r>
            <w:r w:rsidR="004164FA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a lot</w:t>
            </w:r>
            <w:r w:rsidR="00122536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of work for the author as well as the </w:t>
            </w:r>
            <w:r w:rsidR="004164FA" w:rsidRPr="00AD1662">
              <w:rPr>
                <w:rFonts w:asciiTheme="minorHAnsi" w:hAnsiTheme="minorHAnsi" w:cstheme="minorHAnsi"/>
                <w:sz w:val="20"/>
                <w:szCs w:val="20"/>
              </w:rPr>
              <w:t>corroborating contacts</w:t>
            </w:r>
            <w:r w:rsidR="00673E09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who were providing the evidence</w:t>
            </w:r>
            <w:r w:rsidR="004164FA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, with </w:t>
            </w:r>
            <w:r w:rsidR="0043505D" w:rsidRPr="00AD1662">
              <w:rPr>
                <w:rFonts w:asciiTheme="minorHAnsi" w:hAnsiTheme="minorHAnsi" w:cstheme="minorHAnsi"/>
                <w:sz w:val="20"/>
                <w:szCs w:val="20"/>
              </w:rPr>
              <w:t>no guarantee that it would be reviewed</w:t>
            </w:r>
            <w:r w:rsidR="00673E09" w:rsidRPr="00AD166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EC0301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There is 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also </w:t>
            </w:r>
            <w:r w:rsidR="00EC0301" w:rsidRPr="00AD1662">
              <w:rPr>
                <w:rFonts w:asciiTheme="minorHAnsi" w:hAnsiTheme="minorHAnsi" w:cstheme="minorHAnsi"/>
                <w:sz w:val="20"/>
                <w:szCs w:val="20"/>
              </w:rPr>
              <w:t>question over</w:t>
            </w:r>
            <w:r w:rsidR="00673E09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64FA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inclusion of evidence 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submitted </w:t>
            </w:r>
            <w:r w:rsidR="004164FA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in a foreign language, 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and whether </w:t>
            </w:r>
            <w:r w:rsidR="004164FA" w:rsidRPr="00AD1662">
              <w:rPr>
                <w:rFonts w:asciiTheme="minorHAnsi" w:hAnsiTheme="minorHAnsi" w:cstheme="minorHAnsi"/>
                <w:sz w:val="20"/>
                <w:szCs w:val="20"/>
              </w:rPr>
              <w:t>these</w:t>
            </w:r>
            <w:r w:rsidR="00EC0301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64FA" w:rsidRPr="00AD1662">
              <w:rPr>
                <w:rFonts w:asciiTheme="minorHAnsi" w:hAnsiTheme="minorHAnsi" w:cstheme="minorHAnsi"/>
                <w:sz w:val="20"/>
                <w:szCs w:val="20"/>
              </w:rPr>
              <w:t>could be at a</w:t>
            </w:r>
            <w:r w:rsidR="00EC0301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73E09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disadvantage if </w:t>
            </w:r>
            <w:r w:rsidR="0016360F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the evidence 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 w:rsidR="0016360F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73E09" w:rsidRPr="00AD1662">
              <w:rPr>
                <w:rFonts w:asciiTheme="minorHAnsi" w:hAnsiTheme="minorHAnsi" w:cstheme="minorHAnsi"/>
                <w:sz w:val="20"/>
                <w:szCs w:val="20"/>
              </w:rPr>
              <w:t>not translated</w:t>
            </w:r>
            <w:r w:rsidR="00EC0301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320AC5F" w14:textId="77777777" w:rsidR="00C4306D" w:rsidRPr="00AD1662" w:rsidRDefault="00C4306D" w:rsidP="00A74282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B296EB" w14:textId="5574D999" w:rsidR="00F715E1" w:rsidRPr="00AD1662" w:rsidRDefault="00FD2EAF" w:rsidP="00C430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16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Environment: </w:t>
            </w:r>
          </w:p>
          <w:p w14:paraId="44B51E9E" w14:textId="1B6B4A85" w:rsidR="00223DA8" w:rsidRPr="00AD1662" w:rsidRDefault="003E746A" w:rsidP="003E74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45521" w:rsidRPr="00AD1662">
              <w:rPr>
                <w:rFonts w:asciiTheme="minorHAnsi" w:hAnsiTheme="minorHAnsi" w:cstheme="minorHAnsi"/>
                <w:sz w:val="20"/>
                <w:szCs w:val="20"/>
              </w:rPr>
              <w:t>The amount of work involved with REF 5a/b was disproportionate to the (lack of) weighting.</w:t>
            </w:r>
            <w:r w:rsidR="00096156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74282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The format </w:t>
            </w:r>
            <w:r w:rsidR="00F715E1" w:rsidRPr="00AD1662">
              <w:rPr>
                <w:rFonts w:asciiTheme="minorHAnsi" w:hAnsiTheme="minorHAnsi" w:cstheme="minorHAnsi"/>
                <w:sz w:val="20"/>
                <w:szCs w:val="20"/>
              </w:rPr>
              <w:t>for the REF5</w:t>
            </w:r>
            <w:r w:rsidR="00A74282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research environment </w:t>
            </w:r>
            <w:r w:rsidR="00F715E1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narrative </w:t>
            </w:r>
            <w:r w:rsidR="00223DA8" w:rsidRPr="00AD1662">
              <w:rPr>
                <w:rFonts w:asciiTheme="minorHAnsi" w:hAnsiTheme="minorHAnsi" w:cstheme="minorHAnsi"/>
                <w:sz w:val="20"/>
                <w:szCs w:val="20"/>
              </w:rPr>
              <w:t>was unwieldy</w:t>
            </w:r>
            <w:r w:rsidR="00F715E1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75528" w:rsidRPr="00AD1662">
              <w:rPr>
                <w:rFonts w:asciiTheme="minorHAnsi" w:hAnsiTheme="minorHAnsi" w:cstheme="minorHAnsi"/>
                <w:sz w:val="20"/>
                <w:szCs w:val="20"/>
              </w:rPr>
              <w:t>covering</w:t>
            </w:r>
            <w:r w:rsidR="00F715E1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675528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wide </w:t>
            </w:r>
            <w:r w:rsidR="00F715E1" w:rsidRPr="00AD1662">
              <w:rPr>
                <w:rFonts w:asciiTheme="minorHAnsi" w:hAnsiTheme="minorHAnsi" w:cstheme="minorHAnsi"/>
                <w:sz w:val="20"/>
                <w:szCs w:val="20"/>
              </w:rPr>
              <w:t>spectrum of information</w:t>
            </w:r>
            <w:r w:rsidR="00223DA8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in a</w:t>
            </w:r>
            <w:r w:rsidR="00FF3792" w:rsidRPr="00AD166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223DA8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open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223DA8" w:rsidRPr="00AD1662">
              <w:rPr>
                <w:rFonts w:asciiTheme="minorHAnsi" w:hAnsiTheme="minorHAnsi" w:cstheme="minorHAnsi"/>
                <w:sz w:val="20"/>
                <w:szCs w:val="20"/>
              </w:rPr>
              <w:t>form format</w:t>
            </w:r>
            <w:r w:rsidR="00F715E1" w:rsidRPr="00AD166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223DA8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resulting in </w:t>
            </w:r>
            <w:r w:rsidR="001103D2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the potential for </w:t>
            </w:r>
            <w:r w:rsidR="00223DA8" w:rsidRPr="00AD1662">
              <w:rPr>
                <w:rFonts w:asciiTheme="minorHAnsi" w:hAnsiTheme="minorHAnsi" w:cstheme="minorHAnsi"/>
                <w:sz w:val="20"/>
                <w:szCs w:val="20"/>
              </w:rPr>
              <w:t>answers</w:t>
            </w:r>
            <w:r w:rsidR="001103D2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which lacked focus</w:t>
            </w:r>
            <w:r w:rsidR="00223DA8" w:rsidRPr="00AD166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73E09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096156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here is a preference for a </w:t>
            </w:r>
            <w:r w:rsidR="009320E5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more </w:t>
            </w:r>
            <w:r w:rsidR="00096156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structured format </w:t>
            </w:r>
            <w:r w:rsidR="009320E5" w:rsidRPr="00AD1662">
              <w:rPr>
                <w:rFonts w:asciiTheme="minorHAnsi" w:hAnsiTheme="minorHAnsi" w:cstheme="minorHAnsi"/>
                <w:sz w:val="20"/>
                <w:szCs w:val="20"/>
              </w:rPr>
              <w:t>which enables the institution to demonstrate</w:t>
            </w:r>
            <w:r w:rsidR="006B343A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development/ growth </w:t>
            </w:r>
            <w:r w:rsidR="009320E5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in the period.  </w:t>
            </w:r>
            <w:r w:rsidR="00096156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There </w:t>
            </w:r>
            <w:r w:rsidR="009320E5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is </w:t>
            </w:r>
            <w:r w:rsidR="00096156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also </w:t>
            </w:r>
            <w:r w:rsidR="009320E5" w:rsidRPr="00AD1662">
              <w:rPr>
                <w:rFonts w:asciiTheme="minorHAnsi" w:hAnsiTheme="minorHAnsi" w:cstheme="minorHAnsi"/>
                <w:sz w:val="20"/>
                <w:szCs w:val="20"/>
              </w:rPr>
              <w:t>a need for</w:t>
            </w:r>
            <w:r w:rsidR="00096156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clearer guidelines on </w:t>
            </w:r>
            <w:r w:rsidR="009320E5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how 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the REF5s </w:t>
            </w:r>
            <w:r w:rsidR="00096156" w:rsidRPr="00AD1662">
              <w:rPr>
                <w:rFonts w:asciiTheme="minorHAnsi" w:hAnsiTheme="minorHAnsi" w:cstheme="minorHAnsi"/>
                <w:sz w:val="20"/>
                <w:szCs w:val="20"/>
              </w:rPr>
              <w:t>would be assessed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61D8212" w14:textId="77777777" w:rsidR="00AB51B5" w:rsidRPr="00AD1662" w:rsidRDefault="00AB51B5" w:rsidP="00A877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5916C8" w14:textId="77777777" w:rsidR="009320E5" w:rsidRPr="00AD1662" w:rsidRDefault="009320E5" w:rsidP="003E74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CC20D7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REF5a 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pilot </w:t>
            </w:r>
            <w:r w:rsidR="00CC20D7" w:rsidRPr="00AD1662">
              <w:rPr>
                <w:rFonts w:asciiTheme="minorHAnsi" w:hAnsiTheme="minorHAnsi" w:cstheme="minorHAnsi"/>
                <w:sz w:val="20"/>
                <w:szCs w:val="20"/>
              </w:rPr>
              <w:t>required a lot of work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C20D7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despite not being evaluated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in this exercise</w:t>
            </w:r>
            <w:r w:rsidR="00CC20D7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In this context, the </w:t>
            </w:r>
            <w:r w:rsidR="00CC20D7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link between 5a and 5b 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>is q</w:t>
            </w:r>
            <w:r w:rsidR="006B343A" w:rsidRPr="00AD1662">
              <w:rPr>
                <w:rFonts w:asciiTheme="minorHAnsi" w:hAnsiTheme="minorHAnsi" w:cstheme="minorHAnsi"/>
                <w:sz w:val="20"/>
                <w:szCs w:val="20"/>
              </w:rPr>
              <w:t>uestionable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>, because the Unit narrative remains reliant on information contained in the ‘</w:t>
            </w:r>
            <w:r w:rsidRPr="00AD166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unscored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’ REF5a. </w:t>
            </w:r>
          </w:p>
          <w:p w14:paraId="22CB9E39" w14:textId="77777777" w:rsidR="009320E5" w:rsidRPr="00AD1662" w:rsidRDefault="009320E5" w:rsidP="009320E5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E5245B" w14:textId="7DBC63A6" w:rsidR="002F3300" w:rsidRPr="00AD1662" w:rsidRDefault="00F715E1" w:rsidP="005B61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>There are challenges in submitting REF5</w:t>
            </w:r>
            <w:r w:rsidR="009320E5" w:rsidRPr="00AD1662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statements aligned to Units of Assessments, where this does not reflect the University’s </w:t>
            </w:r>
            <w:r w:rsidR="00075E05" w:rsidRPr="00AD1662">
              <w:rPr>
                <w:rFonts w:asciiTheme="minorHAnsi" w:hAnsiTheme="minorHAnsi" w:cstheme="minorHAnsi"/>
                <w:sz w:val="20"/>
                <w:szCs w:val="20"/>
              </w:rPr>
              <w:t>departmental structures</w:t>
            </w:r>
            <w:r w:rsidR="006F3C76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– for example </w:t>
            </w:r>
            <w:r w:rsidR="00841513" w:rsidRPr="00AD1662">
              <w:rPr>
                <w:rFonts w:asciiTheme="minorHAnsi" w:hAnsiTheme="minorHAnsi" w:cstheme="minorHAnsi"/>
                <w:sz w:val="20"/>
                <w:szCs w:val="20"/>
              </w:rPr>
              <w:t>when two schools contribute to a Unit of Assessment</w:t>
            </w:r>
            <w:r w:rsidR="00075E05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.  Discretion to submit environment </w:t>
            </w:r>
            <w:r w:rsidR="00675528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information </w:t>
            </w:r>
            <w:r w:rsidR="00075E05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in a format which </w:t>
            </w:r>
            <w:r w:rsidR="000C20D1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better </w:t>
            </w:r>
            <w:r w:rsidR="00075E05" w:rsidRPr="00AD1662">
              <w:rPr>
                <w:rFonts w:asciiTheme="minorHAnsi" w:hAnsiTheme="minorHAnsi" w:cstheme="minorHAnsi"/>
                <w:sz w:val="20"/>
                <w:szCs w:val="20"/>
              </w:rPr>
              <w:t>reflect</w:t>
            </w:r>
            <w:r w:rsidR="00675528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s </w:t>
            </w:r>
            <w:r w:rsidR="000C20D1" w:rsidRPr="00AD1662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="00075E05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University structure would be preferable.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7AB53EAC" w14:textId="01786FEC" w:rsidR="00075E05" w:rsidRPr="00AD1662" w:rsidRDefault="00075E05" w:rsidP="00075E0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16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UoA Structures / Descriptors</w:t>
            </w:r>
          </w:p>
          <w:p w14:paraId="67719F1D" w14:textId="424C0317" w:rsidR="0036683F" w:rsidRPr="00AD1662" w:rsidRDefault="005B61DB" w:rsidP="005B61DB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3F10F3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2F3300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Unit of Assessment structure </w:t>
            </w:r>
            <w:r w:rsidR="003F10F3" w:rsidRPr="00AD1662">
              <w:rPr>
                <w:rFonts w:asciiTheme="minorHAnsi" w:hAnsiTheme="minorHAnsi" w:cstheme="minorHAnsi"/>
                <w:sz w:val="20"/>
                <w:szCs w:val="20"/>
              </w:rPr>
              <w:t>presents challenges where staff and their respective outputs need to be artificially ‘shoehorned’ into an alternative unit descriptor</w:t>
            </w:r>
            <w:r w:rsidR="005764C6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to prevent the submission of very small units of assessment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  <w:r w:rsidR="003F10F3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The creation of a coherent environment narrative </w:t>
            </w:r>
            <w:r w:rsidR="005764C6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can </w:t>
            </w:r>
            <w:r w:rsidR="003F10F3" w:rsidRPr="00AD1662">
              <w:rPr>
                <w:rFonts w:asciiTheme="minorHAnsi" w:hAnsiTheme="minorHAnsi" w:cstheme="minorHAnsi"/>
                <w:sz w:val="20"/>
                <w:szCs w:val="20"/>
              </w:rPr>
              <w:t>become more challenging as a result</w:t>
            </w:r>
            <w:r w:rsidR="00706C78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="005764C6" w:rsidRPr="00AD1662">
              <w:rPr>
                <w:rFonts w:asciiTheme="minorHAnsi" w:hAnsiTheme="minorHAnsi" w:cstheme="minorHAnsi"/>
                <w:sz w:val="20"/>
                <w:szCs w:val="20"/>
              </w:rPr>
              <w:t>any</w:t>
            </w:r>
            <w:r w:rsidR="00706C78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artificial alignment</w:t>
            </w:r>
            <w:r w:rsidR="003F10F3" w:rsidRPr="00AD166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F10F3" w:rsidRPr="00AD166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3F10F3" w:rsidRPr="00AD166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36683F" w:rsidRPr="00AD1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E&amp;D:</w:t>
            </w:r>
          </w:p>
          <w:p w14:paraId="7DE92A3E" w14:textId="41D761BC" w:rsidR="00E04AE2" w:rsidRPr="00AD1662" w:rsidRDefault="005B61DB" w:rsidP="005B61D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D1662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-</w:t>
            </w:r>
            <w:r w:rsidR="00F8183F" w:rsidRPr="00AD1662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="00036BBF" w:rsidRPr="00AD1662">
              <w:rPr>
                <w:rFonts w:asciiTheme="minorHAnsi" w:eastAsia="Times New Roman" w:hAnsiTheme="minorHAnsi" w:cstheme="minorHAnsi"/>
                <w:sz w:val="20"/>
                <w:szCs w:val="20"/>
              </w:rPr>
              <w:t>he benefit</w:t>
            </w:r>
            <w:r w:rsidR="00F8183F" w:rsidRPr="00AD166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036BBF" w:rsidRPr="00AD166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of Unit circumstance reduction was difficult to communicate to </w:t>
            </w:r>
            <w:r w:rsidR="00F8183F" w:rsidRPr="00AD1662">
              <w:rPr>
                <w:rFonts w:asciiTheme="minorHAnsi" w:eastAsia="Times New Roman" w:hAnsiTheme="minorHAnsi" w:cstheme="minorHAnsi"/>
                <w:sz w:val="20"/>
                <w:szCs w:val="20"/>
              </w:rPr>
              <w:t>staff</w:t>
            </w:r>
            <w:r w:rsidR="00036BBF" w:rsidRPr="00AD166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and </w:t>
            </w:r>
            <w:r w:rsidR="0036683F" w:rsidRPr="00AD166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for was </w:t>
            </w:r>
            <w:r w:rsidR="00036BBF" w:rsidRPr="00AD1662">
              <w:rPr>
                <w:rFonts w:asciiTheme="minorHAnsi" w:eastAsia="Times New Roman" w:hAnsiTheme="minorHAnsi" w:cstheme="minorHAnsi"/>
                <w:sz w:val="20"/>
                <w:szCs w:val="20"/>
              </w:rPr>
              <w:t>under-u</w:t>
            </w:r>
            <w:r w:rsidR="00706C78" w:rsidRPr="00AD1662">
              <w:rPr>
                <w:rFonts w:asciiTheme="minorHAnsi" w:eastAsia="Times New Roman" w:hAnsiTheme="minorHAnsi" w:cstheme="minorHAnsi"/>
                <w:sz w:val="20"/>
                <w:szCs w:val="20"/>
              </w:rPr>
              <w:t>tilised in our submission</w:t>
            </w:r>
            <w:r w:rsidR="0036683F" w:rsidRPr="00AD166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 </w:t>
            </w:r>
            <w:r w:rsidR="00036BBF" w:rsidRPr="00AD1662">
              <w:rPr>
                <w:rFonts w:asciiTheme="minorHAnsi" w:eastAsia="Times New Roman" w:hAnsiTheme="minorHAnsi" w:cstheme="minorHAnsi"/>
                <w:sz w:val="20"/>
                <w:szCs w:val="20"/>
              </w:rPr>
              <w:t>This presented</w:t>
            </w:r>
            <w:r w:rsidR="00B740DB" w:rsidRPr="00AD166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</w:t>
            </w:r>
            <w:r w:rsidR="00BA4F56" w:rsidRPr="00AD166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potential </w:t>
            </w:r>
            <w:r w:rsidR="00036BBF" w:rsidRPr="00AD1662">
              <w:rPr>
                <w:rFonts w:asciiTheme="minorHAnsi" w:eastAsia="Times New Roman" w:hAnsiTheme="minorHAnsi" w:cstheme="minorHAnsi"/>
                <w:sz w:val="20"/>
                <w:szCs w:val="20"/>
              </w:rPr>
              <w:t>opportunity for game</w:t>
            </w:r>
            <w:r w:rsidR="00B740DB" w:rsidRPr="00AD1662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="00036BBF" w:rsidRPr="00AD166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playing </w:t>
            </w:r>
            <w:r w:rsidR="00706C78" w:rsidRPr="00AD166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 the sector </w:t>
            </w:r>
            <w:r w:rsidR="00036BBF" w:rsidRPr="00AD1662">
              <w:rPr>
                <w:rFonts w:asciiTheme="minorHAnsi" w:eastAsia="Times New Roman" w:hAnsiTheme="minorHAnsi" w:cstheme="minorHAnsi"/>
                <w:sz w:val="20"/>
                <w:szCs w:val="20"/>
              </w:rPr>
              <w:t>where institutions ‘</w:t>
            </w:r>
            <w:r w:rsidR="00036BBF" w:rsidRPr="00AD1662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>encouraged</w:t>
            </w:r>
            <w:r w:rsidR="00036BBF" w:rsidRPr="00AD1662">
              <w:rPr>
                <w:rFonts w:asciiTheme="minorHAnsi" w:eastAsia="Times New Roman" w:hAnsiTheme="minorHAnsi" w:cstheme="minorHAnsi"/>
                <w:sz w:val="20"/>
                <w:szCs w:val="20"/>
              </w:rPr>
              <w:t>’ declaration</w:t>
            </w:r>
            <w:r w:rsidR="00F0169B" w:rsidRPr="00AD166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rather than adher</w:t>
            </w:r>
            <w:r w:rsidR="00706C78" w:rsidRPr="00AD1662">
              <w:rPr>
                <w:rFonts w:asciiTheme="minorHAnsi" w:eastAsia="Times New Roman" w:hAnsiTheme="minorHAnsi" w:cstheme="minorHAnsi"/>
                <w:sz w:val="20"/>
                <w:szCs w:val="20"/>
              </w:rPr>
              <w:t>ing</w:t>
            </w:r>
            <w:r w:rsidR="00F0169B" w:rsidRPr="00AD166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to </w:t>
            </w:r>
            <w:r w:rsidR="00706C78" w:rsidRPr="00AD166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the principle of </w:t>
            </w:r>
            <w:r w:rsidR="00D52BA2" w:rsidRPr="00AD1662">
              <w:rPr>
                <w:rFonts w:asciiTheme="minorHAnsi" w:eastAsia="Times New Roman" w:hAnsiTheme="minorHAnsi" w:cstheme="minorHAnsi"/>
                <w:sz w:val="20"/>
                <w:szCs w:val="20"/>
              </w:rPr>
              <w:t>no undue pressure</w:t>
            </w:r>
            <w:r w:rsidR="00036BBF" w:rsidRPr="00AD1662">
              <w:rPr>
                <w:rFonts w:asciiTheme="minorHAnsi" w:eastAsia="Times New Roman" w:hAnsiTheme="minorHAnsi" w:cstheme="minorHAnsi"/>
                <w:sz w:val="20"/>
                <w:szCs w:val="20"/>
              </w:rPr>
              <w:t>. </w:t>
            </w:r>
            <w:r w:rsidR="00036BBF" w:rsidRPr="00AD1662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  <w:t xml:space="preserve">* Particularly </w:t>
            </w:r>
            <w:r w:rsidR="00706C78" w:rsidRPr="00AD166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with </w:t>
            </w:r>
            <w:r w:rsidR="00036BBF" w:rsidRPr="00AD166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ECA status </w:t>
            </w:r>
            <w:r w:rsidR="00706C78" w:rsidRPr="00AD1662">
              <w:rPr>
                <w:rFonts w:asciiTheme="minorHAnsi" w:eastAsia="Times New Roman" w:hAnsiTheme="minorHAnsi" w:cstheme="minorHAnsi"/>
                <w:sz w:val="20"/>
                <w:szCs w:val="20"/>
              </w:rPr>
              <w:t>where this was</w:t>
            </w:r>
            <w:r w:rsidR="00036BBF" w:rsidRPr="00AD166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recorded in parallel for </w:t>
            </w:r>
            <w:r w:rsidR="00706C78" w:rsidRPr="00AD166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the </w:t>
            </w:r>
            <w:r w:rsidR="00036BBF" w:rsidRPr="00AD1662">
              <w:rPr>
                <w:rFonts w:asciiTheme="minorHAnsi" w:eastAsia="Times New Roman" w:hAnsiTheme="minorHAnsi" w:cstheme="minorHAnsi"/>
                <w:sz w:val="20"/>
                <w:szCs w:val="20"/>
              </w:rPr>
              <w:t>HESA return</w:t>
            </w:r>
            <w:r w:rsidR="00706C78" w:rsidRPr="00AD1662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</w:tc>
      </w:tr>
      <w:tr w:rsidR="00025B14" w:rsidRPr="00AD1662" w14:paraId="01FCEFB0" w14:textId="77777777" w:rsidTr="006548D0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0A51E" w14:textId="77777777" w:rsidR="006548D0" w:rsidRPr="00AD1662" w:rsidRDefault="006548D0" w:rsidP="006548D0">
            <w:pPr>
              <w:pStyle w:val="Numbering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AD16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Please describe any benefits you identify in participating in the REF for your institution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BDC00" w14:textId="77777777" w:rsidR="00807C6C" w:rsidRDefault="00C85A9E" w:rsidP="005B61DB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AD166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REF p</w:t>
            </w:r>
            <w:r w:rsidR="004F2C63" w:rsidRPr="00AD166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rovides </w:t>
            </w:r>
            <w:r w:rsidR="004F2C63" w:rsidRPr="00AD1662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  <w:t>recognition and reward</w:t>
            </w:r>
            <w:r w:rsidR="004F2C63" w:rsidRPr="00AD166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for areas of excellence</w:t>
            </w:r>
            <w:r w:rsidRPr="00AD166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within </w:t>
            </w:r>
            <w:r w:rsidR="007837B7" w:rsidRPr="00AD166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institutions</w:t>
            </w:r>
            <w:r w:rsidR="004F2C63" w:rsidRPr="00AD166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, with appreciation </w:t>
            </w:r>
            <w:r w:rsidR="0015768F" w:rsidRPr="00AD166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for</w:t>
            </w:r>
            <w:r w:rsidR="004F2C63" w:rsidRPr="00AD166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r w:rsidR="004F2C63" w:rsidRPr="00AD1662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  <w:t>all types</w:t>
            </w:r>
            <w:r w:rsidR="004F2C63" w:rsidRPr="00AD166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of </w:t>
            </w:r>
            <w:r w:rsidR="00706C78" w:rsidRPr="00AD166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excellent</w:t>
            </w:r>
            <w:r w:rsidR="004F2C63" w:rsidRPr="00AD166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research. </w:t>
            </w:r>
            <w:r w:rsidR="007837B7" w:rsidRPr="00AD166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br/>
            </w:r>
            <w:r w:rsidR="005B61DB" w:rsidRPr="00AD166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In addition, </w:t>
            </w:r>
            <w:r w:rsidRPr="00AD166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REF has </w:t>
            </w:r>
            <w:r w:rsidR="007837B7" w:rsidRPr="00AD166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positively </w:t>
            </w:r>
            <w:r w:rsidRPr="00AD166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driven the </w:t>
            </w:r>
            <w:r w:rsidR="007837B7" w:rsidRPr="00AD166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</w:t>
            </w:r>
            <w:r w:rsidR="001B35FF" w:rsidRPr="00AD166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mpact</w:t>
            </w:r>
            <w:r w:rsidRPr="00AD166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agenda and</w:t>
            </w:r>
            <w:r w:rsidR="001B35FF" w:rsidRPr="00AD166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AD166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highlight</w:t>
            </w:r>
            <w:r w:rsidR="00F83924" w:rsidRPr="00AD166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ed</w:t>
            </w:r>
            <w:r w:rsidRPr="00AD166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the</w:t>
            </w:r>
            <w:r w:rsidR="001B35FF" w:rsidRPr="00AD166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importan</w:t>
            </w:r>
            <w:r w:rsidR="007837B7" w:rsidRPr="00AD166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ce of societal impacts arising from publicly funded research in the UK.</w:t>
            </w:r>
            <w:r w:rsidRPr="00AD166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C0B20F9" w14:textId="1304B16B" w:rsidR="0042130E" w:rsidRPr="00AD1662" w:rsidRDefault="0042130E" w:rsidP="005B61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 noted in Question 2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>, the process of preparing the REF submission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has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enabled us to reflect and take stock of the full research portfolio, informing our future strategy development.</w:t>
            </w:r>
          </w:p>
        </w:tc>
      </w:tr>
      <w:tr w:rsidR="00025B14" w:rsidRPr="00AD1662" w14:paraId="7519CF0C" w14:textId="77777777" w:rsidTr="006548D0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3F6E5" w14:textId="77777777" w:rsidR="006548D0" w:rsidRPr="00AD1662" w:rsidRDefault="006548D0" w:rsidP="006548D0">
            <w:pPr>
              <w:pStyle w:val="Numbering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>Please describe any negative implications you identify in participating in the REF for your institution.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B125F" w14:textId="2EC864B9" w:rsidR="007837B7" w:rsidRPr="00AD1662" w:rsidRDefault="00B740DB" w:rsidP="003018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>REF</w:t>
            </w:r>
            <w:r w:rsidR="002A3A2E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has the potential to demotivate researchers if reputation 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and recognition </w:t>
            </w:r>
            <w:r w:rsidR="002A3A2E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is driven by </w:t>
            </w:r>
            <w:r w:rsidR="00027C29" w:rsidRPr="00AD1662">
              <w:rPr>
                <w:rFonts w:asciiTheme="minorHAnsi" w:hAnsiTheme="minorHAnsi" w:cstheme="minorHAnsi"/>
                <w:sz w:val="20"/>
                <w:szCs w:val="20"/>
              </w:rPr>
              <w:t>inclusion of outputs in submissions.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3A2E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Research staff need to be recognised </w:t>
            </w:r>
            <w:r w:rsidR="008F50D2" w:rsidRPr="00AD1662">
              <w:rPr>
                <w:rFonts w:asciiTheme="minorHAnsi" w:hAnsiTheme="minorHAnsi" w:cstheme="minorHAnsi"/>
                <w:sz w:val="20"/>
                <w:szCs w:val="20"/>
              </w:rPr>
              <w:t>beyond REF</w:t>
            </w:r>
            <w:r w:rsidR="002A3A2E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="00C106F2" w:rsidRPr="00AD1662">
              <w:rPr>
                <w:rFonts w:asciiTheme="minorHAnsi" w:hAnsiTheme="minorHAnsi" w:cstheme="minorHAnsi"/>
                <w:sz w:val="20"/>
                <w:szCs w:val="20"/>
              </w:rPr>
              <w:t>celebrat</w:t>
            </w:r>
            <w:r w:rsidR="008F50D2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ed </w:t>
            </w:r>
            <w:r w:rsidR="00C106F2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more widely </w:t>
            </w:r>
            <w:r w:rsidR="002A3A2E" w:rsidRPr="00AD1662">
              <w:rPr>
                <w:rFonts w:asciiTheme="minorHAnsi" w:hAnsiTheme="minorHAnsi" w:cstheme="minorHAnsi"/>
                <w:sz w:val="20"/>
                <w:szCs w:val="20"/>
              </w:rPr>
              <w:t>for their contributions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2A3A2E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in order </w:t>
            </w:r>
            <w:r w:rsidR="008F50D2" w:rsidRPr="00AD1662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="00C106F2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promot</w:t>
            </w:r>
            <w:r w:rsidR="008F50D2" w:rsidRPr="00AD1662">
              <w:rPr>
                <w:rFonts w:asciiTheme="minorHAnsi" w:hAnsiTheme="minorHAnsi" w:cstheme="minorHAnsi"/>
                <w:sz w:val="20"/>
                <w:szCs w:val="20"/>
              </w:rPr>
              <w:t>e a</w:t>
            </w:r>
            <w:r w:rsidR="00C106F2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3A2E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diverse </w:t>
            </w:r>
            <w:r w:rsidR="00C106F2" w:rsidRPr="00AD1662">
              <w:rPr>
                <w:rFonts w:asciiTheme="minorHAnsi" w:hAnsiTheme="minorHAnsi" w:cstheme="minorHAnsi"/>
                <w:sz w:val="20"/>
                <w:szCs w:val="20"/>
              </w:rPr>
              <w:t>research culture</w:t>
            </w:r>
            <w:r w:rsidR="002A3A2E" w:rsidRPr="00AD166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A3A2E" w:rsidRPr="00AD166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3018CE" w:rsidRPr="00AD1662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16325C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he Stern </w:t>
            </w:r>
            <w:r w:rsidR="003018CE" w:rsidRPr="00AD1662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16325C" w:rsidRPr="00AD1662">
              <w:rPr>
                <w:rFonts w:asciiTheme="minorHAnsi" w:hAnsiTheme="minorHAnsi" w:cstheme="minorHAnsi"/>
                <w:sz w:val="20"/>
                <w:szCs w:val="20"/>
              </w:rPr>
              <w:t>eport emphasised the need to reduce the burden on institutions</w:t>
            </w:r>
            <w:r w:rsidR="002A3A2E" w:rsidRPr="00AD1662">
              <w:rPr>
                <w:rFonts w:asciiTheme="minorHAnsi" w:hAnsiTheme="minorHAnsi" w:cstheme="minorHAnsi"/>
                <w:sz w:val="20"/>
                <w:szCs w:val="20"/>
              </w:rPr>
              <w:t>, b</w:t>
            </w:r>
            <w:r w:rsidR="0016325C" w:rsidRPr="00AD1662">
              <w:rPr>
                <w:rFonts w:asciiTheme="minorHAnsi" w:hAnsiTheme="minorHAnsi" w:cstheme="minorHAnsi"/>
                <w:sz w:val="20"/>
                <w:szCs w:val="20"/>
              </w:rPr>
              <w:t>ut th</w:t>
            </w:r>
            <w:r w:rsidR="0015768F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is 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>was not</w:t>
            </w:r>
            <w:r w:rsidR="0015768F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realised through REF2021.</w:t>
            </w:r>
            <w:r w:rsidR="00C85A9E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The cost </w:t>
            </w:r>
            <w:r w:rsidR="007837B7" w:rsidRPr="00AD1662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C85A9E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assessing the quality of research outputs was particularly onerous</w:t>
            </w:r>
            <w:r w:rsidR="007837B7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in this exercise</w:t>
            </w:r>
            <w:r w:rsidR="00C85A9E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0B0CBB1A" w14:textId="77777777" w:rsidR="007837B7" w:rsidRPr="00AD1662" w:rsidRDefault="007837B7" w:rsidP="007837B7">
            <w:pPr>
              <w:pStyle w:val="ListParagraph"/>
              <w:ind w:left="47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A3A5BA" w14:textId="376A353F" w:rsidR="00D77675" w:rsidRPr="00AD1662" w:rsidRDefault="007837B7" w:rsidP="003018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REF </w:t>
            </w:r>
            <w:r w:rsidR="00187935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can distract from progressing with other important strategic research objectives, particularly in the final stages of 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preparation. </w:t>
            </w:r>
          </w:p>
        </w:tc>
      </w:tr>
      <w:tr w:rsidR="00025B14" w:rsidRPr="00AD1662" w14:paraId="5A22AABF" w14:textId="77777777" w:rsidTr="006548D0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8F093" w14:textId="77777777" w:rsidR="006548D0" w:rsidRPr="00AD1662" w:rsidRDefault="006548D0" w:rsidP="006548D0">
            <w:pPr>
              <w:pStyle w:val="Numbering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>What positive and negative effects did the key changes since REF 2014 have?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097C9" w14:textId="29084CF0" w:rsidR="002245EC" w:rsidRPr="00AD1662" w:rsidRDefault="002245EC" w:rsidP="002245E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AD166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Positive:</w:t>
            </w:r>
          </w:p>
          <w:p w14:paraId="3E7C5BF1" w14:textId="43E014B4" w:rsidR="002245EC" w:rsidRPr="00AD1662" w:rsidRDefault="002245EC" w:rsidP="002245E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FED78A9" w14:textId="0221B8C4" w:rsidR="001566B2" w:rsidRPr="00AD1662" w:rsidRDefault="00B740DB" w:rsidP="003018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16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Promote </w:t>
            </w:r>
            <w:r w:rsidR="00232658" w:rsidRPr="00AD16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Inclusivity</w:t>
            </w:r>
            <w:r w:rsidR="00232658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232658" w:rsidRPr="00AD166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3018CE" w:rsidRPr="00AD1662">
              <w:rPr>
                <w:rFonts w:asciiTheme="minorHAnsi" w:hAnsiTheme="minorHAnsi" w:cstheme="minorHAnsi"/>
                <w:sz w:val="20"/>
                <w:szCs w:val="20"/>
              </w:rPr>
              <w:t>This exercise e</w:t>
            </w:r>
            <w:r w:rsidR="00232658" w:rsidRPr="00AD1662">
              <w:rPr>
                <w:rFonts w:asciiTheme="minorHAnsi" w:hAnsiTheme="minorHAnsi" w:cstheme="minorHAnsi"/>
                <w:sz w:val="20"/>
                <w:szCs w:val="20"/>
              </w:rPr>
              <w:t>nhance</w:t>
            </w:r>
            <w:r w:rsidR="003018CE" w:rsidRPr="00AD1662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2245EC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inclusivity through </w:t>
            </w:r>
            <w:r w:rsidR="00EE1C23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3E4F00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non-selective </w:t>
            </w:r>
            <w:r w:rsidR="002245EC" w:rsidRPr="00AD1662">
              <w:rPr>
                <w:rFonts w:asciiTheme="minorHAnsi" w:hAnsiTheme="minorHAnsi" w:cstheme="minorHAnsi"/>
                <w:sz w:val="20"/>
                <w:szCs w:val="20"/>
              </w:rPr>
              <w:t>submission</w:t>
            </w:r>
            <w:r w:rsidR="003018CE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  <w:r w:rsidR="003E4F00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Introduction of a bespoke Code of Practice </w:t>
            </w:r>
            <w:r w:rsidR="007E6D84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(if implemented effectively) </w:t>
            </w:r>
            <w:r w:rsidR="003E4F00" w:rsidRPr="00AD1662">
              <w:rPr>
                <w:rFonts w:asciiTheme="minorHAnsi" w:hAnsiTheme="minorHAnsi" w:cstheme="minorHAnsi"/>
                <w:sz w:val="20"/>
                <w:szCs w:val="20"/>
              </w:rPr>
              <w:t>has some positive impacts for the University’s research culture and career trajectory by helping to clearly define individuals’ research expectations.</w:t>
            </w:r>
            <w:r w:rsidR="00CB77CF" w:rsidRPr="00AD166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A815A5" w:rsidRPr="00AD166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7837B7" w:rsidRPr="00AD16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Recognition of historic investment</w:t>
            </w:r>
            <w:r w:rsidR="00232658" w:rsidRPr="00AD16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232658" w:rsidRPr="00AD166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566B2" w:rsidRPr="00AD1662">
              <w:rPr>
                <w:rFonts w:asciiTheme="minorHAnsi" w:hAnsiTheme="minorHAnsi" w:cstheme="minorHAnsi"/>
                <w:sz w:val="20"/>
                <w:szCs w:val="20"/>
              </w:rPr>
              <w:t>The transitionary approach to portability allow</w:t>
            </w:r>
            <w:r w:rsidR="007E6D84" w:rsidRPr="00AD1662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1566B2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the inclusion of former staff members’ outputs, recognising the University’s historic investment and contribution to the outputs.</w:t>
            </w:r>
            <w:r w:rsidR="001566B2" w:rsidRPr="00AD1662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743AA011" w14:textId="00E756F6" w:rsidR="001566B2" w:rsidRPr="00AD1662" w:rsidRDefault="003018CE" w:rsidP="003018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16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r w:rsidR="00855914" w:rsidRPr="00AD16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ecoupling</w:t>
            </w:r>
            <w:r w:rsidR="007837B7" w:rsidRPr="00AD16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7837B7" w:rsidRPr="00AD16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="007837B7" w:rsidRPr="00AD1662">
              <w:rPr>
                <w:rFonts w:asciiTheme="minorHAnsi" w:hAnsiTheme="minorHAnsi" w:cstheme="minorHAnsi"/>
                <w:sz w:val="20"/>
                <w:szCs w:val="20"/>
              </w:rPr>
              <w:t>The attempt to decouple staff and outputs was welcomed</w:t>
            </w:r>
            <w:r w:rsidR="00855914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in this exercise</w:t>
            </w:r>
            <w:r w:rsidR="007E3E17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signalling a move towards unit-based submission rather than individually focussed.  (However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E3E17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this wasn’t fully realised in REF2021 due to the partial nature of the rules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>, resulting</w:t>
            </w:r>
            <w:r w:rsidR="007E3E17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in increased burden relating to quality review and final attribution of outputs).</w:t>
            </w:r>
            <w:r w:rsidR="00644A86" w:rsidRPr="00AD1662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53EAAAB7" w14:textId="2979B70C" w:rsidR="00644A86" w:rsidRPr="00AD1662" w:rsidRDefault="00B740DB" w:rsidP="003018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16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Raise the i</w:t>
            </w:r>
            <w:r w:rsidR="007A25FE" w:rsidRPr="00AD16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mportance of impact:</w:t>
            </w:r>
            <w:r w:rsidR="007A25FE" w:rsidRPr="00AD166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A815A5" w:rsidRPr="00AD1662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="00644A86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increased weighting for impact case studies</w:t>
            </w:r>
            <w:r w:rsidR="00232658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018CE" w:rsidRPr="00AD1662">
              <w:rPr>
                <w:rFonts w:asciiTheme="minorHAnsi" w:hAnsiTheme="minorHAnsi" w:cstheme="minorHAnsi"/>
                <w:sz w:val="20"/>
                <w:szCs w:val="20"/>
              </w:rPr>
              <w:t>signals</w:t>
            </w:r>
            <w:r w:rsidR="00644A86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the importance of outcomes </w:t>
            </w:r>
            <w:r w:rsidR="00232658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from </w:t>
            </w:r>
            <w:r w:rsidR="003018CE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UK </w:t>
            </w:r>
            <w:r w:rsidR="00232658" w:rsidRPr="00AD1662">
              <w:rPr>
                <w:rFonts w:asciiTheme="minorHAnsi" w:hAnsiTheme="minorHAnsi" w:cstheme="minorHAnsi"/>
                <w:sz w:val="20"/>
                <w:szCs w:val="20"/>
              </w:rPr>
              <w:t>research</w:t>
            </w:r>
            <w:r w:rsidR="007E3E17" w:rsidRPr="00AD166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44A86" w:rsidRPr="00AD1662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7586EACD" w14:textId="394A0EDF" w:rsidR="00644A86" w:rsidRPr="00AD1662" w:rsidRDefault="007A25FE" w:rsidP="003018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16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Avoid duplication: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A815A5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The introduction of an institutional environment statement </w:t>
            </w:r>
            <w:r w:rsidR="007E6D84" w:rsidRPr="00AD1662">
              <w:rPr>
                <w:rFonts w:asciiTheme="minorHAnsi" w:hAnsiTheme="minorHAnsi" w:cstheme="minorHAnsi"/>
                <w:sz w:val="20"/>
                <w:szCs w:val="20"/>
              </w:rPr>
              <w:t>addressing</w:t>
            </w:r>
            <w:r w:rsidR="00DB4258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="003E4F00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number of important strategic </w:t>
            </w:r>
            <w:r w:rsidR="00DB4258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research </w:t>
            </w:r>
            <w:r w:rsidR="003E4F00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initiatives </w:t>
            </w:r>
            <w:r w:rsidR="00DB4258" w:rsidRPr="00AD1662">
              <w:rPr>
                <w:rFonts w:asciiTheme="minorHAnsi" w:hAnsiTheme="minorHAnsi" w:cstheme="minorHAnsi"/>
                <w:sz w:val="20"/>
                <w:szCs w:val="20"/>
              </w:rPr>
              <w:t>without the need to duplicate the information in each UoA statement</w:t>
            </w:r>
            <w:r w:rsidR="007E3E17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was welcomed, although somewhat unclear how this actually contributes to the REF5b score</w:t>
            </w:r>
            <w:r w:rsidR="00DB4258" w:rsidRPr="00AD166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84F9F35" w14:textId="77777777" w:rsidR="002B6FC4" w:rsidRPr="00AD1662" w:rsidRDefault="002B6FC4" w:rsidP="00B242BE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9CFE3D" w14:textId="426FBC33" w:rsidR="002B6FC4" w:rsidRPr="00AD1662" w:rsidRDefault="003018CE" w:rsidP="003018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16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Open Research: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D159CF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REF has been instrumental in driving the </w:t>
            </w:r>
            <w:r w:rsidR="002B6FC4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Open </w:t>
            </w:r>
            <w:r w:rsidR="00FA5FB6" w:rsidRPr="00AD1662">
              <w:rPr>
                <w:rFonts w:asciiTheme="minorHAnsi" w:hAnsiTheme="minorHAnsi" w:cstheme="minorHAnsi"/>
                <w:sz w:val="20"/>
                <w:szCs w:val="20"/>
              </w:rPr>
              <w:t>research</w:t>
            </w:r>
            <w:r w:rsidR="00D159CF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E3E17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agenda </w:t>
            </w:r>
            <w:r w:rsidR="00C462BC" w:rsidRPr="00AD1662">
              <w:rPr>
                <w:rFonts w:asciiTheme="minorHAnsi" w:hAnsiTheme="minorHAnsi" w:cstheme="minorHAnsi"/>
                <w:sz w:val="20"/>
                <w:szCs w:val="20"/>
              </w:rPr>
              <w:t>and has embedded the process of depositing accepted manuscripts in repositories.</w:t>
            </w:r>
          </w:p>
          <w:p w14:paraId="0A4547D7" w14:textId="2C0AFFAF" w:rsidR="002245EC" w:rsidRPr="00AD1662" w:rsidRDefault="002245EC" w:rsidP="001566B2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F1BD7B" w14:textId="77777777" w:rsidR="002245EC" w:rsidRPr="00AD1662" w:rsidRDefault="002245EC" w:rsidP="002245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16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Negative: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FF6E290" w14:textId="55A11FF0" w:rsidR="007A25FE" w:rsidRPr="00AD1662" w:rsidRDefault="007A25FE" w:rsidP="003018C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16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Restrictive timeframes:</w:t>
            </w:r>
          </w:p>
          <w:p w14:paraId="3DDCAD16" w14:textId="75642AF8" w:rsidR="001566B2" w:rsidRPr="00AD1662" w:rsidRDefault="002245EC" w:rsidP="003018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The short timeframe by which to develop, approve and implement a </w:t>
            </w:r>
            <w:r w:rsidR="003018CE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complex 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Code of Practice </w:t>
            </w:r>
            <w:r w:rsidR="00EE1C23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for staff submission meant that decisions were made very late in the period.  </w:t>
            </w:r>
            <w:r w:rsidR="001566B2" w:rsidRPr="00AD1662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6BF3D79D" w14:textId="58CCCFF8" w:rsidR="005F2E30" w:rsidRPr="00AD1662" w:rsidRDefault="007A25FE" w:rsidP="003018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16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Demotivating effect:</w:t>
            </w:r>
            <w:r w:rsidRPr="00AD16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="001566B2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Although the </w:t>
            </w:r>
            <w:r w:rsidR="00A73B3B" w:rsidRPr="00AD1662">
              <w:rPr>
                <w:rFonts w:asciiTheme="minorHAnsi" w:hAnsiTheme="minorHAnsi" w:cstheme="minorHAnsi"/>
                <w:sz w:val="20"/>
                <w:szCs w:val="20"/>
              </w:rPr>
              <w:t>benefit</w:t>
            </w:r>
            <w:r w:rsidR="001566B2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of unit submission </w:t>
            </w:r>
            <w:r w:rsidR="0071309F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through min/max quota </w:t>
            </w:r>
            <w:r w:rsidR="001566B2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helps to alleviate pressure </w:t>
            </w:r>
            <w:r w:rsidR="00A73B3B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to deliver </w:t>
            </w:r>
            <w:r w:rsidR="001566B2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on some individuals, it also leaves some academics feeling that they 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>were unable</w:t>
            </w:r>
            <w:r w:rsidR="001566B2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to submit </w:t>
            </w:r>
            <w:r w:rsidR="00A73B3B" w:rsidRPr="00AD1662">
              <w:rPr>
                <w:rFonts w:asciiTheme="minorHAnsi" w:hAnsiTheme="minorHAnsi" w:cstheme="minorHAnsi"/>
                <w:sz w:val="20"/>
                <w:szCs w:val="20"/>
              </w:rPr>
              <w:t>their full portfolio.</w:t>
            </w:r>
            <w:r w:rsidR="002B6FC4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A5FB6" w:rsidRPr="00AD1662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It could also encourage undesirable co-authoring practices, whereby staff </w:t>
            </w:r>
            <w:r w:rsidR="005F2E30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focus </w:t>
            </w:r>
            <w:r w:rsidR="0071309F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their </w:t>
            </w:r>
            <w:r w:rsidR="005F2E30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efforts on internal output co-authoring, rather than external co-authoring, in order to increase </w:t>
            </w:r>
            <w:r w:rsidR="00DF630A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CC51B5" w:rsidRPr="00AD1662">
              <w:rPr>
                <w:rFonts w:asciiTheme="minorHAnsi" w:hAnsiTheme="minorHAnsi" w:cstheme="minorHAnsi"/>
                <w:sz w:val="20"/>
                <w:szCs w:val="20"/>
              </w:rPr>
              <w:t>number of their</w:t>
            </w:r>
            <w:r w:rsidR="005F2E30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papers submitted to REF.</w:t>
            </w:r>
            <w:r w:rsidR="005F2E30" w:rsidRPr="00AD1662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56382118" w14:textId="4696224A" w:rsidR="00C106F2" w:rsidRPr="00AD1662" w:rsidRDefault="007A25FE" w:rsidP="007130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16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Increased workload:</w:t>
            </w:r>
            <w:r w:rsidR="001566B2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2658" w:rsidRPr="00AD166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5F2E30" w:rsidRPr="00AD1662">
              <w:rPr>
                <w:rFonts w:asciiTheme="minorHAnsi" w:hAnsiTheme="minorHAnsi" w:cstheme="minorHAnsi"/>
                <w:sz w:val="20"/>
                <w:szCs w:val="20"/>
              </w:rPr>
              <w:t>See question 3 - Challenges</w:t>
            </w:r>
            <w:r w:rsidR="00647AAF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A5FB6" w:rsidRPr="00AD1662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0FA222ED" w14:textId="12377AB1" w:rsidR="006548D0" w:rsidRPr="00AD1662" w:rsidRDefault="00B740DB" w:rsidP="007130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16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Unintentionally inequitable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644A86" w:rsidRPr="00AD1662">
              <w:rPr>
                <w:rFonts w:asciiTheme="minorHAnsi" w:hAnsiTheme="minorHAnsi" w:cstheme="minorHAnsi"/>
                <w:sz w:val="20"/>
                <w:szCs w:val="20"/>
              </w:rPr>
              <w:t>The attempt to remove / minimise the sensitive circumstance reduction requests of 2014 was not effectively realised in REF202</w:t>
            </w:r>
            <w:r w:rsidR="00CB77CF" w:rsidRPr="00AD1662">
              <w:rPr>
                <w:rFonts w:asciiTheme="minorHAnsi" w:hAnsiTheme="minorHAnsi" w:cstheme="minorHAnsi"/>
                <w:sz w:val="20"/>
                <w:szCs w:val="20"/>
              </w:rPr>
              <w:t>1.  See question 1 (E&amp;D)</w:t>
            </w:r>
          </w:p>
        </w:tc>
      </w:tr>
      <w:tr w:rsidR="00025B14" w:rsidRPr="00AD1662" w14:paraId="4EE72FAD" w14:textId="77777777" w:rsidTr="006548D0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D5A9E" w14:textId="77777777" w:rsidR="006548D0" w:rsidRPr="00AD1662" w:rsidRDefault="006548D0" w:rsidP="006548D0">
            <w:pPr>
              <w:pStyle w:val="Numbering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AD16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How did COVID-19 affect your submissions to REF 2021? To what extent were the mitigations put in place helpful?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88132" w14:textId="756A8CAC" w:rsidR="00DB4258" w:rsidRPr="00AD1662" w:rsidRDefault="00404CE4" w:rsidP="00067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>Covid-19 had a relatively minimal effect on our actual submission</w:t>
            </w:r>
            <w:r w:rsidR="00B5724E" w:rsidRPr="00AD1662">
              <w:rPr>
                <w:rFonts w:asciiTheme="minorHAnsi" w:hAnsiTheme="minorHAnsi" w:cstheme="minorHAnsi"/>
                <w:sz w:val="20"/>
                <w:szCs w:val="20"/>
              </w:rPr>
              <w:t>, aside from the obvious disruptions caused by remote working.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5724E" w:rsidRPr="00AD1662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e were able to accommodate the </w:t>
            </w:r>
            <w:r w:rsidR="00B5724E" w:rsidRPr="00AD1662">
              <w:rPr>
                <w:rFonts w:asciiTheme="minorHAnsi" w:hAnsiTheme="minorHAnsi" w:cstheme="minorHAnsi"/>
                <w:sz w:val="20"/>
                <w:szCs w:val="20"/>
              </w:rPr>
              <w:t>effects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accordingly through the additional statement provision.</w:t>
            </w:r>
          </w:p>
          <w:p w14:paraId="588A5B8E" w14:textId="7C584817" w:rsidR="00033940" w:rsidRPr="00AD1662" w:rsidRDefault="00404CE4" w:rsidP="00067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>The introduction of Covid-19 mitigations were sensible and helpful, although retention of the original July 2020 impact deadline might have been fairer, to avoid inclusion of new Covid</w:t>
            </w:r>
            <w:r w:rsidR="00DE3F7C" w:rsidRPr="00AD166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>specific impacts</w:t>
            </w:r>
            <w:r w:rsidR="00DE3F7C" w:rsidRPr="00AD166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where the actual impact was still relatively unknown </w:t>
            </w:r>
            <w:r w:rsidR="00B5724E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in Dec 2020, 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="00DE3F7C" w:rsidRPr="00AD1662">
              <w:rPr>
                <w:rFonts w:asciiTheme="minorHAnsi" w:hAnsiTheme="minorHAnsi" w:cstheme="minorHAnsi"/>
                <w:sz w:val="20"/>
                <w:szCs w:val="20"/>
              </w:rPr>
              <w:t>might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have been better assessed in future REF cycles.</w:t>
            </w:r>
          </w:p>
        </w:tc>
      </w:tr>
      <w:tr w:rsidR="00025B14" w:rsidRPr="00AD1662" w14:paraId="636233B3" w14:textId="77777777" w:rsidTr="006548D0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CD891" w14:textId="77777777" w:rsidR="006548D0" w:rsidRPr="00AD1662" w:rsidRDefault="006548D0" w:rsidP="006548D0">
            <w:pPr>
              <w:pStyle w:val="Numbering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>Are there any further comments you would like to add regarding REF 2021?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78F70" w14:textId="77777777" w:rsidR="006548D0" w:rsidRPr="00AD1662" w:rsidRDefault="00E04AE2" w:rsidP="00067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The online submission system was very </w:t>
            </w:r>
            <w:r w:rsidR="00263AB2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intuitive and 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>easy to use</w:t>
            </w:r>
            <w:r w:rsidR="00263AB2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>and interrogate, the ability to run error reports and automatic checking of DOIs being especially helpful.</w:t>
            </w:r>
          </w:p>
          <w:p w14:paraId="6BACE88C" w14:textId="5EE337D3" w:rsidR="00404CE4" w:rsidRPr="00AD1662" w:rsidRDefault="00404CE4" w:rsidP="00067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The index of revisions to the </w:t>
            </w:r>
            <w:r w:rsidR="004177FA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audit 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guidance </w:t>
            </w:r>
            <w:r w:rsidR="004177FA" w:rsidRPr="00AD1662">
              <w:rPr>
                <w:rFonts w:asciiTheme="minorHAnsi" w:hAnsiTheme="minorHAnsi" w:cstheme="minorHAnsi"/>
                <w:sz w:val="20"/>
                <w:szCs w:val="20"/>
              </w:rPr>
              <w:t>and GoS w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>as confusing</w:t>
            </w:r>
            <w:r w:rsidR="004177FA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and difficult to navigate</w:t>
            </w:r>
            <w:r w:rsidRPr="00AD166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4177FA" w:rsidRPr="00AD1662">
              <w:rPr>
                <w:rFonts w:asciiTheme="minorHAnsi" w:hAnsiTheme="minorHAnsi" w:cstheme="minorHAnsi"/>
                <w:sz w:val="20"/>
                <w:szCs w:val="20"/>
              </w:rPr>
              <w:t xml:space="preserve">  Often the FAQ page provided greater clarity, however the increasing volume of FAQs reflected the growing confusion amongst the REF community.</w:t>
            </w:r>
          </w:p>
        </w:tc>
      </w:tr>
    </w:tbl>
    <w:p w14:paraId="6E54A898" w14:textId="40D4C59B" w:rsidR="006548D0" w:rsidRPr="00AD1662" w:rsidRDefault="006548D0">
      <w:pPr>
        <w:rPr>
          <w:rFonts w:asciiTheme="minorHAnsi" w:hAnsiTheme="minorHAnsi" w:cstheme="minorHAnsi"/>
          <w:sz w:val="20"/>
          <w:szCs w:val="20"/>
        </w:rPr>
      </w:pPr>
    </w:p>
    <w:p w14:paraId="0D8F9BA9" w14:textId="77777777" w:rsidR="006548D0" w:rsidRPr="00AD1662" w:rsidRDefault="006548D0" w:rsidP="00DC093D">
      <w:pPr>
        <w:rPr>
          <w:rFonts w:asciiTheme="minorHAnsi" w:hAnsiTheme="minorHAnsi" w:cstheme="minorHAnsi"/>
          <w:sz w:val="20"/>
          <w:szCs w:val="20"/>
        </w:rPr>
      </w:pPr>
    </w:p>
    <w:sectPr w:rsidR="006548D0" w:rsidRPr="00AD1662" w:rsidSect="00A0219C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060BD" w14:textId="77777777" w:rsidR="00524AE9" w:rsidRDefault="00524AE9" w:rsidP="00A0219C">
      <w:r>
        <w:separator/>
      </w:r>
    </w:p>
  </w:endnote>
  <w:endnote w:type="continuationSeparator" w:id="0">
    <w:p w14:paraId="3A865A1A" w14:textId="77777777" w:rsidR="00524AE9" w:rsidRDefault="00524AE9" w:rsidP="00A0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6C3FB" w14:textId="77777777" w:rsidR="00524AE9" w:rsidRDefault="00524AE9" w:rsidP="00A0219C">
      <w:r>
        <w:separator/>
      </w:r>
    </w:p>
  </w:footnote>
  <w:footnote w:type="continuationSeparator" w:id="0">
    <w:p w14:paraId="44775E9C" w14:textId="77777777" w:rsidR="00524AE9" w:rsidRDefault="00524AE9" w:rsidP="00A02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98C3" w14:textId="77777777" w:rsidR="00A0219C" w:rsidRDefault="00A021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27D4C"/>
    <w:multiLevelType w:val="hybridMultilevel"/>
    <w:tmpl w:val="6F6E5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D7A00"/>
    <w:multiLevelType w:val="hybridMultilevel"/>
    <w:tmpl w:val="38462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76769"/>
    <w:multiLevelType w:val="hybridMultilevel"/>
    <w:tmpl w:val="D59414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17ECB"/>
    <w:multiLevelType w:val="hybridMultilevel"/>
    <w:tmpl w:val="18AA7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F785E"/>
    <w:multiLevelType w:val="hybridMultilevel"/>
    <w:tmpl w:val="FD1CC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B694C"/>
    <w:multiLevelType w:val="hybridMultilevel"/>
    <w:tmpl w:val="224C10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CA4EA6"/>
    <w:multiLevelType w:val="hybridMultilevel"/>
    <w:tmpl w:val="181AE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5657E"/>
    <w:multiLevelType w:val="multilevel"/>
    <w:tmpl w:val="A1AC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A32F82"/>
    <w:multiLevelType w:val="hybridMultilevel"/>
    <w:tmpl w:val="B2AA9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55501"/>
    <w:multiLevelType w:val="hybridMultilevel"/>
    <w:tmpl w:val="A2948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45576"/>
    <w:multiLevelType w:val="hybridMultilevel"/>
    <w:tmpl w:val="C7687B9C"/>
    <w:lvl w:ilvl="0" w:tplc="8C8414A6">
      <w:start w:val="1"/>
      <w:numFmt w:val="decimal"/>
      <w:pStyle w:val="Numbering"/>
      <w:lvlText w:val="%1."/>
      <w:lvlJc w:val="left"/>
      <w:pPr>
        <w:ind w:left="3970" w:hanging="567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88B0B22"/>
    <w:multiLevelType w:val="hybridMultilevel"/>
    <w:tmpl w:val="02B2DC48"/>
    <w:lvl w:ilvl="0" w:tplc="92B248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164D8"/>
    <w:multiLevelType w:val="hybridMultilevel"/>
    <w:tmpl w:val="15EC3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10CEA"/>
    <w:multiLevelType w:val="hybridMultilevel"/>
    <w:tmpl w:val="4F304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73BEF"/>
    <w:multiLevelType w:val="hybridMultilevel"/>
    <w:tmpl w:val="24E603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03795F"/>
    <w:multiLevelType w:val="hybridMultilevel"/>
    <w:tmpl w:val="4198CDDA"/>
    <w:lvl w:ilvl="0" w:tplc="D30851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5C6A93"/>
    <w:multiLevelType w:val="hybridMultilevel"/>
    <w:tmpl w:val="A58C7194"/>
    <w:lvl w:ilvl="0" w:tplc="493E39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6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F149A"/>
    <w:multiLevelType w:val="hybridMultilevel"/>
    <w:tmpl w:val="D81C2D28"/>
    <w:lvl w:ilvl="0" w:tplc="493E39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6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D0A7C"/>
    <w:multiLevelType w:val="hybridMultilevel"/>
    <w:tmpl w:val="CB785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B6E08"/>
    <w:multiLevelType w:val="hybridMultilevel"/>
    <w:tmpl w:val="D34E0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13"/>
  </w:num>
  <w:num w:numId="7">
    <w:abstractNumId w:val="0"/>
  </w:num>
  <w:num w:numId="8">
    <w:abstractNumId w:val="15"/>
  </w:num>
  <w:num w:numId="9">
    <w:abstractNumId w:val="17"/>
  </w:num>
  <w:num w:numId="10">
    <w:abstractNumId w:val="16"/>
  </w:num>
  <w:num w:numId="11">
    <w:abstractNumId w:val="8"/>
  </w:num>
  <w:num w:numId="12">
    <w:abstractNumId w:val="18"/>
  </w:num>
  <w:num w:numId="13">
    <w:abstractNumId w:val="1"/>
  </w:num>
  <w:num w:numId="14">
    <w:abstractNumId w:val="14"/>
  </w:num>
  <w:num w:numId="15">
    <w:abstractNumId w:val="7"/>
  </w:num>
  <w:num w:numId="16">
    <w:abstractNumId w:val="3"/>
  </w:num>
  <w:num w:numId="17">
    <w:abstractNumId w:val="12"/>
  </w:num>
  <w:num w:numId="18">
    <w:abstractNumId w:val="19"/>
  </w:num>
  <w:num w:numId="19">
    <w:abstractNumId w:val="2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9C"/>
    <w:rsid w:val="000037B4"/>
    <w:rsid w:val="0000609B"/>
    <w:rsid w:val="00025B14"/>
    <w:rsid w:val="00026C6D"/>
    <w:rsid w:val="00027C29"/>
    <w:rsid w:val="00033940"/>
    <w:rsid w:val="00036BBF"/>
    <w:rsid w:val="00037129"/>
    <w:rsid w:val="00053E7E"/>
    <w:rsid w:val="0005451B"/>
    <w:rsid w:val="00057749"/>
    <w:rsid w:val="00057A9E"/>
    <w:rsid w:val="00067CE8"/>
    <w:rsid w:val="00072B60"/>
    <w:rsid w:val="00075E05"/>
    <w:rsid w:val="00096156"/>
    <w:rsid w:val="000B440E"/>
    <w:rsid w:val="000C20D1"/>
    <w:rsid w:val="000D5814"/>
    <w:rsid w:val="000E0AC9"/>
    <w:rsid w:val="000E4FD3"/>
    <w:rsid w:val="001103D2"/>
    <w:rsid w:val="00113A19"/>
    <w:rsid w:val="00122536"/>
    <w:rsid w:val="001264CB"/>
    <w:rsid w:val="00151DC2"/>
    <w:rsid w:val="001566B2"/>
    <w:rsid w:val="0015768F"/>
    <w:rsid w:val="00162805"/>
    <w:rsid w:val="0016325C"/>
    <w:rsid w:val="0016360F"/>
    <w:rsid w:val="0018374D"/>
    <w:rsid w:val="00187935"/>
    <w:rsid w:val="001B0642"/>
    <w:rsid w:val="001B35FF"/>
    <w:rsid w:val="001F6066"/>
    <w:rsid w:val="00204CEA"/>
    <w:rsid w:val="002170AB"/>
    <w:rsid w:val="00223DA8"/>
    <w:rsid w:val="002245EC"/>
    <w:rsid w:val="00232658"/>
    <w:rsid w:val="00263AB2"/>
    <w:rsid w:val="00265205"/>
    <w:rsid w:val="0026665D"/>
    <w:rsid w:val="00270F44"/>
    <w:rsid w:val="002740BD"/>
    <w:rsid w:val="0029120B"/>
    <w:rsid w:val="002A3A2E"/>
    <w:rsid w:val="002A70C8"/>
    <w:rsid w:val="002B6FC4"/>
    <w:rsid w:val="002D5183"/>
    <w:rsid w:val="002F3300"/>
    <w:rsid w:val="003018CE"/>
    <w:rsid w:val="0036683F"/>
    <w:rsid w:val="003A0D9F"/>
    <w:rsid w:val="003A2D3A"/>
    <w:rsid w:val="003A6938"/>
    <w:rsid w:val="003B68F9"/>
    <w:rsid w:val="003D78D2"/>
    <w:rsid w:val="003E4D99"/>
    <w:rsid w:val="003E4F00"/>
    <w:rsid w:val="003E746A"/>
    <w:rsid w:val="003F10F3"/>
    <w:rsid w:val="003F3413"/>
    <w:rsid w:val="003F7E25"/>
    <w:rsid w:val="00404CE4"/>
    <w:rsid w:val="00415EE1"/>
    <w:rsid w:val="004164FA"/>
    <w:rsid w:val="004177FA"/>
    <w:rsid w:val="0042130E"/>
    <w:rsid w:val="00430760"/>
    <w:rsid w:val="00433287"/>
    <w:rsid w:val="0043505D"/>
    <w:rsid w:val="004357E8"/>
    <w:rsid w:val="00445521"/>
    <w:rsid w:val="0045087C"/>
    <w:rsid w:val="00456CAB"/>
    <w:rsid w:val="00457C88"/>
    <w:rsid w:val="00462587"/>
    <w:rsid w:val="0047194C"/>
    <w:rsid w:val="00487DA4"/>
    <w:rsid w:val="004924E4"/>
    <w:rsid w:val="004A0200"/>
    <w:rsid w:val="004A3608"/>
    <w:rsid w:val="004A7F01"/>
    <w:rsid w:val="004F2C63"/>
    <w:rsid w:val="00524AE9"/>
    <w:rsid w:val="00533EC3"/>
    <w:rsid w:val="00542E6D"/>
    <w:rsid w:val="0055478D"/>
    <w:rsid w:val="005764C6"/>
    <w:rsid w:val="005A7930"/>
    <w:rsid w:val="005A7D7D"/>
    <w:rsid w:val="005B1F0A"/>
    <w:rsid w:val="005B61DB"/>
    <w:rsid w:val="005F2E30"/>
    <w:rsid w:val="005F3961"/>
    <w:rsid w:val="005F5A41"/>
    <w:rsid w:val="00615B40"/>
    <w:rsid w:val="00633CBD"/>
    <w:rsid w:val="00641B9E"/>
    <w:rsid w:val="00644A86"/>
    <w:rsid w:val="00647AAF"/>
    <w:rsid w:val="006548D0"/>
    <w:rsid w:val="006559DF"/>
    <w:rsid w:val="00673E09"/>
    <w:rsid w:val="00675528"/>
    <w:rsid w:val="00676672"/>
    <w:rsid w:val="00677950"/>
    <w:rsid w:val="00686F0D"/>
    <w:rsid w:val="00692A24"/>
    <w:rsid w:val="006B0214"/>
    <w:rsid w:val="006B2DAE"/>
    <w:rsid w:val="006B343A"/>
    <w:rsid w:val="006B5D77"/>
    <w:rsid w:val="006C0D52"/>
    <w:rsid w:val="006C70E4"/>
    <w:rsid w:val="006E4A44"/>
    <w:rsid w:val="006F385E"/>
    <w:rsid w:val="006F3C76"/>
    <w:rsid w:val="00706C78"/>
    <w:rsid w:val="00707E50"/>
    <w:rsid w:val="0071309F"/>
    <w:rsid w:val="007200E9"/>
    <w:rsid w:val="00720410"/>
    <w:rsid w:val="007258B4"/>
    <w:rsid w:val="00726903"/>
    <w:rsid w:val="00726E3A"/>
    <w:rsid w:val="00746CC5"/>
    <w:rsid w:val="00747394"/>
    <w:rsid w:val="00766427"/>
    <w:rsid w:val="007837B7"/>
    <w:rsid w:val="007A25FE"/>
    <w:rsid w:val="007C632A"/>
    <w:rsid w:val="007E3E17"/>
    <w:rsid w:val="007E6D84"/>
    <w:rsid w:val="007F39CC"/>
    <w:rsid w:val="00807C6C"/>
    <w:rsid w:val="00841513"/>
    <w:rsid w:val="00843D8B"/>
    <w:rsid w:val="00855914"/>
    <w:rsid w:val="008E61CF"/>
    <w:rsid w:val="008F50D2"/>
    <w:rsid w:val="00904093"/>
    <w:rsid w:val="009320E5"/>
    <w:rsid w:val="00935047"/>
    <w:rsid w:val="009604F0"/>
    <w:rsid w:val="009722B8"/>
    <w:rsid w:val="009C21DA"/>
    <w:rsid w:val="00A0219C"/>
    <w:rsid w:val="00A03958"/>
    <w:rsid w:val="00A73B3B"/>
    <w:rsid w:val="00A74282"/>
    <w:rsid w:val="00A815A5"/>
    <w:rsid w:val="00A85B27"/>
    <w:rsid w:val="00A87742"/>
    <w:rsid w:val="00A93D34"/>
    <w:rsid w:val="00AB51B5"/>
    <w:rsid w:val="00AD1662"/>
    <w:rsid w:val="00AD407A"/>
    <w:rsid w:val="00B020DF"/>
    <w:rsid w:val="00B242BE"/>
    <w:rsid w:val="00B31E40"/>
    <w:rsid w:val="00B5724E"/>
    <w:rsid w:val="00B57A22"/>
    <w:rsid w:val="00B740DB"/>
    <w:rsid w:val="00B8021C"/>
    <w:rsid w:val="00B804D4"/>
    <w:rsid w:val="00B902A7"/>
    <w:rsid w:val="00BA4F56"/>
    <w:rsid w:val="00BB4027"/>
    <w:rsid w:val="00BB722B"/>
    <w:rsid w:val="00BD6795"/>
    <w:rsid w:val="00BE1474"/>
    <w:rsid w:val="00BE1BD2"/>
    <w:rsid w:val="00C05BAE"/>
    <w:rsid w:val="00C106F2"/>
    <w:rsid w:val="00C33096"/>
    <w:rsid w:val="00C4306D"/>
    <w:rsid w:val="00C462BC"/>
    <w:rsid w:val="00C6007A"/>
    <w:rsid w:val="00C7400A"/>
    <w:rsid w:val="00C85A9E"/>
    <w:rsid w:val="00C92C85"/>
    <w:rsid w:val="00CB77CF"/>
    <w:rsid w:val="00CB7B5E"/>
    <w:rsid w:val="00CC20D7"/>
    <w:rsid w:val="00CC51B5"/>
    <w:rsid w:val="00CD1FA8"/>
    <w:rsid w:val="00CD2062"/>
    <w:rsid w:val="00D001F5"/>
    <w:rsid w:val="00D159CF"/>
    <w:rsid w:val="00D169C7"/>
    <w:rsid w:val="00D2510A"/>
    <w:rsid w:val="00D3597D"/>
    <w:rsid w:val="00D369FE"/>
    <w:rsid w:val="00D4141A"/>
    <w:rsid w:val="00D51F52"/>
    <w:rsid w:val="00D52BA2"/>
    <w:rsid w:val="00D54020"/>
    <w:rsid w:val="00D653C5"/>
    <w:rsid w:val="00D77675"/>
    <w:rsid w:val="00DA0910"/>
    <w:rsid w:val="00DB3F7C"/>
    <w:rsid w:val="00DB4258"/>
    <w:rsid w:val="00DB5286"/>
    <w:rsid w:val="00DC093D"/>
    <w:rsid w:val="00DE2B42"/>
    <w:rsid w:val="00DE3F7C"/>
    <w:rsid w:val="00DF1AAF"/>
    <w:rsid w:val="00DF630A"/>
    <w:rsid w:val="00E04AE2"/>
    <w:rsid w:val="00E23C62"/>
    <w:rsid w:val="00E35788"/>
    <w:rsid w:val="00E44273"/>
    <w:rsid w:val="00E503E1"/>
    <w:rsid w:val="00E50D3C"/>
    <w:rsid w:val="00E80931"/>
    <w:rsid w:val="00EA5575"/>
    <w:rsid w:val="00EC0301"/>
    <w:rsid w:val="00EC0836"/>
    <w:rsid w:val="00EE1C23"/>
    <w:rsid w:val="00EF0609"/>
    <w:rsid w:val="00F01289"/>
    <w:rsid w:val="00F0169B"/>
    <w:rsid w:val="00F07109"/>
    <w:rsid w:val="00F1382A"/>
    <w:rsid w:val="00F241D0"/>
    <w:rsid w:val="00F335B1"/>
    <w:rsid w:val="00F444BA"/>
    <w:rsid w:val="00F673BB"/>
    <w:rsid w:val="00F70579"/>
    <w:rsid w:val="00F715E1"/>
    <w:rsid w:val="00F8183F"/>
    <w:rsid w:val="00F83924"/>
    <w:rsid w:val="00F9092B"/>
    <w:rsid w:val="00FA24AF"/>
    <w:rsid w:val="00FA5FB6"/>
    <w:rsid w:val="00FA6F7F"/>
    <w:rsid w:val="00FD2EAF"/>
    <w:rsid w:val="00FD3A45"/>
    <w:rsid w:val="00FF0934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BCDD2"/>
  <w15:docId w15:val="{26801D8B-7937-41FA-92FC-4C4B0F9B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19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A0219C"/>
    <w:pPr>
      <w:spacing w:before="360" w:after="240"/>
      <w:outlineLvl w:val="0"/>
    </w:pPr>
    <w:rPr>
      <w:rFonts w:ascii="Calibri" w:hAnsi="Calibri" w:cs="Calibri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ing">
    <w:name w:val="Numbering"/>
    <w:basedOn w:val="Normal"/>
    <w:uiPriority w:val="99"/>
    <w:rsid w:val="00A0219C"/>
    <w:pPr>
      <w:numPr>
        <w:numId w:val="1"/>
      </w:numPr>
      <w:spacing w:after="200"/>
    </w:pPr>
    <w:rPr>
      <w:rFonts w:ascii="Calibri" w:hAnsi="Calibri" w:cs="Calibri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21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19C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021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19C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0219C"/>
    <w:rPr>
      <w:rFonts w:ascii="Calibri" w:hAnsi="Calibri" w:cs="Calibri"/>
      <w:b/>
      <w:bCs/>
      <w:kern w:val="36"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548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14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0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2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2A7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2A7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B804D4"/>
    <w:pPr>
      <w:widowControl w:val="0"/>
      <w:autoSpaceDE w:val="0"/>
      <w:autoSpaceDN w:val="0"/>
      <w:ind w:hanging="360"/>
    </w:pPr>
    <w:rPr>
      <w:rFonts w:ascii="Palatino Linotype" w:eastAsia="Palatino Linotype" w:hAnsi="Palatino Linotype" w:cs="Palatino Linotype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804D4"/>
    <w:rPr>
      <w:rFonts w:ascii="Palatino Linotype" w:eastAsia="Palatino Linotype" w:hAnsi="Palatino Linotype" w:cs="Palatino Linotype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E2B4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52379C17D0C478A54E679A05BF02F" ma:contentTypeVersion="64" ma:contentTypeDescription="Create a new document." ma:contentTypeScope="" ma:versionID="60e668db793304d2e8b0d533bff2ef56">
  <xsd:schema xmlns:xsd="http://www.w3.org/2001/XMLSchema" xmlns:xs="http://www.w3.org/2001/XMLSchema" xmlns:p="http://schemas.microsoft.com/office/2006/metadata/properties" xmlns:ns1="http://schemas.microsoft.com/sharepoint/v3" xmlns:ns2="bb28dcf0-6583-49ba-818a-f06c35ca2650" targetNamespace="http://schemas.microsoft.com/office/2006/metadata/properties" ma:root="true" ma:fieldsID="e7d24bd65ef21d51db5052443e46558e" ns1:_="" ns2:_="">
    <xsd:import namespace="http://schemas.microsoft.com/sharepoint/v3"/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2D6236-125A-4A18-AE90-373E9F89B691}"/>
</file>

<file path=customXml/itemProps2.xml><?xml version="1.0" encoding="utf-8"?>
<ds:datastoreItem xmlns:ds="http://schemas.openxmlformats.org/officeDocument/2006/customXml" ds:itemID="{5CF8C5D0-A100-455A-95D5-69B780AF109D}"/>
</file>

<file path=customXml/itemProps3.xml><?xml version="1.0" encoding="utf-8"?>
<ds:datastoreItem xmlns:ds="http://schemas.openxmlformats.org/officeDocument/2006/customXml" ds:itemID="{969F6212-DB29-48AD-A1B5-0A1E29ABE1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Lambie, Elaine</dc:creator>
  <cp:keywords/>
  <dc:description/>
  <cp:lastModifiedBy>Lambie, Elaine</cp:lastModifiedBy>
  <cp:revision>3</cp:revision>
  <dcterms:created xsi:type="dcterms:W3CDTF">2022-01-25T16:31:00Z</dcterms:created>
  <dcterms:modified xsi:type="dcterms:W3CDTF">2022-01-26T08:55:00Z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0x01010048B52379C17D0C478A54E679A05BF02F</vt:lpwstr>
  </property>
  <property fmtid="{D5CDD505-2E9C-101B-9397-08002B2CF9AE}" pid="3" name="URL">
    <vt:lpwstr/>
  </property>
</Properties>
</file>